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编号：</w:t>
      </w:r>
      <w:r>
        <w:rPr>
          <w:rFonts w:hint="eastAsia"/>
          <w:color w:val="000000" w:themeColor="text1"/>
          <w:sz w:val="24"/>
          <w:szCs w:val="24"/>
          <w:lang w:val="en-US" w:eastAsia="zh-CN"/>
          <w14:textFill>
            <w14:solidFill>
              <w14:schemeClr w14:val="tx1"/>
            </w14:solidFill>
          </w14:textFill>
        </w:rPr>
        <w:t>ZHFD-ZHJL-YB-012</w:t>
      </w:r>
    </w:p>
    <w:p>
      <w:pPr>
        <w:rPr>
          <w:color w:val="000000" w:themeColor="text1"/>
          <w:sz w:val="24"/>
          <w:szCs w:val="24"/>
          <w14:textFill>
            <w14:solidFill>
              <w14:schemeClr w14:val="tx1"/>
            </w14:solidFill>
          </w14:textFill>
        </w:rPr>
      </w:pPr>
    </w:p>
    <w:p>
      <w:pPr>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spacing w:before="1248" w:beforeLines="400" w:after="468" w:afterLines="150" w:line="480" w:lineRule="auto"/>
        <w:ind w:firstLine="3080" w:firstLineChars="700"/>
        <w:jc w:val="both"/>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监  理  月  报</w:t>
      </w:r>
    </w:p>
    <w:p>
      <w:pPr>
        <w:pStyle w:val="4"/>
        <w:spacing w:before="156" w:after="120"/>
        <w:jc w:val="center"/>
        <w:rPr>
          <w:rFonts w:hint="eastAsia" w:ascii="黑体" w:hAnsi="黑体" w:eastAsia="黑体"/>
          <w:color w:val="000000" w:themeColor="text1"/>
          <w:sz w:val="28"/>
          <w:szCs w:val="28"/>
          <w14:textFill>
            <w14:solidFill>
              <w14:schemeClr w14:val="tx1"/>
            </w14:solidFill>
          </w14:textFill>
        </w:rPr>
      </w:pPr>
      <w:r>
        <w:rPr>
          <w:rFonts w:hint="eastAsia" w:ascii="宋体" w:hAnsi="宋体" w:eastAsia="宋体" w:cs="宋体"/>
          <w:b/>
          <w:bCs/>
          <w:i w:val="0"/>
          <w:iCs w:val="0"/>
          <w:sz w:val="28"/>
          <w:szCs w:val="28"/>
          <w:u w:val="none"/>
          <w:lang w:val="en-US" w:eastAsia="zh-CN"/>
        </w:rPr>
        <w:t>工程名称： 赞皇40万千瓦一期20万千瓦风电项目 （本期10万千瓦）</w:t>
      </w:r>
    </w:p>
    <w:p>
      <w:pPr>
        <w:pStyle w:val="4"/>
        <w:spacing w:before="156" w:after="120"/>
        <w:jc w:val="center"/>
        <w:rPr>
          <w:rFonts w:hint="eastAsia" w:ascii="宋体" w:hAnsi="宋体" w:eastAsia="宋体" w:cs="宋体"/>
          <w:b/>
          <w:bCs/>
          <w:i w:val="0"/>
          <w:iCs w:val="0"/>
          <w:sz w:val="28"/>
          <w:szCs w:val="28"/>
          <w:u w:val="none"/>
          <w:lang w:val="en-US" w:eastAsia="zh-CN"/>
        </w:rPr>
      </w:pPr>
    </w:p>
    <w:p>
      <w:pPr>
        <w:rPr>
          <w:lang w:val="en-US"/>
        </w:rPr>
      </w:pPr>
    </w:p>
    <w:p>
      <w:pPr>
        <w:ind w:firstLine="3213" w:firstLineChars="1000"/>
        <w:jc w:val="both"/>
        <w:rPr>
          <w:rFonts w:hint="eastAsia"/>
          <w:color w:val="000000" w:themeColor="text1"/>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sz w:val="32"/>
          <w:szCs w:val="32"/>
          <w14:textFill>
            <w14:solidFill>
              <w14:schemeClr w14:val="tx1"/>
            </w14:solidFill>
          </w14:textFill>
        </w:rPr>
        <w:t>20</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23</w:t>
      </w:r>
      <w:r>
        <w:rPr>
          <w:rFonts w:hint="eastAsia" w:asciiTheme="majorEastAsia" w:hAnsiTheme="majorEastAsia" w:eastAsiaTheme="majorEastAsia" w:cstheme="majorEastAsia"/>
          <w:b/>
          <w:bCs/>
          <w:color w:val="000000" w:themeColor="text1"/>
          <w:sz w:val="32"/>
          <w:szCs w:val="32"/>
          <w14:textFill>
            <w14:solidFill>
              <w14:schemeClr w14:val="tx1"/>
            </w14:solidFill>
          </w14:textFill>
        </w:rPr>
        <w:t>年</w:t>
      </w:r>
      <w:r>
        <w:rPr>
          <w:rFonts w:hint="eastAsia" w:asciiTheme="majorEastAsia" w:hAnsiTheme="majorEastAsia" w:eastAsiaTheme="majorEastAsia" w:cstheme="majorEastAsia"/>
          <w:b/>
          <w:bCs/>
          <w:color w:val="000000" w:themeColor="text1"/>
          <w:sz w:val="32"/>
          <w:szCs w:val="32"/>
          <w:lang w:val="en-US" w:eastAsia="zh-CN"/>
          <w14:textFill>
            <w14:solidFill>
              <w14:schemeClr w14:val="tx1"/>
            </w14:solidFill>
          </w14:textFill>
        </w:rPr>
        <w:t>04第12期</w:t>
      </w:r>
      <w:r>
        <w:rPr>
          <w:rFonts w:hint="eastAsia"/>
          <w:color w:val="000000" w:themeColor="text1"/>
          <w:sz w:val="32"/>
          <w:szCs w:val="32"/>
          <w:lang w:val="en-US" w:eastAsia="zh-CN"/>
          <w14:textFill>
            <w14:solidFill>
              <w14:schemeClr w14:val="tx1"/>
            </w14:solidFill>
          </w14:textFill>
        </w:rPr>
        <w:t xml:space="preserve"> </w:t>
      </w: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both"/>
        <w:rPr>
          <w:rFonts w:hint="eastAsia" w:eastAsiaTheme="minorEastAsia"/>
          <w:color w:val="000000" w:themeColor="text1"/>
          <w:sz w:val="30"/>
          <w:szCs w:val="30"/>
          <w:lang w:val="en-US" w:eastAsia="zh-CN"/>
          <w14:textFill>
            <w14:solidFill>
              <w14:schemeClr w14:val="tx1"/>
            </w14:solidFill>
          </w14:textFill>
        </w:rPr>
      </w:pPr>
    </w:p>
    <w:p>
      <w:pPr>
        <w:spacing w:before="156" w:beforeLines="50" w:after="156" w:afterLines="50"/>
        <w:jc w:val="center"/>
        <w:rPr>
          <w:rFonts w:hint="eastAsia"/>
          <w:color w:val="000000" w:themeColor="text1"/>
          <w:sz w:val="24"/>
          <w:szCs w:val="24"/>
          <w14:textFill>
            <w14:solidFill>
              <w14:schemeClr w14:val="tx1"/>
            </w14:solidFill>
          </w14:textFill>
        </w:rPr>
      </w:pPr>
    </w:p>
    <w:p>
      <w:pPr>
        <w:topLinePunct/>
        <w:ind w:firstLine="3534" w:firstLineChars="1100"/>
        <w:jc w:val="both"/>
        <w:rPr>
          <w:rFonts w:hint="eastAsia" w:eastAsiaTheme="minorEastAsia"/>
          <w:b/>
          <w:bCs/>
          <w:sz w:val="32"/>
          <w:szCs w:val="32"/>
          <w:u w:val="single"/>
          <w:lang w:eastAsia="zh-CN"/>
        </w:rPr>
      </w:pPr>
      <w:r>
        <w:rPr>
          <w:rFonts w:hint="eastAsia"/>
          <w:b/>
          <w:bCs/>
          <w:sz w:val="32"/>
          <w:szCs w:val="32"/>
        </w:rPr>
        <w:t>总监理工程师</w:t>
      </w:r>
    </w:p>
    <w:p>
      <w:pPr>
        <w:topLinePunct/>
        <w:ind w:firstLine="425"/>
        <w:rPr>
          <w:rFonts w:hint="eastAsia"/>
          <w:b/>
          <w:bCs/>
          <w:sz w:val="32"/>
          <w:szCs w:val="32"/>
          <w:u w:val="single"/>
        </w:rPr>
      </w:pPr>
    </w:p>
    <w:p>
      <w:pPr>
        <w:topLinePunct/>
        <w:ind w:firstLine="425"/>
        <w:rPr>
          <w:rFonts w:hint="eastAsia"/>
          <w:szCs w:val="21"/>
        </w:rPr>
      </w:pPr>
    </w:p>
    <w:p>
      <w:pPr>
        <w:topLinePunct/>
        <w:ind w:firstLine="425"/>
        <w:rPr>
          <w:rFonts w:hint="eastAsia"/>
          <w:szCs w:val="21"/>
        </w:rPr>
      </w:pPr>
    </w:p>
    <w:p>
      <w:pPr>
        <w:topLinePunct/>
        <w:ind w:firstLine="425"/>
        <w:rPr>
          <w:rFonts w:hint="eastAsia"/>
          <w:szCs w:val="21"/>
        </w:rPr>
      </w:pPr>
    </w:p>
    <w:p>
      <w:pPr>
        <w:topLinePunct/>
        <w:rPr>
          <w:rFonts w:hint="eastAsia"/>
          <w:b/>
          <w:bCs/>
          <w:sz w:val="32"/>
          <w:szCs w:val="32"/>
        </w:rPr>
      </w:pPr>
    </w:p>
    <w:p>
      <w:pPr>
        <w:topLinePunct/>
        <w:ind w:firstLine="3216" w:firstLineChars="1001"/>
        <w:jc w:val="both"/>
        <w:rPr>
          <w:rFonts w:hint="eastAsia"/>
          <w:b/>
          <w:bCs/>
          <w:sz w:val="32"/>
          <w:szCs w:val="32"/>
          <w:u w:val="single"/>
        </w:rPr>
      </w:pPr>
      <w:r>
        <w:rPr>
          <w:rFonts w:hint="eastAsia"/>
          <w:b/>
          <w:bCs/>
          <w:sz w:val="32"/>
          <w:szCs w:val="32"/>
        </w:rPr>
        <w:t>监理项目部（章）</w:t>
      </w:r>
    </w:p>
    <w:p>
      <w:pPr>
        <w:topLinePunct/>
        <w:ind w:firstLine="425"/>
        <w:jc w:val="center"/>
        <w:rPr>
          <w:rFonts w:hint="eastAsia"/>
          <w:b/>
          <w:bCs/>
          <w:sz w:val="32"/>
          <w:szCs w:val="32"/>
        </w:rPr>
      </w:pPr>
    </w:p>
    <w:p>
      <w:pPr>
        <w:topLinePunct/>
        <w:ind w:firstLine="2573" w:firstLineChars="801"/>
        <w:jc w:val="both"/>
        <w:rPr>
          <w:rFonts w:hint="eastAsia"/>
          <w:b/>
          <w:bCs/>
          <w:sz w:val="32"/>
          <w:szCs w:val="32"/>
        </w:rPr>
      </w:pPr>
      <w:r>
        <w:rPr>
          <w:rFonts w:hint="eastAsia"/>
          <w:b/>
          <w:bCs/>
          <w:sz w:val="32"/>
          <w:szCs w:val="32"/>
        </w:rPr>
        <w:t>报告日期：</w:t>
      </w:r>
      <w:r>
        <w:rPr>
          <w:rFonts w:hint="eastAsia"/>
          <w:b/>
          <w:bCs/>
          <w:sz w:val="32"/>
          <w:szCs w:val="32"/>
          <w:lang w:val="en-US" w:eastAsia="zh-CN"/>
        </w:rPr>
        <w:t>2023</w:t>
      </w:r>
      <w:r>
        <w:rPr>
          <w:rFonts w:hint="eastAsia"/>
          <w:b/>
          <w:bCs/>
          <w:sz w:val="32"/>
          <w:szCs w:val="32"/>
        </w:rPr>
        <w:t>年</w:t>
      </w:r>
      <w:r>
        <w:rPr>
          <w:rFonts w:hint="eastAsia"/>
          <w:b/>
          <w:bCs/>
          <w:sz w:val="32"/>
          <w:szCs w:val="32"/>
          <w:lang w:val="en-US" w:eastAsia="zh-CN"/>
        </w:rPr>
        <w:t>04</w:t>
      </w:r>
      <w:r>
        <w:rPr>
          <w:rFonts w:hint="eastAsia"/>
          <w:b/>
          <w:bCs/>
          <w:sz w:val="32"/>
          <w:szCs w:val="32"/>
        </w:rPr>
        <w:t>月</w:t>
      </w:r>
      <w:r>
        <w:rPr>
          <w:rFonts w:hint="eastAsia"/>
          <w:b/>
          <w:bCs/>
          <w:sz w:val="32"/>
          <w:szCs w:val="32"/>
          <w:lang w:val="en-US" w:eastAsia="zh-CN"/>
        </w:rPr>
        <w:t>30</w:t>
      </w:r>
      <w:r>
        <w:rPr>
          <w:rFonts w:hint="eastAsia"/>
          <w:b/>
          <w:bCs/>
          <w:sz w:val="32"/>
          <w:szCs w:val="32"/>
        </w:rPr>
        <w:t>日</w:t>
      </w:r>
    </w:p>
    <w:p>
      <w:pPr>
        <w:pStyle w:val="5"/>
        <w:spacing w:before="0"/>
        <w:rPr>
          <w:sz w:val="18"/>
        </w:rPr>
      </w:pPr>
    </w:p>
    <w:p>
      <w:pPr>
        <w:topLinePunct/>
        <w:ind w:firstLine="425"/>
      </w:pPr>
    </w:p>
    <w:p>
      <w:pPr>
        <w:topLinePunct/>
        <w:ind w:firstLine="425"/>
      </w:pPr>
      <w:r>
        <w:t xml:space="preserve"> </w:t>
      </w:r>
    </w:p>
    <w:p>
      <w:pPr>
        <w:topLinePunct/>
        <w:ind w:firstLine="425"/>
      </w:pPr>
    </w:p>
    <w:p>
      <w:pPr>
        <w:jc w:val="center"/>
        <w:rPr>
          <w:rFonts w:hint="default" w:asciiTheme="majorEastAsia" w:hAnsiTheme="majorEastAsia" w:eastAsiaTheme="majorEastAsia" w:cstheme="majorEastAsia"/>
          <w:color w:val="000000" w:themeColor="text1"/>
          <w:sz w:val="32"/>
          <w:szCs w:val="32"/>
          <w:u w:val="single"/>
          <w:lang w:val="en-US" w:eastAsia="zh-CN"/>
          <w14:textFill>
            <w14:solidFill>
              <w14:schemeClr w14:val="tx1"/>
            </w14:solidFill>
          </w14:textFill>
        </w:rPr>
      </w:pPr>
      <w:r>
        <w:rPr>
          <w:rFonts w:hint="eastAsia"/>
          <w:color w:val="000000" w:themeColor="text1"/>
          <w:sz w:val="32"/>
          <w:szCs w:val="32"/>
          <w14:textFill>
            <w14:solidFill>
              <w14:schemeClr w14:val="tx1"/>
            </w14:solidFill>
          </w14:textFill>
        </w:rPr>
        <w:t xml:space="preserve"> </w:t>
      </w:r>
      <w:r>
        <w:rPr>
          <w:rFonts w:hint="eastAsia"/>
          <w:color w:val="000000" w:themeColor="text1"/>
          <w:sz w:val="32"/>
          <w:szCs w:val="32"/>
          <w:lang w:eastAsia="zh-CN"/>
          <w14:textFill>
            <w14:solidFill>
              <w14:schemeClr w14:val="tx1"/>
            </w14:solidFill>
          </w14:textFill>
        </w:rPr>
        <w:t>监</w:t>
      </w:r>
      <w:r>
        <w:rPr>
          <w:rFonts w:hint="eastAsia"/>
          <w:color w:val="000000" w:themeColor="text1"/>
          <w:sz w:val="32"/>
          <w:szCs w:val="32"/>
          <w14:textFill>
            <w14:solidFill>
              <w14:schemeClr w14:val="tx1"/>
            </w14:solidFill>
          </w14:textFill>
        </w:rPr>
        <w:t xml:space="preserve"> 理  月  报</w:t>
      </w:r>
    </w:p>
    <w:p>
      <w:pPr>
        <w:pStyle w:val="11"/>
        <w:numPr>
          <w:ilvl w:val="0"/>
          <w:numId w:val="1"/>
        </w:numPr>
        <w:spacing w:before="156" w:beforeLines="50" w:after="156" w:afterLines="50" w:line="360" w:lineRule="auto"/>
        <w:ind w:left="612" w:leftChars="0" w:hanging="612"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监理重点工作情况</w:t>
      </w:r>
    </w:p>
    <w:tbl>
      <w:tblPr>
        <w:tblStyle w:val="9"/>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564"/>
        <w:gridCol w:w="3761"/>
        <w:gridCol w:w="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02"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专业</w:t>
            </w: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事项</w:t>
            </w:r>
          </w:p>
        </w:tc>
        <w:tc>
          <w:tcPr>
            <w:tcW w:w="3761"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本月重点工作情况</w:t>
            </w:r>
          </w:p>
        </w:tc>
        <w:tc>
          <w:tcPr>
            <w:tcW w:w="3008"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下月重点工作计划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802"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协调</w:t>
            </w:r>
          </w:p>
        </w:tc>
        <w:tc>
          <w:tcPr>
            <w:tcW w:w="1564" w:type="dxa"/>
            <w:vAlign w:val="center"/>
          </w:tcPr>
          <w:p>
            <w:pPr>
              <w:spacing w:line="360" w:lineRule="auto"/>
              <w:ind w:firstLine="210" w:firstLineChars="10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组织工作</w:t>
            </w:r>
          </w:p>
        </w:tc>
        <w:tc>
          <w:tcPr>
            <w:tcW w:w="3761" w:type="dxa"/>
            <w:vAlign w:val="center"/>
          </w:tcPr>
          <w:p>
            <w:pPr>
              <w:numPr>
                <w:ilvl w:val="0"/>
                <w:numId w:val="2"/>
              </w:numPr>
              <w:spacing w:line="360" w:lineRule="auto"/>
              <w:rPr>
                <w:rFonts w:hint="default"/>
                <w:lang w:val="en-US" w:eastAsia="zh-CN"/>
              </w:rPr>
            </w:pPr>
            <w:r>
              <w:rPr>
                <w:rFonts w:hint="eastAsia"/>
                <w:lang w:val="en-US" w:eastAsia="zh-CN"/>
              </w:rPr>
              <w:t>组织召开工地例会和工地安全例会3次，并形成会议纪要。</w:t>
            </w:r>
          </w:p>
          <w:p>
            <w:pPr>
              <w:pStyle w:val="2"/>
              <w:numPr>
                <w:ilvl w:val="0"/>
                <w:numId w:val="2"/>
              </w:numPr>
              <w:spacing w:after="0" w:line="240" w:lineRule="auto"/>
              <w:ind w:left="0" w:leftChars="0" w:firstLine="0" w:firstLineChars="0"/>
              <w:rPr>
                <w:rFonts w:hint="eastAsia"/>
                <w:lang w:val="en-US" w:eastAsia="zh-CN"/>
              </w:rPr>
            </w:pPr>
            <w:r>
              <w:rPr>
                <w:rFonts w:hint="eastAsia"/>
                <w:lang w:val="en-US" w:eastAsia="zh-CN"/>
              </w:rPr>
              <w:t>五一节前组织对施工现场进行安全大检查。</w:t>
            </w:r>
            <w:bookmarkStart w:id="0" w:name="_GoBack"/>
            <w:bookmarkEnd w:id="0"/>
          </w:p>
          <w:p>
            <w:pPr>
              <w:pStyle w:val="2"/>
              <w:numPr>
                <w:ilvl w:val="0"/>
                <w:numId w:val="2"/>
              </w:numPr>
              <w:spacing w:after="0" w:line="240" w:lineRule="auto"/>
              <w:ind w:left="0" w:leftChars="0" w:firstLine="0" w:firstLineChars="0"/>
              <w:rPr>
                <w:rFonts w:hint="default"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组织召开安全警示教育会议。</w:t>
            </w:r>
          </w:p>
          <w:p>
            <w:pPr>
              <w:pStyle w:val="2"/>
              <w:numPr>
                <w:ilvl w:val="0"/>
                <w:numId w:val="2"/>
              </w:numPr>
              <w:spacing w:line="360" w:lineRule="auto"/>
              <w:ind w:left="0" w:leftChars="0" w:firstLine="0" w:firstLineChars="0"/>
              <w:rPr>
                <w:rFonts w:hint="default"/>
                <w:lang w:val="en-US" w:eastAsia="zh-CN"/>
              </w:rPr>
            </w:pPr>
            <w:r>
              <w:rPr>
                <w:rFonts w:hint="eastAsia" w:asciiTheme="minorHAnsi" w:hAnsiTheme="minorHAnsi" w:eastAsiaTheme="minorEastAsia" w:cstheme="minorBidi"/>
                <w:kern w:val="2"/>
                <w:sz w:val="21"/>
                <w:szCs w:val="22"/>
                <w:lang w:val="en-US" w:eastAsia="zh-CN" w:bidi="ar-SA"/>
              </w:rPr>
              <w:t>签发《监理延期确认联系单》一份，延期内容详见编号：ZHJL-ZHFD-YQ-001</w:t>
            </w:r>
            <w:r>
              <w:rPr>
                <w:rFonts w:hint="eastAsia" w:cstheme="minorBidi"/>
                <w:kern w:val="2"/>
                <w:sz w:val="21"/>
                <w:szCs w:val="22"/>
                <w:lang w:val="en-US" w:eastAsia="zh-CN" w:bidi="ar-SA"/>
              </w:rPr>
              <w:t>。</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召开工地例会和安全工地例会，督促施工单位做好工程质量和安全自查工作，资料报验的问题，定期组织对施工现场进行安全大检查。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02" w:type="dxa"/>
            <w:vMerge w:val="restart"/>
            <w:vAlign w:val="center"/>
          </w:tcPr>
          <w:p>
            <w:pPr>
              <w:spacing w:line="360" w:lineRule="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进度</w:t>
            </w:r>
          </w:p>
        </w:tc>
        <w:tc>
          <w:tcPr>
            <w:tcW w:w="1564" w:type="dxa"/>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主要工序</w:t>
            </w:r>
          </w:p>
          <w:p>
            <w:pPr>
              <w:spacing w:line="36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工    作</w:t>
            </w:r>
          </w:p>
        </w:tc>
        <w:tc>
          <w:tcPr>
            <w:tcW w:w="3761" w:type="dxa"/>
            <w:vAlign w:val="center"/>
          </w:tcPr>
          <w:p>
            <w:pPr>
              <w:numPr>
                <w:ilvl w:val="0"/>
                <w:numId w:val="0"/>
              </w:numPr>
              <w:spacing w:line="360" w:lineRule="auto"/>
              <w:ind w:left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1、2023年04月01日到2023年04月30日每天编写的监理工作日志，编写监理周报4份，月报月1份，编写隐蔽工程监理检查记录23份，监理旁站记录12份，签发《监理工程师通知单》4份，《监理工程师考核单》3份。</w:t>
            </w:r>
          </w:p>
          <w:p>
            <w:pPr>
              <w:numPr>
                <w:ilvl w:val="0"/>
                <w:numId w:val="0"/>
              </w:numPr>
              <w:spacing w:line="360" w:lineRule="auto"/>
              <w:ind w:left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2、配合市发改委对新能源安全生产和防火进行检查。</w:t>
            </w:r>
          </w:p>
          <w:p>
            <w:pPr>
              <w:numPr>
                <w:ilvl w:val="0"/>
                <w:numId w:val="0"/>
              </w:numPr>
              <w:spacing w:line="360" w:lineRule="auto"/>
              <w:ind w:left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3、参加省电力公司储能站系统验收会议和现场检查。</w:t>
            </w:r>
          </w:p>
          <w:p>
            <w:pPr>
              <w:numPr>
                <w:ilvl w:val="0"/>
                <w:numId w:val="0"/>
              </w:numPr>
              <w:spacing w:line="360" w:lineRule="auto"/>
              <w:ind w:left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4、上海电力领导莅临本项目检查指导工作，配合领导检查资料，参加资料检查总结会议。</w:t>
            </w:r>
          </w:p>
          <w:p>
            <w:pPr>
              <w:numPr>
                <w:ilvl w:val="0"/>
                <w:numId w:val="0"/>
              </w:numPr>
              <w:spacing w:line="360" w:lineRule="auto"/>
              <w:ind w:left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5、升压站：</w:t>
            </w:r>
            <w:r>
              <w:rPr>
                <w:rFonts w:hint="default" w:ascii="宋体" w:hAnsi="宋体" w:eastAsia="宋体" w:cs="宋体"/>
                <w:color w:val="000000" w:themeColor="text1"/>
                <w:sz w:val="21"/>
                <w:szCs w:val="21"/>
                <w:lang w:val="en-US" w:eastAsia="zh-CN"/>
                <w14:textFill>
                  <w14:solidFill>
                    <w14:schemeClr w14:val="tx1"/>
                  </w14:solidFill>
                </w14:textFill>
              </w:rPr>
              <w:t>①</w:t>
            </w:r>
            <w:r>
              <w:rPr>
                <w:rFonts w:hint="eastAsia" w:ascii="宋体" w:hAnsi="宋体" w:eastAsia="宋体" w:cs="宋体"/>
                <w:color w:val="000000" w:themeColor="text1"/>
                <w:sz w:val="21"/>
                <w:szCs w:val="21"/>
                <w:lang w:val="en-US" w:eastAsia="zh-CN"/>
                <w14:textFill>
                  <w14:solidFill>
                    <w14:schemeClr w14:val="tx1"/>
                  </w14:solidFill>
                </w14:textFill>
              </w:rPr>
              <w:t>、场地道路浇筑检查。</w:t>
            </w:r>
            <w:r>
              <w:rPr>
                <w:rFonts w:hint="default" w:ascii="宋体" w:hAnsi="宋体" w:eastAsia="宋体" w:cs="宋体"/>
                <w:color w:val="000000" w:themeColor="text1"/>
                <w:sz w:val="21"/>
                <w:szCs w:val="21"/>
                <w:lang w:val="en-US" w:eastAsia="zh-CN"/>
                <w14:textFill>
                  <w14:solidFill>
                    <w14:schemeClr w14:val="tx1"/>
                  </w14:solidFill>
                </w14:textFill>
              </w:rPr>
              <w:t>②</w:t>
            </w:r>
            <w:r>
              <w:rPr>
                <w:rFonts w:hint="eastAsia" w:ascii="宋体" w:hAnsi="宋体" w:eastAsia="宋体" w:cs="宋体"/>
                <w:color w:val="000000" w:themeColor="text1"/>
                <w:sz w:val="21"/>
                <w:szCs w:val="21"/>
                <w:lang w:val="en-US" w:eastAsia="zh-CN"/>
                <w14:textFill>
                  <w14:solidFill>
                    <w14:schemeClr w14:val="tx1"/>
                  </w14:solidFill>
                </w14:textFill>
              </w:rPr>
              <w:t>、场地道路浇筑后质量检查验收。</w:t>
            </w:r>
          </w:p>
          <w:p>
            <w:pPr>
              <w:numPr>
                <w:ilvl w:val="0"/>
                <w:numId w:val="0"/>
              </w:numPr>
              <w:spacing w:line="360" w:lineRule="auto"/>
              <w:ind w:leftChars="0"/>
              <w:rPr>
                <w:rFonts w:hint="eastAsia"/>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6、集电线路：</w:t>
            </w:r>
            <w:r>
              <w:rPr>
                <w:rFonts w:hint="default" w:ascii="宋体" w:hAnsi="宋体" w:eastAsia="宋体" w:cs="宋体"/>
                <w:color w:val="000000" w:themeColor="text1"/>
                <w:sz w:val="21"/>
                <w:szCs w:val="21"/>
                <w:lang w:val="en-US" w:eastAsia="zh-CN"/>
                <w14:textFill>
                  <w14:solidFill>
                    <w14:schemeClr w14:val="tx1"/>
                  </w14:solidFill>
                </w14:textFill>
              </w:rPr>
              <w:t>①</w:t>
            </w:r>
            <w:r>
              <w:rPr>
                <w:rFonts w:hint="eastAsia" w:ascii="宋体" w:hAnsi="宋体" w:eastAsia="宋体" w:cs="宋体"/>
                <w:color w:val="000000" w:themeColor="text1"/>
                <w:sz w:val="21"/>
                <w:szCs w:val="21"/>
                <w:lang w:val="en-US" w:eastAsia="zh-CN"/>
                <w14:textFill>
                  <w14:solidFill>
                    <w14:schemeClr w14:val="tx1"/>
                  </w14:solidFill>
                </w14:textFill>
              </w:rPr>
              <w:t>、塔基混凝土浇筑旁站</w:t>
            </w:r>
            <w:r>
              <w:rPr>
                <w:rFonts w:hint="default" w:ascii="宋体" w:hAnsi="宋体" w:eastAsia="宋体" w:cs="宋体"/>
                <w:color w:val="000000" w:themeColor="text1"/>
                <w:sz w:val="21"/>
                <w:szCs w:val="21"/>
                <w:lang w:val="en-US" w:eastAsia="zh-CN"/>
                <w14:textFill>
                  <w14:solidFill>
                    <w14:schemeClr w14:val="tx1"/>
                  </w14:solidFill>
                </w14:textFill>
              </w:rPr>
              <w:t>②</w:t>
            </w:r>
            <w:r>
              <w:rPr>
                <w:rFonts w:hint="eastAsia" w:ascii="宋体" w:hAnsi="宋体" w:eastAsia="宋体" w:cs="宋体"/>
                <w:color w:val="000000" w:themeColor="text1"/>
                <w:sz w:val="21"/>
                <w:szCs w:val="21"/>
                <w:lang w:val="en-US" w:eastAsia="zh-CN"/>
                <w14:textFill>
                  <w14:solidFill>
                    <w14:schemeClr w14:val="tx1"/>
                  </w14:solidFill>
                </w14:textFill>
              </w:rPr>
              <w:t>、基础掏挖、钢筋绑扎、放线、铁塔组立等施工巡视检查。</w:t>
            </w:r>
            <w:r>
              <w:rPr>
                <w:rFonts w:hint="default" w:ascii="宋体" w:hAnsi="宋体" w:eastAsia="宋体" w:cs="宋体"/>
                <w:color w:val="000000" w:themeColor="text1"/>
                <w:sz w:val="21"/>
                <w:szCs w:val="21"/>
                <w:lang w:val="en-US" w:eastAsia="zh-CN"/>
                <w14:textFill>
                  <w14:solidFill>
                    <w14:schemeClr w14:val="tx1"/>
                  </w14:solidFill>
                </w14:textFill>
              </w:rPr>
              <w:t>③</w:t>
            </w:r>
            <w:r>
              <w:rPr>
                <w:rFonts w:hint="eastAsia" w:ascii="宋体" w:hAnsi="宋体" w:eastAsia="宋体" w:cs="宋体"/>
                <w:color w:val="000000" w:themeColor="text1"/>
                <w:sz w:val="21"/>
                <w:szCs w:val="21"/>
                <w:lang w:val="en-US" w:eastAsia="zh-CN"/>
                <w14:textFill>
                  <w14:solidFill>
                    <w14:schemeClr w14:val="tx1"/>
                  </w14:solidFill>
                </w14:textFill>
              </w:rPr>
              <w:t>、塔基基础钢筋、模板、地脚、螺栓验收，组塔前回弹检查，铁塔螺丝扭矩、电阻测量检查。</w:t>
            </w:r>
            <w:r>
              <w:rPr>
                <w:rFonts w:hint="default" w:ascii="宋体" w:hAnsi="宋体" w:eastAsia="宋体" w:cs="宋体"/>
                <w:color w:val="000000" w:themeColor="text1"/>
                <w:sz w:val="21"/>
                <w:szCs w:val="21"/>
                <w:lang w:val="en-US" w:eastAsia="zh-CN"/>
                <w14:textFill>
                  <w14:solidFill>
                    <w14:schemeClr w14:val="tx1"/>
                  </w14:solidFill>
                </w14:textFill>
              </w:rPr>
              <w:t>④</w:t>
            </w:r>
            <w:r>
              <w:rPr>
                <w:rFonts w:hint="eastAsia" w:ascii="宋体" w:hAnsi="宋体" w:eastAsia="宋体" w:cs="宋体"/>
                <w:color w:val="000000" w:themeColor="text1"/>
                <w:sz w:val="21"/>
                <w:szCs w:val="21"/>
                <w:lang w:val="en-US" w:eastAsia="zh-CN"/>
                <w14:textFill>
                  <w14:solidFill>
                    <w14:schemeClr w14:val="tx1"/>
                  </w14:solidFill>
                </w14:textFill>
              </w:rPr>
              <w:t>、2回路塔基护坡和中</w:t>
            </w:r>
            <w:r>
              <w:rPr>
                <w:rFonts w:hint="eastAsia"/>
                <w:lang w:val="en-US" w:eastAsia="zh-CN"/>
              </w:rPr>
              <w:t>间接头井检查。</w:t>
            </w:r>
          </w:p>
          <w:p>
            <w:pPr>
              <w:numPr>
                <w:ilvl w:val="0"/>
                <w:numId w:val="0"/>
              </w:numPr>
              <w:spacing w:line="360" w:lineRule="auto"/>
              <w:ind w:leftChars="0"/>
              <w:jc w:val="both"/>
              <w:rPr>
                <w:rFonts w:hint="default"/>
                <w:lang w:val="en-US" w:eastAsia="zh-CN"/>
              </w:rPr>
            </w:pPr>
            <w:r>
              <w:rPr>
                <w:rFonts w:hint="eastAsia"/>
                <w:lang w:val="en-US" w:eastAsia="zh-CN"/>
              </w:rPr>
              <w:t>7、道路：大件运输道路修筑、压实、平台开挖巡视检查，安全隐患排查。</w:t>
            </w:r>
          </w:p>
          <w:p>
            <w:pPr>
              <w:numPr>
                <w:ilvl w:val="0"/>
                <w:numId w:val="0"/>
              </w:numPr>
              <w:spacing w:line="360" w:lineRule="auto"/>
              <w:ind w:leftChars="0"/>
              <w:jc w:val="both"/>
              <w:rPr>
                <w:rFonts w:hint="default"/>
                <w:lang w:val="en-US" w:eastAsia="zh-CN"/>
              </w:rPr>
            </w:pPr>
            <w:r>
              <w:rPr>
                <w:rFonts w:hint="eastAsia"/>
                <w:lang w:val="en-US" w:eastAsia="zh-CN"/>
              </w:rPr>
              <w:t>8、风机：</w:t>
            </w:r>
            <w:r>
              <w:rPr>
                <w:rFonts w:hint="default"/>
                <w:lang w:val="en-US" w:eastAsia="zh-CN"/>
              </w:rPr>
              <w:t>①</w:t>
            </w:r>
            <w:r>
              <w:rPr>
                <w:rFonts w:hint="eastAsia"/>
                <w:lang w:val="en-US" w:eastAsia="zh-CN"/>
              </w:rPr>
              <w:t>、风机基础开挖、风机拉伸、塔筒内电装、基础交接检查</w:t>
            </w:r>
            <w:r>
              <w:rPr>
                <w:rFonts w:hint="default"/>
                <w:lang w:val="en-US" w:eastAsia="zh-CN"/>
              </w:rPr>
              <w:t>②</w:t>
            </w:r>
            <w:r>
              <w:rPr>
                <w:rFonts w:hint="eastAsia"/>
                <w:lang w:val="en-US" w:eastAsia="zh-CN"/>
              </w:rPr>
              <w:t>、塔筒内电装、风机调试检查</w:t>
            </w:r>
            <w:r>
              <w:rPr>
                <w:rFonts w:hint="default"/>
                <w:lang w:val="en-US" w:eastAsia="zh-CN"/>
              </w:rPr>
              <w:t>③</w:t>
            </w:r>
            <w:r>
              <w:rPr>
                <w:rFonts w:hint="eastAsia"/>
                <w:lang w:val="en-US" w:eastAsia="zh-CN"/>
              </w:rPr>
              <w:t>、风机吊装和箱变耐压试验旁站。</w:t>
            </w:r>
            <w:r>
              <w:rPr>
                <w:rFonts w:hint="default"/>
                <w:lang w:val="en-US" w:eastAsia="zh-CN"/>
              </w:rPr>
              <w:t>④</w:t>
            </w:r>
            <w:r>
              <w:rPr>
                <w:rFonts w:hint="eastAsia"/>
                <w:lang w:val="en-US" w:eastAsia="zh-CN"/>
              </w:rPr>
              <w:t>、箱变吊装就位、箱变基础垫层、箱变接地电阻测量、箱变油池格栅、箱变至塔基电缆沟开挖和电缆敷设、回填土、风机箱变电缆终端头制作检查。</w:t>
            </w:r>
            <w:r>
              <w:rPr>
                <w:rFonts w:hint="default" w:ascii="Calibri" w:hAnsi="Calibri" w:cs="Calibri"/>
                <w:lang w:val="en-US" w:eastAsia="zh-CN"/>
              </w:rPr>
              <w:t>⑤</w:t>
            </w:r>
            <w:r>
              <w:rPr>
                <w:rFonts w:hint="eastAsia" w:asciiTheme="minorEastAsia" w:hAnsiTheme="minorEastAsia" w:cstheme="minorEastAsia"/>
                <w:lang w:val="en-US" w:eastAsia="zh-CN"/>
              </w:rPr>
              <w:t>、</w:t>
            </w:r>
            <w:r>
              <w:rPr>
                <w:rFonts w:hint="eastAsia"/>
                <w:lang w:val="en-US" w:eastAsia="zh-CN"/>
              </w:rPr>
              <w:t>22、25、27#风机并网完成。</w:t>
            </w:r>
          </w:p>
          <w:p>
            <w:pPr>
              <w:numPr>
                <w:ilvl w:val="0"/>
                <w:numId w:val="0"/>
              </w:numPr>
              <w:spacing w:line="360" w:lineRule="auto"/>
              <w:ind w:leftChars="0"/>
              <w:jc w:val="both"/>
              <w:rPr>
                <w:rFonts w:hint="default" w:asciiTheme="minorEastAsia" w:hAnsiTheme="minorEastAsia" w:eastAsiaTheme="minorEastAsia" w:cstheme="minorEastAsia"/>
                <w:lang w:val="en-US" w:eastAsia="zh-CN"/>
              </w:rPr>
            </w:pPr>
            <w:r>
              <w:rPr>
                <w:rFonts w:hint="eastAsia"/>
                <w:lang w:val="en-US" w:eastAsia="zh-CN"/>
              </w:rPr>
              <w:t>9、储能站：</w:t>
            </w:r>
            <w:r>
              <w:rPr>
                <w:rFonts w:hint="default"/>
                <w:lang w:val="en-US" w:eastAsia="zh-CN"/>
              </w:rPr>
              <w:t>①</w:t>
            </w:r>
            <w:r>
              <w:rPr>
                <w:rFonts w:hint="eastAsia"/>
                <w:lang w:val="en-US" w:eastAsia="zh-CN"/>
              </w:rPr>
              <w:t>、消防泵房工地安装、粉刷防水、砌筑巡查</w:t>
            </w:r>
            <w:r>
              <w:rPr>
                <w:rFonts w:hint="default"/>
                <w:lang w:val="en-US" w:eastAsia="zh-CN"/>
              </w:rPr>
              <w:t>②</w:t>
            </w:r>
            <w:r>
              <w:rPr>
                <w:rFonts w:hint="eastAsia"/>
                <w:lang w:val="en-US" w:eastAsia="zh-CN"/>
              </w:rPr>
              <w:t>、围墙基础支模、拆模、圈梁钢筋、砌筑、浇筑检查验收</w:t>
            </w:r>
            <w:r>
              <w:rPr>
                <w:rFonts w:hint="default"/>
                <w:lang w:val="en-US" w:eastAsia="zh-CN"/>
              </w:rPr>
              <w:t>③</w:t>
            </w:r>
            <w:r>
              <w:rPr>
                <w:rFonts w:hint="eastAsia"/>
                <w:lang w:val="en-US" w:eastAsia="zh-CN"/>
              </w:rPr>
              <w:t>、消防管道开挖、除锈防腐、焊接、铺设检查</w:t>
            </w:r>
            <w:r>
              <w:rPr>
                <w:rFonts w:hint="default"/>
                <w:lang w:val="en-US" w:eastAsia="zh-CN"/>
              </w:rPr>
              <w:t>④</w:t>
            </w:r>
            <w:r>
              <w:rPr>
                <w:rFonts w:hint="eastAsia"/>
                <w:lang w:val="en-US" w:eastAsia="zh-CN"/>
              </w:rPr>
              <w:t>、南侧接地网焊接防腐、储能舱接地和电缆沟支架接地测量检查；</w:t>
            </w:r>
            <w:r>
              <w:rPr>
                <w:rFonts w:hint="default" w:ascii="Calibri" w:hAnsi="Calibri" w:cs="Calibri"/>
                <w:lang w:val="en-US" w:eastAsia="zh-CN"/>
              </w:rPr>
              <w:t>⑤</w:t>
            </w:r>
            <w:r>
              <w:rPr>
                <w:rFonts w:hint="eastAsia" w:asciiTheme="minorEastAsia" w:hAnsiTheme="minorEastAsia" w:cstheme="minorEastAsia"/>
                <w:lang w:val="en-US" w:eastAsia="zh-CN"/>
              </w:rPr>
              <w:t>、照明安装、接地检查。</w:t>
            </w:r>
          </w:p>
          <w:p>
            <w:pPr>
              <w:pStyle w:val="2"/>
              <w:ind w:left="0" w:leftChars="0" w:firstLine="0" w:firstLineChars="0"/>
              <w:rPr>
                <w:rFonts w:hint="default"/>
                <w:lang w:val="en-US" w:eastAsia="zh-CN"/>
              </w:rPr>
            </w:pPr>
          </w:p>
        </w:tc>
        <w:tc>
          <w:tcPr>
            <w:tcW w:w="3008" w:type="dxa"/>
            <w:vAlign w:val="center"/>
          </w:tcPr>
          <w:p>
            <w:pPr>
              <w:numPr>
                <w:ilvl w:val="0"/>
                <w:numId w:val="0"/>
              </w:numPr>
              <w:spacing w:line="360" w:lineRule="auto"/>
              <w:ind w:leftChars="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每日编写监理日志，编写周报、月报、隐蔽工程检查记录、旁站记录，大件运输道路修整巡视检查，安全隐患排查；集电线路铁塔基础掏挖、放线、铁塔组立巡视检查；铁塔螺丝扭矩、电阻测量检查，铁塔基础浇筑前检查验收，铁塔基础浇筑旁站；储能站施工巡查，风机吊装全程旁站，水保施工现场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w:t>
            </w:r>
            <w:r>
              <w:rPr>
                <w:rFonts w:hint="eastAsia" w:ascii="宋体" w:hAnsi="宋体" w:eastAsia="宋体" w:cs="宋体"/>
                <w:color w:val="000000" w:themeColor="text1"/>
                <w:sz w:val="21"/>
                <w:szCs w:val="21"/>
                <w:lang w:val="en-US" w:eastAsia="zh-CN"/>
                <w14:textFill>
                  <w14:solidFill>
                    <w14:schemeClr w14:val="tx1"/>
                  </w14:solidFill>
                </w14:textFill>
              </w:rPr>
              <w:t>材料</w:t>
            </w:r>
          </w:p>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进场情况</w:t>
            </w:r>
          </w:p>
        </w:tc>
        <w:tc>
          <w:tcPr>
            <w:tcW w:w="3761" w:type="dxa"/>
            <w:vAlign w:val="center"/>
          </w:tcPr>
          <w:p>
            <w:pPr>
              <w:numPr>
                <w:ilvl w:val="0"/>
                <w:numId w:val="3"/>
              </w:numPr>
              <w:spacing w:line="360" w:lineRule="auto"/>
              <w:jc w:val="both"/>
              <w:rPr>
                <w:rFonts w:hint="eastAsia"/>
                <w:lang w:val="en-US" w:eastAsia="zh-CN"/>
              </w:rPr>
            </w:pPr>
            <w:r>
              <w:rPr>
                <w:rFonts w:hint="eastAsia"/>
                <w:lang w:val="en-US" w:eastAsia="zh-CN"/>
              </w:rPr>
              <w:t>一回路金具、塔材、光缆进场检查。</w:t>
            </w:r>
          </w:p>
          <w:p>
            <w:pPr>
              <w:pStyle w:val="2"/>
              <w:numPr>
                <w:ilvl w:val="0"/>
                <w:numId w:val="3"/>
              </w:numPr>
              <w:ind w:left="0" w:leftChars="0" w:firstLine="0" w:firstLineChars="0"/>
              <w:rPr>
                <w:rFonts w:hint="eastAsia"/>
                <w:lang w:val="en-US" w:eastAsia="zh-CN"/>
              </w:rPr>
            </w:pPr>
            <w:r>
              <w:rPr>
                <w:rFonts w:hint="eastAsia"/>
                <w:lang w:val="en-US" w:eastAsia="zh-CN"/>
              </w:rPr>
              <w:t>储能消防泵房设备管件进场检查。</w:t>
            </w:r>
          </w:p>
          <w:p>
            <w:pPr>
              <w:pStyle w:val="2"/>
              <w:numPr>
                <w:ilvl w:val="0"/>
                <w:numId w:val="3"/>
              </w:numPr>
              <w:ind w:left="0" w:leftChars="0" w:firstLine="0" w:firstLineChars="0"/>
              <w:rPr>
                <w:rFonts w:hint="default"/>
                <w:lang w:val="en-US" w:eastAsia="zh-CN"/>
              </w:rPr>
            </w:pPr>
            <w:r>
              <w:rPr>
                <w:rFonts w:hint="eastAsia"/>
                <w:lang w:val="en-US" w:eastAsia="zh-CN"/>
              </w:rPr>
              <w:t>储能消防泵房钢梯、排污泵、防水材料、消防器材、保温板进场检查。</w:t>
            </w:r>
          </w:p>
          <w:p>
            <w:pPr>
              <w:pStyle w:val="2"/>
              <w:numPr>
                <w:ilvl w:val="0"/>
                <w:numId w:val="0"/>
              </w:numPr>
              <w:ind w:leftChars="0"/>
              <w:rPr>
                <w:rFonts w:hint="default"/>
                <w:lang w:val="en-US" w:eastAsia="zh-CN"/>
              </w:rPr>
            </w:pP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做好材料进场验收工作，并做好开箱检查记录。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设计交付进度</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风电场、集电线路、升压站、储能站图纸全部已出。</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全部交付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运作情况</w:t>
            </w:r>
          </w:p>
        </w:tc>
        <w:tc>
          <w:tcPr>
            <w:tcW w:w="3761"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质量体系健全，运行良好</w:t>
            </w:r>
          </w:p>
        </w:tc>
        <w:tc>
          <w:tcPr>
            <w:tcW w:w="3008" w:type="dxa"/>
            <w:vAlign w:val="center"/>
          </w:tcPr>
          <w:p>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严把质量关，并认真做好每次质检记录，</w:t>
            </w:r>
            <w:r>
              <w:rPr>
                <w:rFonts w:hint="eastAsia" w:ascii="宋体" w:hAnsi="宋体" w:eastAsia="宋体" w:cs="宋体"/>
                <w:color w:val="000000" w:themeColor="text1"/>
                <w:sz w:val="21"/>
                <w:szCs w:val="21"/>
                <w14:textFill>
                  <w14:solidFill>
                    <w14:schemeClr w14:val="tx1"/>
                  </w14:solidFill>
                </w14:textFill>
              </w:rPr>
              <w:t>并对运行情况进行</w:t>
            </w:r>
            <w:r>
              <w:rPr>
                <w:rFonts w:hint="eastAsia" w:ascii="宋体" w:hAnsi="宋体" w:eastAsia="宋体" w:cs="宋体"/>
                <w:color w:val="000000" w:themeColor="text1"/>
                <w:sz w:val="21"/>
                <w:szCs w:val="21"/>
                <w:lang w:eastAsia="zh-CN"/>
                <w14:textFill>
                  <w14:solidFill>
                    <w14:schemeClr w14:val="tx1"/>
                  </w14:solidFill>
                </w14:textFill>
              </w:rPr>
              <w:t>跟踪</w:t>
            </w:r>
            <w:r>
              <w:rPr>
                <w:rFonts w:hint="eastAsia" w:ascii="宋体" w:hAnsi="宋体" w:eastAsia="宋体" w:cs="宋体"/>
                <w:color w:val="000000" w:themeColor="text1"/>
                <w:sz w:val="21"/>
                <w:szCs w:val="21"/>
                <w14:textFill>
                  <w14:solidFill>
                    <w14:schemeClr w14:val="tx1"/>
                  </w14:solidFill>
                </w14:textFill>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施工图会审</w:t>
            </w:r>
          </w:p>
        </w:tc>
        <w:tc>
          <w:tcPr>
            <w:tcW w:w="3761"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设计交底</w:t>
            </w:r>
          </w:p>
        </w:tc>
        <w:tc>
          <w:tcPr>
            <w:tcW w:w="3761"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继续做好交底工作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方案审查</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升压站、集电线路，风机基础、储能部分方案已审查完成，集电线路、风机电气部分方案已审查完成。</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监督施工单位完善工程资料，对施工单位的技术措施、大型机械、特殊工种、管理体系运转情况等进行审查。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技术交底</w:t>
            </w:r>
          </w:p>
        </w:tc>
        <w:tc>
          <w:tcPr>
            <w:tcW w:w="3761" w:type="dxa"/>
            <w:vAlign w:val="center"/>
          </w:tcPr>
          <w:p>
            <w:pPr>
              <w:spacing w:line="360" w:lineRule="auto"/>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新进场人员和吊装人员</w:t>
            </w:r>
            <w:r>
              <w:rPr>
                <w:rFonts w:hint="eastAsia" w:ascii="宋体" w:hAnsi="宋体" w:eastAsia="宋体" w:cs="宋体"/>
                <w:color w:val="000000" w:themeColor="text1"/>
                <w:sz w:val="21"/>
                <w:szCs w:val="21"/>
                <w:lang w:eastAsia="zh-CN"/>
                <w14:textFill>
                  <w14:solidFill>
                    <w14:schemeClr w14:val="tx1"/>
                  </w14:solidFill>
                </w14:textFill>
              </w:rPr>
              <w:t>进行</w:t>
            </w:r>
            <w:r>
              <w:rPr>
                <w:rFonts w:hint="eastAsia" w:ascii="宋体" w:hAnsi="宋体" w:eastAsia="宋体" w:cs="宋体"/>
                <w:color w:val="000000" w:themeColor="text1"/>
                <w:sz w:val="21"/>
                <w:szCs w:val="21"/>
                <w:lang w:val="en-US" w:eastAsia="zh-CN"/>
                <w14:textFill>
                  <w14:solidFill>
                    <w14:schemeClr w14:val="tx1"/>
                  </w14:solidFill>
                </w14:textFill>
              </w:rPr>
              <w:t>安全</w:t>
            </w:r>
            <w:r>
              <w:rPr>
                <w:rFonts w:hint="eastAsia" w:ascii="宋体" w:hAnsi="宋体" w:eastAsia="宋体" w:cs="宋体"/>
                <w:color w:val="000000" w:themeColor="text1"/>
                <w:sz w:val="21"/>
                <w:szCs w:val="21"/>
                <w:lang w:eastAsia="zh-CN"/>
                <w14:textFill>
                  <w14:solidFill>
                    <w14:schemeClr w14:val="tx1"/>
                  </w14:solidFill>
                </w14:textFill>
              </w:rPr>
              <w:t>技术交底</w:t>
            </w:r>
            <w:r>
              <w:rPr>
                <w:rFonts w:hint="eastAsia" w:ascii="宋体" w:hAnsi="宋体" w:eastAsia="宋体" w:cs="宋体"/>
                <w:color w:val="000000" w:themeColor="text1"/>
                <w:sz w:val="21"/>
                <w:szCs w:val="21"/>
                <w:lang w:val="en-US" w:eastAsia="zh-CN"/>
                <w14:textFill>
                  <w14:solidFill>
                    <w14:schemeClr w14:val="tx1"/>
                  </w14:solidFill>
                </w14:textFill>
              </w:rPr>
              <w:t>培训</w:t>
            </w:r>
            <w:r>
              <w:rPr>
                <w:rFonts w:hint="eastAsia" w:ascii="宋体" w:hAnsi="宋体" w:eastAsia="宋体" w:cs="宋体"/>
                <w:color w:val="000000" w:themeColor="text1"/>
                <w:sz w:val="21"/>
                <w:szCs w:val="21"/>
                <w:lang w:eastAsia="zh-CN"/>
                <w14:textFill>
                  <w14:solidFill>
                    <w14:schemeClr w14:val="tx1"/>
                  </w14:solidFill>
                </w14:textFill>
              </w:rPr>
              <w:t>。</w:t>
            </w:r>
          </w:p>
        </w:tc>
        <w:tc>
          <w:tcPr>
            <w:tcW w:w="3008" w:type="dxa"/>
            <w:vAlign w:val="center"/>
          </w:tcPr>
          <w:p>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w:t>
            </w:r>
            <w:r>
              <w:rPr>
                <w:rFonts w:hint="eastAsia" w:ascii="宋体" w:hAnsi="宋体" w:eastAsia="宋体" w:cs="宋体"/>
                <w:color w:val="000000" w:themeColor="text1"/>
                <w:sz w:val="21"/>
                <w:szCs w:val="21"/>
                <w:lang w:eastAsia="zh-CN"/>
                <w14:textFill>
                  <w14:solidFill>
                    <w14:schemeClr w14:val="tx1"/>
                  </w14:solidFill>
                </w14:textFill>
              </w:rPr>
              <w:t>做好各项交底</w:t>
            </w:r>
            <w:r>
              <w:rPr>
                <w:rFonts w:hint="eastAsia" w:ascii="宋体" w:hAnsi="宋体" w:eastAsia="宋体" w:cs="宋体"/>
                <w:color w:val="000000" w:themeColor="text1"/>
                <w:sz w:val="21"/>
                <w:szCs w:val="21"/>
                <w:lang w:val="en-US" w:eastAsia="zh-CN"/>
                <w14:textFill>
                  <w14:solidFill>
                    <w14:schemeClr w14:val="tx1"/>
                  </w14:solidFill>
                </w14:textFill>
              </w:rPr>
              <w:t>工作</w:t>
            </w:r>
            <w:r>
              <w:rPr>
                <w:rFonts w:hint="eastAsia" w:ascii="宋体" w:hAnsi="宋体" w:eastAsia="宋体" w:cs="宋体"/>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设计变更</w:t>
            </w:r>
          </w:p>
        </w:tc>
        <w:tc>
          <w:tcPr>
            <w:tcW w:w="3761"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c>
          <w:tcPr>
            <w:tcW w:w="3008" w:type="dxa"/>
            <w:vAlign w:val="center"/>
          </w:tcPr>
          <w:p>
            <w:pPr>
              <w:spacing w:line="360" w:lineRule="auto"/>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p>
        </w:tc>
        <w:tc>
          <w:tcPr>
            <w:tcW w:w="1564" w:type="dxa"/>
            <w:vAlign w:val="center"/>
          </w:tcPr>
          <w:p>
            <w:pPr>
              <w:tabs>
                <w:tab w:val="left" w:pos="990"/>
              </w:tabs>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w:t>
            </w:r>
            <w:r>
              <w:rPr>
                <w:rFonts w:hint="eastAsia" w:ascii="宋体" w:hAnsi="宋体" w:eastAsia="宋体" w:cs="宋体"/>
                <w:color w:val="000000" w:themeColor="text1"/>
                <w:sz w:val="21"/>
                <w:szCs w:val="21"/>
                <w:lang w:val="en-US" w:eastAsia="zh-CN"/>
                <w14:textFill>
                  <w14:solidFill>
                    <w14:schemeClr w14:val="tx1"/>
                  </w14:solidFill>
                </w14:textFill>
              </w:rPr>
              <w:t>月活动</w:t>
            </w:r>
          </w:p>
          <w:p>
            <w:pPr>
              <w:tabs>
                <w:tab w:val="left" w:pos="990"/>
              </w:tabs>
              <w:spacing w:line="360" w:lineRule="auto"/>
              <w:jc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开展情况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项目部每周召安全工地例会和组织对施工现场进行安全大检查，宣传遵守安全生产法，每日对储能站、集电线路、风机基础、风机吊装现场进行安全巡查。</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继续开展安全文明施工教育，监督做好用火、用电，组织安全活动等工作。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培训情况</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安全交底情况</w:t>
            </w:r>
          </w:p>
        </w:tc>
        <w:tc>
          <w:tcPr>
            <w:tcW w:w="3761"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对新进场所有人员和吊装人员进行了安全教育培训和安全技术</w:t>
            </w:r>
            <w:r>
              <w:rPr>
                <w:rFonts w:hint="eastAsia" w:ascii="宋体" w:hAnsi="宋体" w:eastAsia="宋体" w:cs="宋体"/>
                <w:color w:val="000000" w:themeColor="text1"/>
                <w:sz w:val="21"/>
                <w:szCs w:val="21"/>
                <w14:textFill>
                  <w14:solidFill>
                    <w14:schemeClr w14:val="tx1"/>
                  </w14:solidFill>
                </w14:textFill>
              </w:rPr>
              <w:t>交底</w:t>
            </w:r>
            <w:r>
              <w:rPr>
                <w:rFonts w:hint="eastAsia" w:ascii="宋体" w:hAnsi="宋体" w:eastAsia="宋体" w:cs="宋体"/>
                <w:color w:val="000000" w:themeColor="text1"/>
                <w:sz w:val="21"/>
                <w:szCs w:val="21"/>
                <w:lang w:eastAsia="zh-CN"/>
                <w14:textFill>
                  <w14:solidFill>
                    <w14:schemeClr w14:val="tx1"/>
                  </w14:solidFill>
                </w14:textFill>
              </w:rPr>
              <w:t>。</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继续督促施工单位进行班前</w:t>
            </w:r>
            <w:r>
              <w:rPr>
                <w:rFonts w:hint="eastAsia" w:ascii="宋体" w:hAnsi="宋体" w:eastAsia="宋体" w:cs="宋体"/>
                <w:color w:val="000000" w:themeColor="text1"/>
                <w:sz w:val="21"/>
                <w:szCs w:val="21"/>
                <w:lang w:eastAsia="zh-CN"/>
                <w14:textFill>
                  <w14:solidFill>
                    <w14:schemeClr w14:val="tx1"/>
                  </w14:solidFill>
                </w14:textFill>
              </w:rPr>
              <w:t>技术、安全</w:t>
            </w:r>
            <w:r>
              <w:rPr>
                <w:rFonts w:hint="eastAsia" w:ascii="宋体" w:hAnsi="宋体" w:eastAsia="宋体" w:cs="宋体"/>
                <w:color w:val="000000" w:themeColor="text1"/>
                <w:sz w:val="21"/>
                <w:szCs w:val="21"/>
                <w:lang w:val="en-US" w:eastAsia="zh-CN"/>
                <w14:textFill>
                  <w14:solidFill>
                    <w14:schemeClr w14:val="tx1"/>
                  </w14:solidFill>
                </w14:textFill>
              </w:rPr>
              <w:t>教育</w:t>
            </w:r>
            <w:r>
              <w:rPr>
                <w:rFonts w:hint="eastAsia" w:ascii="宋体" w:hAnsi="宋体" w:eastAsia="宋体" w:cs="宋体"/>
                <w:color w:val="000000" w:themeColor="text1"/>
                <w:sz w:val="21"/>
                <w:szCs w:val="21"/>
                <w14:textFill>
                  <w14:solidFill>
                    <w14:schemeClr w14:val="tx1"/>
                  </w14:solidFill>
                </w14:textFill>
              </w:rPr>
              <w:t>交底</w:t>
            </w:r>
            <w:r>
              <w:rPr>
                <w:rFonts w:hint="eastAsia" w:ascii="宋体" w:hAnsi="宋体" w:eastAsia="宋体" w:cs="宋体"/>
                <w:color w:val="000000" w:themeColor="text1"/>
                <w:sz w:val="21"/>
                <w:szCs w:val="21"/>
                <w:lang w:val="en-US" w:eastAsia="zh-CN"/>
                <w14:textFill>
                  <w14:solidFill>
                    <w14:schemeClr w14:val="tx1"/>
                  </w14:solidFill>
                </w14:textFill>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安全措施</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落实情况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要求各施工区域五图一牌、防护栏杆、安全警示标志安装到位，施工现场灭火器等必须配备齐全。</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持续进行防火、防触电、防疫等措施、杜绝意外发生。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安全文明</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施工情况</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现场安全文明施工检查，本项目施工现场安全文明措施已逐渐完善，施工现场安全警示标语及岗位职责牌已基本备齐，风机现场临边防护不到位，储能现场临时用电不符合规范要求，未放置灭火器，都已按要求整改完成。</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加强现场安全</w:t>
            </w:r>
            <w:r>
              <w:rPr>
                <w:rFonts w:hint="eastAsia" w:ascii="宋体" w:hAnsi="宋体" w:eastAsia="宋体" w:cs="宋体"/>
                <w:color w:val="000000" w:themeColor="text1"/>
                <w:sz w:val="21"/>
                <w:szCs w:val="21"/>
                <w:lang w:eastAsia="zh-CN"/>
                <w14:textFill>
                  <w14:solidFill>
                    <w14:schemeClr w14:val="tx1"/>
                  </w14:solidFill>
                </w14:textFill>
              </w:rPr>
              <w:t>巡查，落实安全文明施工，</w:t>
            </w:r>
            <w:r>
              <w:rPr>
                <w:rFonts w:hint="eastAsia" w:ascii="宋体" w:hAnsi="宋体" w:eastAsia="宋体" w:cs="宋体"/>
                <w:color w:val="000000" w:themeColor="text1"/>
                <w:sz w:val="21"/>
                <w:szCs w:val="21"/>
                <w:lang w:val="en-US" w:eastAsia="zh-CN"/>
                <w14:textFill>
                  <w14:solidFill>
                    <w14:schemeClr w14:val="tx1"/>
                  </w14:solidFill>
                </w14:textFill>
              </w:rPr>
              <w:t>加强施工现场的监管力度，确保整个项目安全高效的进行。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02" w:type="dxa"/>
            <w:vMerge w:val="restart"/>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主要工序质量</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质量处于受控状态，原材料进场进行见证取样复检检测全部合格。</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督促各单位做好自检工作和工序报验，把好质量关。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564"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w:t>
            </w:r>
            <w:r>
              <w:rPr>
                <w:rFonts w:hint="eastAsia" w:ascii="宋体" w:hAnsi="宋体" w:eastAsia="宋体" w:cs="宋体"/>
                <w:color w:val="000000" w:themeColor="text1"/>
                <w:sz w:val="21"/>
                <w:szCs w:val="21"/>
                <w:lang w:val="en-US" w:eastAsia="zh-CN"/>
                <w14:textFill>
                  <w14:solidFill>
                    <w14:schemeClr w14:val="tx1"/>
                  </w14:solidFill>
                </w14:textFill>
              </w:rPr>
              <w:t>钢筋</w:t>
            </w:r>
            <w:r>
              <w:rPr>
                <w:rFonts w:hint="eastAsia" w:ascii="宋体" w:hAnsi="宋体" w:eastAsia="宋体" w:cs="宋体"/>
                <w:color w:val="000000" w:themeColor="text1"/>
                <w:sz w:val="21"/>
                <w:szCs w:val="21"/>
                <w14:textFill>
                  <w14:solidFill>
                    <w14:schemeClr w14:val="tx1"/>
                  </w14:solidFill>
                </w14:textFill>
              </w:rPr>
              <w:t>原材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风机锚栓、高强度螺母见证取样送检。</w:t>
            </w:r>
          </w:p>
        </w:tc>
        <w:tc>
          <w:tcPr>
            <w:tcW w:w="3761" w:type="dxa"/>
            <w:vAlign w:val="center"/>
          </w:tcPr>
          <w:p>
            <w:pPr>
              <w:pStyle w:val="2"/>
              <w:numPr>
                <w:ilvl w:val="0"/>
                <w:numId w:val="4"/>
              </w:numPr>
              <w:ind w:left="0" w:leftChars="0" w:firstLine="0" w:firstLineChars="0"/>
              <w:rPr>
                <w:rFonts w:hint="default"/>
                <w:lang w:val="en-US" w:eastAsia="zh-CN"/>
              </w:rPr>
            </w:pPr>
            <w:r>
              <w:rPr>
                <w:rFonts w:hint="eastAsia"/>
                <w:lang w:val="en-US" w:eastAsia="zh-CN"/>
              </w:rPr>
              <w:t>X1、W9#二次灌浆试块送检见证。</w:t>
            </w:r>
          </w:p>
          <w:p>
            <w:pPr>
              <w:pStyle w:val="2"/>
              <w:numPr>
                <w:ilvl w:val="0"/>
                <w:numId w:val="4"/>
              </w:numPr>
              <w:ind w:left="0" w:leftChars="0" w:firstLine="0" w:firstLineChars="0"/>
              <w:rPr>
                <w:rFonts w:hint="default"/>
                <w:lang w:val="en-US" w:eastAsia="zh-CN"/>
              </w:rPr>
            </w:pPr>
            <w:r>
              <w:rPr>
                <w:rFonts w:hint="eastAsia"/>
                <w:lang w:val="en-US" w:eastAsia="zh-CN"/>
              </w:rPr>
              <w:t>X8、W19B风机基础钢筋送检见证。</w:t>
            </w:r>
          </w:p>
          <w:p>
            <w:pPr>
              <w:pStyle w:val="2"/>
              <w:numPr>
                <w:ilvl w:val="0"/>
                <w:numId w:val="4"/>
              </w:numPr>
              <w:ind w:left="0" w:leftChars="0" w:firstLine="0" w:firstLineChars="0"/>
              <w:rPr>
                <w:rFonts w:hint="default"/>
                <w:lang w:val="en-US" w:eastAsia="zh-CN"/>
              </w:rPr>
            </w:pPr>
            <w:r>
              <w:rPr>
                <w:rFonts w:hint="eastAsia"/>
                <w:lang w:val="en-US" w:eastAsia="zh-CN"/>
              </w:rPr>
              <w:t>集电线路1回路铁塔基础混凝土试块送检见证。</w:t>
            </w:r>
          </w:p>
          <w:p>
            <w:pPr>
              <w:pStyle w:val="2"/>
              <w:numPr>
                <w:ilvl w:val="0"/>
                <w:numId w:val="4"/>
              </w:numPr>
              <w:ind w:left="0" w:leftChars="0" w:firstLine="0" w:firstLineChars="0"/>
              <w:rPr>
                <w:rFonts w:hint="default"/>
                <w:lang w:val="en-US" w:eastAsia="zh-CN"/>
              </w:rPr>
            </w:pPr>
            <w:r>
              <w:rPr>
                <w:rFonts w:hint="eastAsia"/>
                <w:lang w:val="en-US" w:eastAsia="zh-CN"/>
              </w:rPr>
              <w:t>13、21、22、25、27#风机箱变抽油送检。</w:t>
            </w:r>
          </w:p>
          <w:p>
            <w:pPr>
              <w:pStyle w:val="2"/>
              <w:numPr>
                <w:ilvl w:val="0"/>
                <w:numId w:val="4"/>
              </w:numPr>
              <w:ind w:left="0" w:leftChars="0" w:firstLine="0" w:firstLineChars="0"/>
              <w:rPr>
                <w:rFonts w:hint="default"/>
                <w:lang w:val="en-US" w:eastAsia="zh-CN"/>
              </w:rPr>
            </w:pPr>
            <w:r>
              <w:rPr>
                <w:rFonts w:hint="eastAsia"/>
                <w:lang w:val="en-US" w:eastAsia="zh-CN"/>
              </w:rPr>
              <w:t>储能站防水材料送检见证。</w:t>
            </w:r>
          </w:p>
        </w:tc>
        <w:tc>
          <w:tcPr>
            <w:tcW w:w="3008"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继续做好材料到场质量验收、见证取样、送检工作，把好材料源头质量关。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构（配）件</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进</w:t>
            </w:r>
            <w:r>
              <w:rPr>
                <w:rFonts w:hint="eastAsia" w:ascii="宋体" w:hAnsi="宋体" w:eastAsia="宋体" w:cs="宋体"/>
                <w:color w:val="000000" w:themeColor="text1"/>
                <w:sz w:val="21"/>
                <w:szCs w:val="21"/>
                <w:lang w:val="en-US" w:eastAsia="zh-CN"/>
                <w14:textFill>
                  <w14:solidFill>
                    <w14:schemeClr w14:val="tx1"/>
                  </w14:solidFill>
                </w14:textFill>
              </w:rPr>
              <w:t>场材料质量合格，符合要求。</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继续严格把控进场材料、设备配件的质量问题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设备质量</w:t>
            </w:r>
          </w:p>
        </w:tc>
        <w:tc>
          <w:tcPr>
            <w:tcW w:w="3761" w:type="dxa"/>
            <w:vAlign w:val="center"/>
          </w:tcPr>
          <w:p>
            <w:pPr>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所有进场设备质量符合设计规范要求</w:t>
            </w:r>
          </w:p>
        </w:tc>
        <w:tc>
          <w:tcPr>
            <w:tcW w:w="3008"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继续做好设备进场质量把控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vMerge w:val="continue"/>
            <w:vAlign w:val="center"/>
          </w:tcPr>
          <w:p>
            <w:pPr>
              <w:spacing w:line="360" w:lineRule="auto"/>
              <w:rPr>
                <w:rFonts w:hint="eastAsia" w:ascii="宋体" w:hAnsi="宋体" w:eastAsia="宋体" w:cs="宋体"/>
                <w:color w:val="FF0000"/>
                <w:sz w:val="21"/>
                <w:szCs w:val="21"/>
              </w:rPr>
            </w:pPr>
          </w:p>
        </w:tc>
        <w:tc>
          <w:tcPr>
            <w:tcW w:w="1564" w:type="dxa"/>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质量验评情况</w:t>
            </w:r>
          </w:p>
        </w:tc>
        <w:tc>
          <w:tcPr>
            <w:tcW w:w="3761" w:type="dxa"/>
            <w:vAlign w:val="center"/>
          </w:tcPr>
          <w:p>
            <w:pPr>
              <w:spacing w:line="360" w:lineRule="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按各施工单位验评划分进行检查、验收。</w:t>
            </w:r>
          </w:p>
        </w:tc>
        <w:tc>
          <w:tcPr>
            <w:tcW w:w="3008" w:type="dxa"/>
            <w:vAlign w:val="center"/>
          </w:tcPr>
          <w:p>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继续做好质量评定验收工作</w:t>
            </w:r>
          </w:p>
        </w:tc>
      </w:tr>
    </w:tbl>
    <w:p>
      <w:pPr>
        <w:pStyle w:val="11"/>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工程存在的问题和建议</w:t>
      </w:r>
    </w:p>
    <w:p>
      <w:pPr>
        <w:numPr>
          <w:ilvl w:val="0"/>
          <w:numId w:val="0"/>
        </w:numPr>
        <w:spacing w:line="360" w:lineRule="auto"/>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目前整个工程主要受征地协调和农民阻工造成整个工程的进度严重滞后，</w:t>
      </w:r>
      <w:r>
        <w:rPr>
          <w:rFonts w:hint="eastAsia" w:ascii="宋体" w:hAnsi="宋体" w:eastAsia="宋体" w:cs="宋体"/>
          <w:kern w:val="2"/>
          <w:sz w:val="24"/>
          <w:szCs w:val="24"/>
          <w:lang w:val="en-US" w:eastAsia="zh-CN" w:bidi="ar-SA"/>
        </w:rPr>
        <w:t>集电线1回线所属风机，位于刑郭镇X2、X7，乡政府帮助协调，同时寻找合适备选机位</w:t>
      </w:r>
      <w:r>
        <w:rPr>
          <w:rFonts w:hint="eastAsia" w:ascii="宋体" w:hAnsi="宋体" w:eastAsia="宋体" w:cs="宋体"/>
          <w:color w:val="000000" w:themeColor="text1"/>
          <w:sz w:val="24"/>
          <w:szCs w:val="24"/>
          <w:lang w:val="en-US" w:eastAsia="zh-CN"/>
          <w14:textFill>
            <w14:solidFill>
              <w14:schemeClr w14:val="tx1"/>
            </w14:solidFill>
          </w14:textFill>
        </w:rPr>
        <w:t>。</w:t>
      </w:r>
    </w:p>
    <w:p>
      <w:pPr>
        <w:pStyle w:val="11"/>
        <w:widowControl w:val="0"/>
        <w:numPr>
          <w:ilvl w:val="0"/>
          <w:numId w:val="1"/>
        </w:numPr>
        <w:spacing w:before="156" w:beforeLines="50" w:after="156" w:afterLines="50" w:line="360" w:lineRule="auto"/>
        <w:ind w:left="612" w:leftChars="0" w:hanging="612"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下月监理工作重点</w:t>
      </w:r>
    </w:p>
    <w:p>
      <w:pPr>
        <w:pStyle w:val="11"/>
        <w:widowControl w:val="0"/>
        <w:numPr>
          <w:ilvl w:val="0"/>
          <w:numId w:val="0"/>
        </w:numPr>
        <w:spacing w:before="156" w:beforeLines="50" w:after="156" w:afterLines="50" w:line="360" w:lineRule="auto"/>
        <w:ind w:lef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1、每周主持召开《工地例会》和《安全工地例会》一次，在例会上提出安全隐患问题，监督、督促施工单位进行整改，要求各个单位做好进度、安全、质量的各项工作。</w:t>
      </w:r>
    </w:p>
    <w:p>
      <w:pPr>
        <w:pStyle w:val="11"/>
        <w:widowControl w:val="0"/>
        <w:numPr>
          <w:ilvl w:val="0"/>
          <w:numId w:val="0"/>
        </w:numPr>
        <w:spacing w:before="156" w:beforeLines="50" w:after="156" w:afterLines="50" w:line="360" w:lineRule="auto"/>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2、配合业主单位做好并网前准备工作。要求施工单位合理安排施工进度计划，及时调整人力、物力。</w:t>
      </w:r>
    </w:p>
    <w:p>
      <w:pPr>
        <w:pStyle w:val="2"/>
        <w:spacing w:line="360" w:lineRule="auto"/>
        <w:ind w:left="0" w:leftChars="0" w:firstLine="480" w:firstLineChars="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color w:val="000000"/>
          <w:kern w:val="0"/>
          <w:sz w:val="24"/>
          <w:szCs w:val="24"/>
          <w:lang w:val="en-US" w:eastAsia="zh-CN" w:bidi="ar"/>
        </w:rPr>
        <w:t>3、继续</w:t>
      </w:r>
      <w:r>
        <w:rPr>
          <w:rFonts w:hint="eastAsia"/>
          <w:sz w:val="24"/>
          <w:szCs w:val="24"/>
          <w:lang w:val="en-US" w:eastAsia="zh-CN"/>
        </w:rPr>
        <w:t>督促施工单位对新进场人员的教育与培训，做好班前交底、安全技术交底、三级教育等工作，提高安全生产意识，避免安全事故发生。</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numPr>
          <w:ilvl w:val="0"/>
          <w:numId w:val="0"/>
        </w:numPr>
        <w:spacing w:line="360" w:lineRule="auto"/>
        <w:ind w:firstLine="480" w:firstLineChars="200"/>
        <w:rPr>
          <w:rFonts w:hint="default"/>
          <w:sz w:val="24"/>
          <w:szCs w:val="24"/>
          <w:lang w:val="en-US" w:eastAsia="zh-CN"/>
        </w:rPr>
      </w:pPr>
      <w:r>
        <w:rPr>
          <w:rFonts w:hint="eastAsia" w:ascii="宋体" w:hAnsi="宋体" w:cs="宋体" w:eastAsiaTheme="minorEastAsia"/>
          <w:color w:val="000000"/>
          <w:kern w:val="0"/>
          <w:sz w:val="24"/>
          <w:szCs w:val="24"/>
          <w:lang w:val="en-US" w:eastAsia="zh-CN" w:bidi="ar"/>
        </w:rPr>
        <w:t>4、</w:t>
      </w:r>
      <w:r>
        <w:rPr>
          <w:rFonts w:hint="eastAsia" w:asciiTheme="minorHAnsi" w:hAnsiTheme="minorHAnsi" w:eastAsiaTheme="minorEastAsia" w:cstheme="minorBidi"/>
          <w:kern w:val="2"/>
          <w:sz w:val="24"/>
          <w:szCs w:val="24"/>
          <w:lang w:val="en-US" w:eastAsia="zh-CN" w:bidi="ar-SA"/>
        </w:rPr>
        <w:t>督促施工单位按照施工工艺和设计要求进行施工。</w:t>
      </w:r>
    </w:p>
    <w:p>
      <w:pPr>
        <w:pStyle w:val="2"/>
        <w:spacing w:line="360" w:lineRule="auto"/>
        <w:ind w:left="0" w:leftChars="0" w:firstLine="480" w:firstLineChars="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sz w:val="24"/>
          <w:szCs w:val="24"/>
          <w:lang w:val="en-US" w:eastAsia="zh-CN"/>
        </w:rPr>
        <w:t>5、</w:t>
      </w:r>
      <w:r>
        <w:rPr>
          <w:rFonts w:hint="eastAsia" w:ascii="宋体" w:hAnsi="宋体" w:cs="宋体"/>
          <w:color w:val="000000"/>
          <w:kern w:val="0"/>
          <w:sz w:val="24"/>
          <w:szCs w:val="24"/>
          <w:lang w:val="en-US" w:eastAsia="zh-CN" w:bidi="ar"/>
        </w:rPr>
        <w:t>继续对风机吊装全程旁站。</w:t>
      </w:r>
    </w:p>
    <w:p>
      <w:pPr>
        <w:pStyle w:val="11"/>
        <w:widowControl w:val="0"/>
        <w:numPr>
          <w:ilvl w:val="0"/>
          <w:numId w:val="1"/>
        </w:numPr>
        <w:spacing w:before="156" w:beforeLines="50" w:after="156" w:afterLines="50" w:line="240" w:lineRule="auto"/>
        <w:ind w:left="612" w:leftChars="0" w:hanging="612" w:firstLineChars="0"/>
        <w:jc w:val="left"/>
        <w:rPr>
          <w:rFonts w:hint="eastAsia"/>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现场图片</w:t>
      </w:r>
      <w:r>
        <w:rPr>
          <w:rFonts w:hint="eastAsia"/>
          <w:color w:val="000000" w:themeColor="text1"/>
          <w:sz w:val="24"/>
          <w:szCs w:val="24"/>
          <w:lang w:val="en-US" w:eastAsia="zh-CN"/>
          <w14:textFill>
            <w14:solidFill>
              <w14:schemeClr w14:val="tx1"/>
            </w14:solidFill>
          </w14:textFill>
        </w:rPr>
        <w:t xml:space="preserve">  </w:t>
      </w:r>
    </w:p>
    <w:p>
      <w:pPr>
        <w:pStyle w:val="11"/>
        <w:widowControl w:val="0"/>
        <w:numPr>
          <w:ilvl w:val="0"/>
          <w:numId w:val="0"/>
        </w:numPr>
        <w:spacing w:before="156" w:beforeLines="50" w:after="156" w:afterLines="50" w:line="240" w:lineRule="auto"/>
        <w:ind w:leftChars="0"/>
        <w:jc w:val="left"/>
        <w:rPr>
          <w:rFonts w:hint="eastAsia"/>
          <w:color w:val="000000" w:themeColor="text1"/>
          <w:sz w:val="24"/>
          <w:szCs w:val="24"/>
          <w:lang w:val="en-US" w:eastAsia="zh-CN"/>
          <w14:textFill>
            <w14:solidFill>
              <w14:schemeClr w14:val="tx1"/>
            </w14:solidFill>
          </w14:textFill>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6"/>
        <w:gridCol w:w="4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8785" cy="2233295"/>
                  <wp:effectExtent l="0" t="0" r="8255" b="6985"/>
                  <wp:docPr id="1" name="图片 1" descr="微信图片_202304011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01141953"/>
                          <pic:cNvPicPr>
                            <a:picLocks noChangeAspect="1"/>
                          </pic:cNvPicPr>
                        </pic:nvPicPr>
                        <pic:blipFill>
                          <a:blip r:embed="rId7"/>
                          <a:stretch>
                            <a:fillRect/>
                          </a:stretch>
                        </pic:blipFill>
                        <pic:spPr>
                          <a:xfrm>
                            <a:off x="0" y="0"/>
                            <a:ext cx="2978785" cy="223329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12065" b="12065"/>
                  <wp:docPr id="2" name="图片 2" descr="微信图片_202304021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402101045"/>
                          <pic:cNvPicPr>
                            <a:picLocks noChangeAspect="1"/>
                          </pic:cNvPicPr>
                        </pic:nvPicPr>
                        <pic:blipFill>
                          <a:blip r:embed="rId8"/>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83230" cy="2236470"/>
                  <wp:effectExtent l="0" t="0" r="3810" b="3810"/>
                  <wp:docPr id="3" name="图片 3" descr="微信图片_2023040410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404104915"/>
                          <pic:cNvPicPr>
                            <a:picLocks noChangeAspect="1"/>
                          </pic:cNvPicPr>
                        </pic:nvPicPr>
                        <pic:blipFill>
                          <a:blip r:embed="rId9"/>
                          <a:stretch>
                            <a:fillRect/>
                          </a:stretch>
                        </pic:blipFill>
                        <pic:spPr>
                          <a:xfrm>
                            <a:off x="0" y="0"/>
                            <a:ext cx="2983230" cy="223647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4975" cy="2231390"/>
                  <wp:effectExtent l="0" t="0" r="12065" b="8890"/>
                  <wp:docPr id="15" name="图片 15" descr="微信图片_2023041115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411155204"/>
                          <pic:cNvPicPr>
                            <a:picLocks noChangeAspect="1"/>
                          </pic:cNvPicPr>
                        </pic:nvPicPr>
                        <pic:blipFill>
                          <a:blip r:embed="rId10"/>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4975" cy="2231390"/>
                  <wp:effectExtent l="0" t="0" r="12065" b="8890"/>
                  <wp:docPr id="6" name="图片 6" descr="微信图片_2023040515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405155659"/>
                          <pic:cNvPicPr>
                            <a:picLocks noChangeAspect="1"/>
                          </pic:cNvPicPr>
                        </pic:nvPicPr>
                        <pic:blipFill>
                          <a:blip r:embed="rId11"/>
                          <a:stretch>
                            <a:fillRect/>
                          </a:stretch>
                        </pic:blipFill>
                        <pic:spPr>
                          <a:xfrm>
                            <a:off x="0" y="0"/>
                            <a:ext cx="2974975" cy="223139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12065" b="12065"/>
                  <wp:docPr id="8" name="图片 8" descr="微信图片_2023040617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406171254"/>
                          <pic:cNvPicPr>
                            <a:picLocks noChangeAspect="1"/>
                          </pic:cNvPicPr>
                        </pic:nvPicPr>
                        <pic:blipFill>
                          <a:blip r:embed="rId12"/>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4975" cy="2231390"/>
                  <wp:effectExtent l="0" t="0" r="12065" b="8890"/>
                  <wp:docPr id="10" name="图片 10" descr="微信图片_202304101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410101403"/>
                          <pic:cNvPicPr>
                            <a:picLocks noChangeAspect="1"/>
                          </pic:cNvPicPr>
                        </pic:nvPicPr>
                        <pic:blipFill>
                          <a:blip r:embed="rId13"/>
                          <a:stretch>
                            <a:fillRect/>
                          </a:stretch>
                        </pic:blipFill>
                        <pic:spPr>
                          <a:xfrm>
                            <a:off x="0" y="0"/>
                            <a:ext cx="2974975" cy="223139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90215" cy="2243455"/>
                  <wp:effectExtent l="0" t="0" r="12065" b="12065"/>
                  <wp:docPr id="11" name="图片 11" descr="微信图片_2023041209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412091129"/>
                          <pic:cNvPicPr>
                            <a:picLocks noChangeAspect="1"/>
                          </pic:cNvPicPr>
                        </pic:nvPicPr>
                        <pic:blipFill>
                          <a:blip r:embed="rId14"/>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64815" cy="2223770"/>
                  <wp:effectExtent l="0" t="0" r="6985" b="1270"/>
                  <wp:docPr id="7" name="图片 7" descr="微信图片_2023041814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418140607"/>
                          <pic:cNvPicPr>
                            <a:picLocks noChangeAspect="1"/>
                          </pic:cNvPicPr>
                        </pic:nvPicPr>
                        <pic:blipFill>
                          <a:blip r:embed="rId15"/>
                          <a:stretch>
                            <a:fillRect/>
                          </a:stretch>
                        </pic:blipFill>
                        <pic:spPr>
                          <a:xfrm>
                            <a:off x="0" y="0"/>
                            <a:ext cx="2964815" cy="222377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eastAsiaTheme="minorEastAsia"/>
                <w:b w:val="0"/>
                <w:bCs w:val="0"/>
                <w:color w:val="000000" w:themeColor="text1"/>
                <w:sz w:val="24"/>
                <w:szCs w:val="24"/>
                <w:vertAlign w:val="baseline"/>
                <w:lang w:eastAsia="zh-CN"/>
                <w14:textFill>
                  <w14:solidFill>
                    <w14:schemeClr w14:val="tx1"/>
                  </w14:solidFill>
                </w14:textFill>
              </w:rPr>
            </w:pPr>
            <w:r>
              <w:rPr>
                <w:rFonts w:hint="eastAsia" w:eastAsiaTheme="minorEastAsia"/>
                <w:b w:val="0"/>
                <w:bCs w:val="0"/>
                <w:color w:val="000000" w:themeColor="text1"/>
                <w:sz w:val="24"/>
                <w:szCs w:val="24"/>
                <w:vertAlign w:val="baseline"/>
                <w:lang w:eastAsia="zh-CN"/>
                <w14:textFill>
                  <w14:solidFill>
                    <w14:schemeClr w14:val="tx1"/>
                  </w14:solidFill>
                </w14:textFill>
              </w:rPr>
              <w:drawing>
                <wp:inline distT="0" distB="0" distL="114300" distR="114300">
                  <wp:extent cx="2990215" cy="2243455"/>
                  <wp:effectExtent l="0" t="0" r="12065" b="12065"/>
                  <wp:docPr id="12" name="图片 12" descr="微信图片_2023041908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419081632"/>
                          <pic:cNvPicPr>
                            <a:picLocks noChangeAspect="1"/>
                          </pic:cNvPicPr>
                        </pic:nvPicPr>
                        <pic:blipFill>
                          <a:blip r:embed="rId16"/>
                          <a:stretch>
                            <a:fillRect/>
                          </a:stretch>
                        </pic:blipFill>
                        <pic:spPr>
                          <a:xfrm>
                            <a:off x="0" y="0"/>
                            <a:ext cx="2990215" cy="2243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4975" cy="2231390"/>
                  <wp:effectExtent l="0" t="0" r="12065" b="8890"/>
                  <wp:docPr id="13" name="图片 13" descr="微信图片_2023042208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422085850"/>
                          <pic:cNvPicPr>
                            <a:picLocks noChangeAspect="1"/>
                          </pic:cNvPicPr>
                        </pic:nvPicPr>
                        <pic:blipFill>
                          <a:blip r:embed="rId17"/>
                          <a:stretch>
                            <a:fillRect/>
                          </a:stretch>
                        </pic:blipFill>
                        <pic:spPr>
                          <a:xfrm>
                            <a:off x="0" y="0"/>
                            <a:ext cx="2974975" cy="2231390"/>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eastAsiaTheme="minorEastAsia"/>
                <w:b w:val="0"/>
                <w:bCs w:val="0"/>
                <w:color w:val="000000" w:themeColor="text1"/>
                <w:sz w:val="24"/>
                <w:szCs w:val="24"/>
                <w:vertAlign w:val="baseline"/>
                <w:lang w:val="en-US" w:eastAsia="zh-CN"/>
                <w14:textFill>
                  <w14:solidFill>
                    <w14:schemeClr w14:val="tx1"/>
                  </w14:solidFill>
                </w14:textFill>
              </w:rPr>
            </w:pPr>
            <w:r>
              <w:rPr>
                <w:rFonts w:hint="default" w:eastAsiaTheme="minorEastAsia"/>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4975" cy="2231390"/>
                  <wp:effectExtent l="0" t="0" r="12065" b="8890"/>
                  <wp:docPr id="17" name="图片 17" descr="微信图片_2023042809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0428090846"/>
                          <pic:cNvPicPr>
                            <a:picLocks noChangeAspect="1"/>
                          </pic:cNvPicPr>
                        </pic:nvPicPr>
                        <pic:blipFill>
                          <a:blip r:embed="rId18"/>
                          <a:stretch>
                            <a:fillRect/>
                          </a:stretch>
                        </pic:blipFill>
                        <pic:spPr>
                          <a:xfrm>
                            <a:off x="0" y="0"/>
                            <a:ext cx="2974975" cy="2231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4916"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eastAsia"/>
                <w:b w:val="0"/>
                <w:bCs w:val="0"/>
                <w:color w:val="000000" w:themeColor="text1"/>
                <w:sz w:val="24"/>
                <w:szCs w:val="24"/>
                <w:vertAlign w:val="baseline"/>
                <w:lang w:eastAsia="zh-CN"/>
                <w14:textFill>
                  <w14:solidFill>
                    <w14:schemeClr w14:val="tx1"/>
                  </w14:solidFill>
                </w14:textFill>
              </w:rPr>
              <w:drawing>
                <wp:inline distT="0" distB="0" distL="114300" distR="114300">
                  <wp:extent cx="2979420" cy="2234565"/>
                  <wp:effectExtent l="0" t="0" r="7620" b="5715"/>
                  <wp:docPr id="14" name="图片 14" descr="微信图片_2023042610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426104552"/>
                          <pic:cNvPicPr>
                            <a:picLocks noChangeAspect="1"/>
                          </pic:cNvPicPr>
                        </pic:nvPicPr>
                        <pic:blipFill>
                          <a:blip r:embed="rId19"/>
                          <a:stretch>
                            <a:fillRect/>
                          </a:stretch>
                        </pic:blipFill>
                        <pic:spPr>
                          <a:xfrm>
                            <a:off x="0" y="0"/>
                            <a:ext cx="2979420" cy="223456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eastAsia"/>
                <w:b w:val="0"/>
                <w:bCs w:val="0"/>
                <w:color w:val="000000" w:themeColor="text1"/>
                <w:sz w:val="24"/>
                <w:szCs w:val="24"/>
                <w:vertAlign w:val="baseline"/>
                <w:lang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6880" cy="2233295"/>
                  <wp:effectExtent l="0" t="0" r="10160" b="6985"/>
                  <wp:docPr id="19" name="图片 19" descr="微信图片_2023042516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0425163246"/>
                          <pic:cNvPicPr>
                            <a:picLocks noChangeAspect="1"/>
                          </pic:cNvPicPr>
                        </pic:nvPicPr>
                        <pic:blipFill>
                          <a:blip r:embed="rId20"/>
                          <a:stretch>
                            <a:fillRect/>
                          </a:stretch>
                        </pic:blipFill>
                        <pic:spPr>
                          <a:xfrm>
                            <a:off x="0" y="0"/>
                            <a:ext cx="2976880" cy="2233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6"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76880" cy="2233295"/>
                  <wp:effectExtent l="0" t="0" r="10160" b="6985"/>
                  <wp:docPr id="18" name="图片 18" descr="微信图片_2023042715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427150020"/>
                          <pic:cNvPicPr>
                            <a:picLocks noChangeAspect="1"/>
                          </pic:cNvPicPr>
                        </pic:nvPicPr>
                        <pic:blipFill>
                          <a:blip r:embed="rId21"/>
                          <a:stretch>
                            <a:fillRect/>
                          </a:stretch>
                        </pic:blipFill>
                        <pic:spPr>
                          <a:xfrm>
                            <a:off x="0" y="0"/>
                            <a:ext cx="2976880" cy="2233295"/>
                          </a:xfrm>
                          <a:prstGeom prst="rect">
                            <a:avLst/>
                          </a:prstGeom>
                        </pic:spPr>
                      </pic:pic>
                    </a:graphicData>
                  </a:graphic>
                </wp:inline>
              </w:drawing>
            </w:r>
          </w:p>
        </w:tc>
        <w:tc>
          <w:tcPr>
            <w:tcW w:w="4939" w:type="dxa"/>
          </w:tcPr>
          <w:p>
            <w:pPr>
              <w:pStyle w:val="11"/>
              <w:widowControl w:val="0"/>
              <w:numPr>
                <w:ilvl w:val="0"/>
                <w:numId w:val="0"/>
              </w:numPr>
              <w:spacing w:before="156" w:beforeLines="50" w:after="156" w:afterLines="50" w:line="240" w:lineRule="auto"/>
              <w:jc w:val="left"/>
              <w:rPr>
                <w:rFonts w:hint="default"/>
                <w:b w:val="0"/>
                <w:bCs w:val="0"/>
                <w:color w:val="000000" w:themeColor="text1"/>
                <w:sz w:val="24"/>
                <w:szCs w:val="24"/>
                <w:vertAlign w:val="baseline"/>
                <w:lang w:val="en-US" w:eastAsia="zh-CN"/>
                <w14:textFill>
                  <w14:solidFill>
                    <w14:schemeClr w14:val="tx1"/>
                  </w14:solidFill>
                </w14:textFill>
              </w:rPr>
            </w:pPr>
            <w:r>
              <w:rPr>
                <w:rFonts w:hint="default"/>
                <w:b w:val="0"/>
                <w:bCs w:val="0"/>
                <w:color w:val="000000" w:themeColor="text1"/>
                <w:sz w:val="24"/>
                <w:szCs w:val="24"/>
                <w:vertAlign w:val="baseline"/>
                <w:lang w:val="en-US" w:eastAsia="zh-CN"/>
                <w14:textFill>
                  <w14:solidFill>
                    <w14:schemeClr w14:val="tx1"/>
                  </w14:solidFill>
                </w14:textFill>
              </w:rPr>
              <w:drawing>
                <wp:inline distT="0" distB="0" distL="114300" distR="114300">
                  <wp:extent cx="2990215" cy="2241550"/>
                  <wp:effectExtent l="0" t="0" r="12065" b="13970"/>
                  <wp:docPr id="16" name="图片 16" descr="微信图片_2023043014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430140933"/>
                          <pic:cNvPicPr>
                            <a:picLocks noChangeAspect="1"/>
                          </pic:cNvPicPr>
                        </pic:nvPicPr>
                        <pic:blipFill>
                          <a:blip r:embed="rId22"/>
                          <a:stretch>
                            <a:fillRect/>
                          </a:stretch>
                        </pic:blipFill>
                        <pic:spPr>
                          <a:xfrm>
                            <a:off x="0" y="0"/>
                            <a:ext cx="2990215" cy="2241550"/>
                          </a:xfrm>
                          <a:prstGeom prst="rect">
                            <a:avLst/>
                          </a:prstGeom>
                        </pic:spPr>
                      </pic:pic>
                    </a:graphicData>
                  </a:graphic>
                </wp:inline>
              </w:drawing>
            </w:r>
          </w:p>
        </w:tc>
      </w:tr>
    </w:tbl>
    <w:p>
      <w:pPr>
        <w:pStyle w:val="11"/>
        <w:widowControl w:val="0"/>
        <w:numPr>
          <w:ilvl w:val="0"/>
          <w:numId w:val="0"/>
        </w:numPr>
        <w:spacing w:before="156" w:beforeLines="50" w:after="156" w:afterLines="50" w:line="240" w:lineRule="auto"/>
        <w:ind w:leftChars="0"/>
        <w:jc w:val="left"/>
        <w:rPr>
          <w:rFonts w:hint="eastAsia" w:eastAsiaTheme="minorEastAsia"/>
          <w:b w:val="0"/>
          <w:bCs w:val="0"/>
          <w:color w:val="000000" w:themeColor="text1"/>
          <w:sz w:val="24"/>
          <w:szCs w:val="24"/>
          <w:lang w:eastAsia="zh-CN"/>
          <w14:textFill>
            <w14:solidFill>
              <w14:schemeClr w14:val="tx1"/>
            </w14:solidFill>
          </w14:textFill>
        </w:rPr>
      </w:pPr>
    </w:p>
    <w:p>
      <w:pPr>
        <w:pStyle w:val="4"/>
        <w:spacing w:before="156" w:after="120"/>
        <w:ind w:firstLine="2400" w:firstLineChars="1000"/>
        <w:jc w:val="both"/>
        <w:rPr>
          <w:rFonts w:hint="eastAsia" w:ascii="宋体" w:hAnsi="宋体" w:eastAsia="宋体" w:cs="宋体"/>
          <w:b w:val="0"/>
          <w:bCs w:val="0"/>
          <w:i w:val="0"/>
          <w:iCs w:val="0"/>
          <w:sz w:val="24"/>
          <w:szCs w:val="24"/>
          <w:u w:val="none"/>
          <w:lang w:val="en-US" w:eastAsia="zh-CN"/>
        </w:rPr>
      </w:pPr>
    </w:p>
    <w:p>
      <w:pPr>
        <w:pStyle w:val="4"/>
        <w:spacing w:before="156" w:after="120"/>
        <w:jc w:val="both"/>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w:t>
      </w:r>
    </w:p>
    <w:p>
      <w:pPr>
        <w:pStyle w:val="4"/>
        <w:spacing w:before="156" w:after="120"/>
        <w:jc w:val="center"/>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常州正衡电力工程监理有限公司</w:t>
      </w:r>
    </w:p>
    <w:p>
      <w:pPr>
        <w:pStyle w:val="4"/>
        <w:spacing w:before="156" w:after="120"/>
        <w:jc w:val="center"/>
        <w:rPr>
          <w:rFonts w:hint="eastAsia" w:ascii="宋体" w:hAnsi="宋体" w:eastAsia="宋体" w:cs="宋体"/>
          <w:b w:val="0"/>
          <w:bCs w:val="0"/>
          <w:i w:val="0"/>
          <w:iCs w:val="0"/>
          <w:sz w:val="24"/>
          <w:szCs w:val="24"/>
          <w:u w:val="none"/>
          <w:lang w:val="en-US" w:eastAsia="zh-CN"/>
        </w:rPr>
      </w:pPr>
      <w:r>
        <w:rPr>
          <w:rFonts w:hint="eastAsia" w:ascii="宋体" w:hAnsi="宋体" w:eastAsia="宋体" w:cs="宋体"/>
          <w:b w:val="0"/>
          <w:bCs w:val="0"/>
          <w:i w:val="0"/>
          <w:iCs w:val="0"/>
          <w:sz w:val="24"/>
          <w:szCs w:val="24"/>
          <w:u w:val="none"/>
          <w:lang w:val="en-US" w:eastAsia="zh-CN"/>
        </w:rPr>
        <w:t xml:space="preserve">                                     赞皇40万千瓦一期20万千瓦风电项目 </w:t>
      </w:r>
    </w:p>
    <w:p>
      <w:pPr>
        <w:pStyle w:val="4"/>
        <w:spacing w:before="156" w:after="120"/>
        <w:jc w:val="center"/>
        <w:rPr>
          <w:b w:val="0"/>
          <w:bCs w:val="0"/>
          <w:sz w:val="24"/>
          <w:szCs w:val="24"/>
          <w:lang w:val="en-US"/>
        </w:rPr>
      </w:pPr>
      <w:r>
        <w:rPr>
          <w:rFonts w:hint="eastAsia" w:ascii="宋体" w:hAnsi="宋体" w:eastAsia="宋体" w:cs="宋体"/>
          <w:b w:val="0"/>
          <w:bCs w:val="0"/>
          <w:i w:val="0"/>
          <w:iCs w:val="0"/>
          <w:sz w:val="24"/>
          <w:szCs w:val="24"/>
          <w:u w:val="none"/>
          <w:lang w:val="en-US" w:eastAsia="zh-CN"/>
        </w:rPr>
        <w:t xml:space="preserve">                                   （本期10万千瓦）</w:t>
      </w:r>
    </w:p>
    <w:p>
      <w:pPr>
        <w:spacing w:before="312" w:beforeLines="100" w:after="468" w:afterLines="150" w:line="240" w:lineRule="auto"/>
        <w:jc w:val="center"/>
        <w:rPr>
          <w:rFonts w:hint="eastAsia" w:asciiTheme="minorEastAsia" w:hAnsiTheme="minorEastAsia" w:cstheme="minorEastAsia"/>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监</w:t>
      </w:r>
      <w:r>
        <w:rPr>
          <w:rFonts w:hint="eastAsia" w:asciiTheme="minorEastAsia" w:hAnsiTheme="minorEastAsia" w:eastAsiaTheme="minorEastAsia" w:cstheme="minorEastAsia"/>
          <w:b w:val="0"/>
          <w:bCs w:val="0"/>
          <w:i w:val="0"/>
          <w:iCs w:val="0"/>
          <w:sz w:val="24"/>
          <w:szCs w:val="24"/>
          <w:u w:val="none"/>
          <w:lang w:val="en-US" w:eastAsia="zh-CN"/>
        </w:rPr>
        <w:t>理部</w:t>
      </w:r>
      <w:r>
        <w:rPr>
          <w:rFonts w:hint="eastAsia" w:asciiTheme="minorEastAsia" w:hAnsiTheme="minorEastAsia" w:cstheme="minorEastAsia"/>
          <w:b w:val="0"/>
          <w:bCs w:val="0"/>
          <w:i w:val="0"/>
          <w:iCs w:val="0"/>
          <w:sz w:val="24"/>
          <w:szCs w:val="24"/>
          <w:u w:val="none"/>
          <w:lang w:val="en-US" w:eastAsia="zh-CN"/>
        </w:rPr>
        <w:t xml:space="preserve">  </w:t>
      </w:r>
    </w:p>
    <w:p>
      <w:pPr>
        <w:spacing w:before="312" w:beforeLines="100" w:after="468" w:afterLines="150" w:line="240" w:lineRule="auto"/>
        <w:jc w:val="center"/>
        <w:rPr>
          <w:rFonts w:hint="eastAsia" w:ascii="宋体" w:hAnsi="宋体" w:eastAsia="宋体" w:cs="宋体"/>
          <w:b w:val="0"/>
          <w:bCs w:val="0"/>
          <w:i w:val="0"/>
          <w:iCs w:val="0"/>
          <w:sz w:val="24"/>
          <w:szCs w:val="24"/>
          <w:u w:val="none"/>
          <w:lang w:val="en-US" w:eastAsia="zh-CN"/>
        </w:rPr>
      </w:pPr>
      <w:r>
        <w:rPr>
          <w:rFonts w:hint="eastAsia" w:asciiTheme="minorEastAsia" w:hAnsiTheme="minorEastAsia" w:cstheme="minorEastAsia"/>
          <w:b w:val="0"/>
          <w:bCs w:val="0"/>
          <w:i w:val="0"/>
          <w:iCs w:val="0"/>
          <w:sz w:val="24"/>
          <w:szCs w:val="24"/>
          <w:u w:val="none"/>
          <w:lang w:val="en-US" w:eastAsia="zh-CN"/>
        </w:rPr>
        <w:t xml:space="preserve">                                   </w:t>
      </w:r>
      <w:r>
        <w:rPr>
          <w:rFonts w:hint="eastAsia" w:ascii="宋体" w:hAnsi="宋体" w:eastAsia="宋体" w:cs="宋体"/>
          <w:b w:val="0"/>
          <w:bCs w:val="0"/>
          <w:i w:val="0"/>
          <w:iCs w:val="0"/>
          <w:kern w:val="0"/>
          <w:sz w:val="24"/>
          <w:szCs w:val="24"/>
          <w:u w:val="none"/>
          <w:lang w:val="en-US" w:eastAsia="zh-CN" w:bidi="ar-SA"/>
        </w:rPr>
        <w:t xml:space="preserve"> 2023年04月30日</w:t>
      </w:r>
    </w:p>
    <w:sectPr>
      <w:headerReference r:id="rId4" w:type="first"/>
      <w:headerReference r:id="rId3" w:type="default"/>
      <w:footerReference r:id="rId5" w:type="default"/>
      <w:pgSz w:w="11906" w:h="16838"/>
      <w:pgMar w:top="1134" w:right="850" w:bottom="1134"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21851"/>
    </w:sdtPr>
    <w:sdtContent>
      <w:p>
        <w:pPr>
          <w:pStyle w:val="6"/>
          <w:jc w:val="center"/>
        </w:pPr>
        <w:r>
          <w:fldChar w:fldCharType="begin"/>
        </w:r>
        <w:r>
          <w:instrText xml:space="preserve">PAGE   \* MERGEFORMAT</w:instrText>
        </w:r>
        <w:r>
          <w:fldChar w:fldCharType="separate"/>
        </w:r>
        <w:r>
          <w:rPr>
            <w:lang w:val="zh-CN"/>
          </w:rPr>
          <w:t>4</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1680" w:firstLineChars="800"/>
      <w:jc w:val="both"/>
      <w:rPr>
        <w:rFonts w:hint="default"/>
        <w:lang w:val="en-US"/>
      </w:rPr>
    </w:pPr>
    <w:r>
      <w:rPr>
        <w:rFonts w:hint="eastAsia" w:ascii="微软雅黑" w:hAnsi="微软雅黑" w:eastAsia="微软雅黑" w:cs="微软雅黑"/>
        <w:b w:val="0"/>
        <w:bCs w:val="0"/>
        <w:i w:val="0"/>
        <w:iCs w:val="0"/>
        <w:sz w:val="21"/>
        <w:szCs w:val="21"/>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default"/>
        <w:lang w:val="en-US"/>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ascii="微软雅黑" w:hAnsi="微软雅黑" w:eastAsia="微软雅黑" w:cs="微软雅黑"/>
        <w:b/>
        <w:bCs/>
        <w:sz w:val="21"/>
        <w:szCs w:val="21"/>
        <w:lang w:eastAsia="zh-CN"/>
      </w:rPr>
      <w:drawing>
        <wp:anchor distT="0" distB="0" distL="114300" distR="114300" simplePos="0" relativeHeight="251659264" behindDoc="1" locked="0" layoutInCell="1" allowOverlap="1">
          <wp:simplePos x="0" y="0"/>
          <wp:positionH relativeFrom="column">
            <wp:posOffset>-307975</wp:posOffset>
          </wp:positionH>
          <wp:positionV relativeFrom="paragraph">
            <wp:posOffset>-298450</wp:posOffset>
          </wp:positionV>
          <wp:extent cx="537845" cy="509905"/>
          <wp:effectExtent l="0" t="0" r="14605" b="444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1"/>
                  <a:stretch>
                    <a:fillRect/>
                  </a:stretch>
                </pic:blipFill>
                <pic:spPr>
                  <a:xfrm>
                    <a:off x="0" y="0"/>
                    <a:ext cx="537845" cy="509905"/>
                  </a:xfrm>
                  <a:prstGeom prst="rect">
                    <a:avLst/>
                  </a:prstGeom>
                  <a:noFill/>
                  <a:ln>
                    <a:noFill/>
                  </a:ln>
                </pic:spPr>
              </pic:pic>
            </a:graphicData>
          </a:graphic>
        </wp:anchor>
      </w:drawing>
    </w:r>
    <w:r>
      <w:rPr>
        <w:rFonts w:hint="eastAsia" w:ascii="微软雅黑" w:hAnsi="微软雅黑" w:eastAsia="微软雅黑" w:cs="微软雅黑"/>
        <w:b w:val="0"/>
        <w:bCs w:val="0"/>
        <w:i w:val="0"/>
        <w:iCs w:val="0"/>
        <w:sz w:val="21"/>
        <w:szCs w:val="21"/>
        <w:u w:val="none"/>
        <w:lang w:val="en-US" w:eastAsia="zh-CN"/>
      </w:rPr>
      <w:t>:监理月报第4期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21C7B"/>
    <w:multiLevelType w:val="singleLevel"/>
    <w:tmpl w:val="E1D21C7B"/>
    <w:lvl w:ilvl="0" w:tentative="0">
      <w:start w:val="1"/>
      <w:numFmt w:val="decimal"/>
      <w:suff w:val="nothing"/>
      <w:lvlText w:val="%1、"/>
      <w:lvlJc w:val="left"/>
    </w:lvl>
  </w:abstractNum>
  <w:abstractNum w:abstractNumId="1">
    <w:nsid w:val="05F1E5B6"/>
    <w:multiLevelType w:val="singleLevel"/>
    <w:tmpl w:val="05F1E5B6"/>
    <w:lvl w:ilvl="0" w:tentative="0">
      <w:start w:val="1"/>
      <w:numFmt w:val="decimal"/>
      <w:suff w:val="nothing"/>
      <w:lvlText w:val="%1、"/>
      <w:lvlJc w:val="left"/>
    </w:lvl>
  </w:abstractNum>
  <w:abstractNum w:abstractNumId="2">
    <w:nsid w:val="14810CE8"/>
    <w:multiLevelType w:val="singleLevel"/>
    <w:tmpl w:val="14810CE8"/>
    <w:lvl w:ilvl="0" w:tentative="0">
      <w:start w:val="1"/>
      <w:numFmt w:val="decimal"/>
      <w:suff w:val="nothing"/>
      <w:lvlText w:val="%1、"/>
      <w:lvlJc w:val="left"/>
    </w:lvl>
  </w:abstractNum>
  <w:abstractNum w:abstractNumId="3">
    <w:nsid w:val="25E74782"/>
    <w:multiLevelType w:val="multilevel"/>
    <w:tmpl w:val="25E74782"/>
    <w:lvl w:ilvl="0" w:tentative="0">
      <w:start w:val="1"/>
      <w:numFmt w:val="japaneseCounting"/>
      <w:lvlText w:val="%1、"/>
      <w:lvlJc w:val="left"/>
      <w:pPr>
        <w:ind w:left="462" w:hanging="360"/>
      </w:pPr>
      <w:rPr>
        <w:rFonts w:hint="default"/>
      </w:r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36AF38ED"/>
    <w:rsid w:val="0052326A"/>
    <w:rsid w:val="00663AD7"/>
    <w:rsid w:val="0069744B"/>
    <w:rsid w:val="006E4D5B"/>
    <w:rsid w:val="0098364E"/>
    <w:rsid w:val="00AF1302"/>
    <w:rsid w:val="00B32474"/>
    <w:rsid w:val="00D216AD"/>
    <w:rsid w:val="00FF56BA"/>
    <w:rsid w:val="01020D75"/>
    <w:rsid w:val="016C747F"/>
    <w:rsid w:val="01730582"/>
    <w:rsid w:val="019B3634"/>
    <w:rsid w:val="01E52B01"/>
    <w:rsid w:val="0213766F"/>
    <w:rsid w:val="02247EF7"/>
    <w:rsid w:val="0225559B"/>
    <w:rsid w:val="02552C62"/>
    <w:rsid w:val="025723F2"/>
    <w:rsid w:val="025E2C93"/>
    <w:rsid w:val="02695C9A"/>
    <w:rsid w:val="026B0005"/>
    <w:rsid w:val="02882A52"/>
    <w:rsid w:val="02902A6D"/>
    <w:rsid w:val="02A12ECC"/>
    <w:rsid w:val="02B80216"/>
    <w:rsid w:val="02D06A9A"/>
    <w:rsid w:val="02D62082"/>
    <w:rsid w:val="02DE2EF8"/>
    <w:rsid w:val="02F02387"/>
    <w:rsid w:val="030036C1"/>
    <w:rsid w:val="03015719"/>
    <w:rsid w:val="031313C0"/>
    <w:rsid w:val="033B6E7D"/>
    <w:rsid w:val="036A06B8"/>
    <w:rsid w:val="037F55BF"/>
    <w:rsid w:val="03D33559"/>
    <w:rsid w:val="04133956"/>
    <w:rsid w:val="04720BA6"/>
    <w:rsid w:val="04965BFE"/>
    <w:rsid w:val="051A51B8"/>
    <w:rsid w:val="052863CD"/>
    <w:rsid w:val="0576663C"/>
    <w:rsid w:val="058D7738"/>
    <w:rsid w:val="05931715"/>
    <w:rsid w:val="05ED01D7"/>
    <w:rsid w:val="05FE60AA"/>
    <w:rsid w:val="06141C07"/>
    <w:rsid w:val="064222D0"/>
    <w:rsid w:val="064A2E72"/>
    <w:rsid w:val="067F52D3"/>
    <w:rsid w:val="06816491"/>
    <w:rsid w:val="06AE7966"/>
    <w:rsid w:val="06DA4BFF"/>
    <w:rsid w:val="06DD649D"/>
    <w:rsid w:val="0701218C"/>
    <w:rsid w:val="071A324D"/>
    <w:rsid w:val="075C6001"/>
    <w:rsid w:val="07B06E16"/>
    <w:rsid w:val="07C07841"/>
    <w:rsid w:val="07D9667B"/>
    <w:rsid w:val="07E07405"/>
    <w:rsid w:val="07EB78C9"/>
    <w:rsid w:val="080C528C"/>
    <w:rsid w:val="08732325"/>
    <w:rsid w:val="08905D34"/>
    <w:rsid w:val="08CE0793"/>
    <w:rsid w:val="08F471AC"/>
    <w:rsid w:val="091C1203"/>
    <w:rsid w:val="095E1B17"/>
    <w:rsid w:val="09867761"/>
    <w:rsid w:val="099F7477"/>
    <w:rsid w:val="09D14E6D"/>
    <w:rsid w:val="0A73514E"/>
    <w:rsid w:val="0A8729A8"/>
    <w:rsid w:val="0AB66912"/>
    <w:rsid w:val="0AE52E7C"/>
    <w:rsid w:val="0AFD314B"/>
    <w:rsid w:val="0B084AB6"/>
    <w:rsid w:val="0B2C62A5"/>
    <w:rsid w:val="0B7D7288"/>
    <w:rsid w:val="0B8769D7"/>
    <w:rsid w:val="0B8B2C05"/>
    <w:rsid w:val="0BC1638D"/>
    <w:rsid w:val="0BD45CD3"/>
    <w:rsid w:val="0BF227B4"/>
    <w:rsid w:val="0C01678A"/>
    <w:rsid w:val="0C085D6A"/>
    <w:rsid w:val="0C48085D"/>
    <w:rsid w:val="0C751C8D"/>
    <w:rsid w:val="0C766FDF"/>
    <w:rsid w:val="0CFA725E"/>
    <w:rsid w:val="0D0711B7"/>
    <w:rsid w:val="0D1F1C05"/>
    <w:rsid w:val="0D2E1801"/>
    <w:rsid w:val="0D3861DB"/>
    <w:rsid w:val="0D3E799F"/>
    <w:rsid w:val="0D6F11C3"/>
    <w:rsid w:val="0D887163"/>
    <w:rsid w:val="0DA77262"/>
    <w:rsid w:val="0DB6235B"/>
    <w:rsid w:val="0DF63A66"/>
    <w:rsid w:val="0E0B1B42"/>
    <w:rsid w:val="0E213D89"/>
    <w:rsid w:val="0E291608"/>
    <w:rsid w:val="0EB949B3"/>
    <w:rsid w:val="0EC20452"/>
    <w:rsid w:val="0EDC32B1"/>
    <w:rsid w:val="0EDF08FE"/>
    <w:rsid w:val="0F28279D"/>
    <w:rsid w:val="0F3F5F47"/>
    <w:rsid w:val="0F941192"/>
    <w:rsid w:val="0FB7665A"/>
    <w:rsid w:val="0FDC3796"/>
    <w:rsid w:val="102E33A5"/>
    <w:rsid w:val="10853E2D"/>
    <w:rsid w:val="109B7849"/>
    <w:rsid w:val="10C10131"/>
    <w:rsid w:val="10D91A83"/>
    <w:rsid w:val="10E73DEE"/>
    <w:rsid w:val="115151E1"/>
    <w:rsid w:val="119360D6"/>
    <w:rsid w:val="11CD24E6"/>
    <w:rsid w:val="11F357BB"/>
    <w:rsid w:val="11FC42A3"/>
    <w:rsid w:val="12044136"/>
    <w:rsid w:val="124E52F3"/>
    <w:rsid w:val="12872F67"/>
    <w:rsid w:val="12F03CA5"/>
    <w:rsid w:val="12FC6540"/>
    <w:rsid w:val="130628D8"/>
    <w:rsid w:val="132711CC"/>
    <w:rsid w:val="1367781A"/>
    <w:rsid w:val="13961EAE"/>
    <w:rsid w:val="13CC58CF"/>
    <w:rsid w:val="13CD37F5"/>
    <w:rsid w:val="140848AB"/>
    <w:rsid w:val="141B4894"/>
    <w:rsid w:val="14757D15"/>
    <w:rsid w:val="148461AA"/>
    <w:rsid w:val="14885C9A"/>
    <w:rsid w:val="14CC226A"/>
    <w:rsid w:val="14F0383F"/>
    <w:rsid w:val="154F4A0A"/>
    <w:rsid w:val="155D514E"/>
    <w:rsid w:val="15687D27"/>
    <w:rsid w:val="15855762"/>
    <w:rsid w:val="159E329B"/>
    <w:rsid w:val="15E92769"/>
    <w:rsid w:val="160F74CE"/>
    <w:rsid w:val="162429C5"/>
    <w:rsid w:val="164200CB"/>
    <w:rsid w:val="1651030E"/>
    <w:rsid w:val="1662251B"/>
    <w:rsid w:val="16624276"/>
    <w:rsid w:val="16663DB9"/>
    <w:rsid w:val="16704C38"/>
    <w:rsid w:val="167C182F"/>
    <w:rsid w:val="16942018"/>
    <w:rsid w:val="169C15C9"/>
    <w:rsid w:val="16CB00C0"/>
    <w:rsid w:val="16D049AE"/>
    <w:rsid w:val="17307207"/>
    <w:rsid w:val="17465999"/>
    <w:rsid w:val="174B3B8F"/>
    <w:rsid w:val="17526DB0"/>
    <w:rsid w:val="176F19F9"/>
    <w:rsid w:val="180C6BE2"/>
    <w:rsid w:val="181B1C83"/>
    <w:rsid w:val="18320F27"/>
    <w:rsid w:val="183B1275"/>
    <w:rsid w:val="18A320A2"/>
    <w:rsid w:val="18EA351F"/>
    <w:rsid w:val="18F338FE"/>
    <w:rsid w:val="19C37774"/>
    <w:rsid w:val="19F621BB"/>
    <w:rsid w:val="1A454B7F"/>
    <w:rsid w:val="1AD91E13"/>
    <w:rsid w:val="1AED60D5"/>
    <w:rsid w:val="1B0B13D3"/>
    <w:rsid w:val="1B334486"/>
    <w:rsid w:val="1B3939DF"/>
    <w:rsid w:val="1B3F161E"/>
    <w:rsid w:val="1B430AA0"/>
    <w:rsid w:val="1BC20448"/>
    <w:rsid w:val="1BE53A6C"/>
    <w:rsid w:val="1C1C44D2"/>
    <w:rsid w:val="1C2C651B"/>
    <w:rsid w:val="1C2F2E9F"/>
    <w:rsid w:val="1C4B154B"/>
    <w:rsid w:val="1C4D1C41"/>
    <w:rsid w:val="1C7969C2"/>
    <w:rsid w:val="1C826A6F"/>
    <w:rsid w:val="1C9D24FF"/>
    <w:rsid w:val="1CAB63A8"/>
    <w:rsid w:val="1CB12A65"/>
    <w:rsid w:val="1CB23861"/>
    <w:rsid w:val="1CC741A9"/>
    <w:rsid w:val="1D30218A"/>
    <w:rsid w:val="1D476F5C"/>
    <w:rsid w:val="1D8D2573"/>
    <w:rsid w:val="1DB76B72"/>
    <w:rsid w:val="1DDD07E8"/>
    <w:rsid w:val="1DEF17AB"/>
    <w:rsid w:val="1E4F5A7B"/>
    <w:rsid w:val="1E6961DE"/>
    <w:rsid w:val="1E885444"/>
    <w:rsid w:val="1E98466E"/>
    <w:rsid w:val="1EA554FC"/>
    <w:rsid w:val="1EB02C7C"/>
    <w:rsid w:val="1ED14800"/>
    <w:rsid w:val="1EEA33A4"/>
    <w:rsid w:val="1F185E6D"/>
    <w:rsid w:val="1F334A54"/>
    <w:rsid w:val="1F3E010F"/>
    <w:rsid w:val="1F710702"/>
    <w:rsid w:val="1FCD44E8"/>
    <w:rsid w:val="1FCD71AC"/>
    <w:rsid w:val="1FD224BF"/>
    <w:rsid w:val="1FE64060"/>
    <w:rsid w:val="1FF31757"/>
    <w:rsid w:val="1FF76F35"/>
    <w:rsid w:val="20126D60"/>
    <w:rsid w:val="201725C8"/>
    <w:rsid w:val="20450EE3"/>
    <w:rsid w:val="20621A95"/>
    <w:rsid w:val="209040E2"/>
    <w:rsid w:val="20A0436C"/>
    <w:rsid w:val="20DA089D"/>
    <w:rsid w:val="20E24984"/>
    <w:rsid w:val="20FD3D08"/>
    <w:rsid w:val="2135706E"/>
    <w:rsid w:val="21377BFC"/>
    <w:rsid w:val="214B077B"/>
    <w:rsid w:val="2180337F"/>
    <w:rsid w:val="21CE17A2"/>
    <w:rsid w:val="21D73DBD"/>
    <w:rsid w:val="21DB6E16"/>
    <w:rsid w:val="225351B4"/>
    <w:rsid w:val="227746B0"/>
    <w:rsid w:val="227B6E3E"/>
    <w:rsid w:val="228D6B72"/>
    <w:rsid w:val="229D0F3D"/>
    <w:rsid w:val="22E542B8"/>
    <w:rsid w:val="22F17B21"/>
    <w:rsid w:val="23033822"/>
    <w:rsid w:val="232B17EF"/>
    <w:rsid w:val="23B26890"/>
    <w:rsid w:val="23EA1142"/>
    <w:rsid w:val="24115A16"/>
    <w:rsid w:val="24170DE9"/>
    <w:rsid w:val="246456B0"/>
    <w:rsid w:val="24A42772"/>
    <w:rsid w:val="24E95804"/>
    <w:rsid w:val="25072C0B"/>
    <w:rsid w:val="25090731"/>
    <w:rsid w:val="254774AC"/>
    <w:rsid w:val="254B6F9C"/>
    <w:rsid w:val="256B4F2C"/>
    <w:rsid w:val="257A518B"/>
    <w:rsid w:val="2593624D"/>
    <w:rsid w:val="25987046"/>
    <w:rsid w:val="25987D07"/>
    <w:rsid w:val="25CA3D5E"/>
    <w:rsid w:val="25D26CDC"/>
    <w:rsid w:val="25D545A5"/>
    <w:rsid w:val="262C0012"/>
    <w:rsid w:val="264B2BBF"/>
    <w:rsid w:val="26AF355A"/>
    <w:rsid w:val="26BD6A9C"/>
    <w:rsid w:val="26D0702D"/>
    <w:rsid w:val="26DC08CF"/>
    <w:rsid w:val="27211E78"/>
    <w:rsid w:val="275E288B"/>
    <w:rsid w:val="276145F5"/>
    <w:rsid w:val="278220F2"/>
    <w:rsid w:val="27B6732B"/>
    <w:rsid w:val="27BE2271"/>
    <w:rsid w:val="27C3628E"/>
    <w:rsid w:val="27F74723"/>
    <w:rsid w:val="283F02FB"/>
    <w:rsid w:val="28940C5A"/>
    <w:rsid w:val="28F039B6"/>
    <w:rsid w:val="29114058"/>
    <w:rsid w:val="29AA4147"/>
    <w:rsid w:val="29B449E4"/>
    <w:rsid w:val="29C56BF1"/>
    <w:rsid w:val="29D62BAC"/>
    <w:rsid w:val="2A152C44"/>
    <w:rsid w:val="2A1A07CE"/>
    <w:rsid w:val="2A6512DB"/>
    <w:rsid w:val="2A675835"/>
    <w:rsid w:val="2A746BC0"/>
    <w:rsid w:val="2A846C52"/>
    <w:rsid w:val="2ABC1DA2"/>
    <w:rsid w:val="2ADC0F79"/>
    <w:rsid w:val="2B1B2F6C"/>
    <w:rsid w:val="2B277B63"/>
    <w:rsid w:val="2B326F7E"/>
    <w:rsid w:val="2C8E3C12"/>
    <w:rsid w:val="2C972AC7"/>
    <w:rsid w:val="2CA86A82"/>
    <w:rsid w:val="2CDA728E"/>
    <w:rsid w:val="2D054903"/>
    <w:rsid w:val="2D145EC5"/>
    <w:rsid w:val="2D393B7E"/>
    <w:rsid w:val="2D9104DD"/>
    <w:rsid w:val="2DA65566"/>
    <w:rsid w:val="2DCA2A28"/>
    <w:rsid w:val="2E1E189B"/>
    <w:rsid w:val="2E402CEA"/>
    <w:rsid w:val="2EE23DA1"/>
    <w:rsid w:val="2EEF6BEA"/>
    <w:rsid w:val="2F0C2E61"/>
    <w:rsid w:val="2F6A2714"/>
    <w:rsid w:val="2F854E58"/>
    <w:rsid w:val="2FB63A73"/>
    <w:rsid w:val="2FB76FDC"/>
    <w:rsid w:val="2FD9259E"/>
    <w:rsid w:val="2FDE27BA"/>
    <w:rsid w:val="301538B1"/>
    <w:rsid w:val="30335B3F"/>
    <w:rsid w:val="3095731D"/>
    <w:rsid w:val="30D616E4"/>
    <w:rsid w:val="30F93A6C"/>
    <w:rsid w:val="3115045E"/>
    <w:rsid w:val="311F12DD"/>
    <w:rsid w:val="31374878"/>
    <w:rsid w:val="31374B2E"/>
    <w:rsid w:val="31484399"/>
    <w:rsid w:val="31ED49AF"/>
    <w:rsid w:val="31F42769"/>
    <w:rsid w:val="325307D8"/>
    <w:rsid w:val="32807B59"/>
    <w:rsid w:val="328953D8"/>
    <w:rsid w:val="32DB6F67"/>
    <w:rsid w:val="3317670F"/>
    <w:rsid w:val="33791178"/>
    <w:rsid w:val="33BB17B9"/>
    <w:rsid w:val="341C09B4"/>
    <w:rsid w:val="34401520"/>
    <w:rsid w:val="347B4A7C"/>
    <w:rsid w:val="34846B3F"/>
    <w:rsid w:val="34B533BC"/>
    <w:rsid w:val="34B61F58"/>
    <w:rsid w:val="34E5052A"/>
    <w:rsid w:val="34E6283D"/>
    <w:rsid w:val="34F556AC"/>
    <w:rsid w:val="34FF56AD"/>
    <w:rsid w:val="353B6598"/>
    <w:rsid w:val="354632DC"/>
    <w:rsid w:val="357D007B"/>
    <w:rsid w:val="361433DA"/>
    <w:rsid w:val="36392E40"/>
    <w:rsid w:val="365437D6"/>
    <w:rsid w:val="366762E7"/>
    <w:rsid w:val="366F6862"/>
    <w:rsid w:val="3680281D"/>
    <w:rsid w:val="36A027AE"/>
    <w:rsid w:val="36AF38ED"/>
    <w:rsid w:val="36C22E36"/>
    <w:rsid w:val="36F62AE0"/>
    <w:rsid w:val="37125970"/>
    <w:rsid w:val="374A7617"/>
    <w:rsid w:val="37C329C2"/>
    <w:rsid w:val="37DE3C9F"/>
    <w:rsid w:val="38064C51"/>
    <w:rsid w:val="38172D0E"/>
    <w:rsid w:val="3885411B"/>
    <w:rsid w:val="38D155B2"/>
    <w:rsid w:val="38FD0155"/>
    <w:rsid w:val="396401D4"/>
    <w:rsid w:val="396E78A8"/>
    <w:rsid w:val="397E6716"/>
    <w:rsid w:val="39C71E21"/>
    <w:rsid w:val="39D8471E"/>
    <w:rsid w:val="39F94844"/>
    <w:rsid w:val="3A26645C"/>
    <w:rsid w:val="3A437DEA"/>
    <w:rsid w:val="3A471015"/>
    <w:rsid w:val="3A5B4367"/>
    <w:rsid w:val="3AB962FE"/>
    <w:rsid w:val="3AC11B74"/>
    <w:rsid w:val="3AD71050"/>
    <w:rsid w:val="3AE15F1A"/>
    <w:rsid w:val="3B005CDB"/>
    <w:rsid w:val="3B0C6DB3"/>
    <w:rsid w:val="3B1D063B"/>
    <w:rsid w:val="3B5D4815"/>
    <w:rsid w:val="3B6C7849"/>
    <w:rsid w:val="3BA24FE4"/>
    <w:rsid w:val="3BDA477E"/>
    <w:rsid w:val="3BEF5CD9"/>
    <w:rsid w:val="3BFC50FB"/>
    <w:rsid w:val="3C601127"/>
    <w:rsid w:val="3C722C08"/>
    <w:rsid w:val="3C74072E"/>
    <w:rsid w:val="3CC001B8"/>
    <w:rsid w:val="3CD2421C"/>
    <w:rsid w:val="3CEF4259"/>
    <w:rsid w:val="3D020D94"/>
    <w:rsid w:val="3D080983"/>
    <w:rsid w:val="3D0C751D"/>
    <w:rsid w:val="3D19407B"/>
    <w:rsid w:val="3D2C1009"/>
    <w:rsid w:val="3D4A3444"/>
    <w:rsid w:val="3D4E62CA"/>
    <w:rsid w:val="3D4E7225"/>
    <w:rsid w:val="3D674405"/>
    <w:rsid w:val="3D753E48"/>
    <w:rsid w:val="3D781D17"/>
    <w:rsid w:val="3D89645B"/>
    <w:rsid w:val="3D99490E"/>
    <w:rsid w:val="3DA05A2F"/>
    <w:rsid w:val="3DB207F4"/>
    <w:rsid w:val="3DCB5A34"/>
    <w:rsid w:val="3DD0505D"/>
    <w:rsid w:val="3E1D40B2"/>
    <w:rsid w:val="3E373459"/>
    <w:rsid w:val="3E375EB7"/>
    <w:rsid w:val="3E8C20B7"/>
    <w:rsid w:val="3EED6576"/>
    <w:rsid w:val="3F12422F"/>
    <w:rsid w:val="3F255D10"/>
    <w:rsid w:val="3F283A52"/>
    <w:rsid w:val="3F367F1D"/>
    <w:rsid w:val="3F3B5533"/>
    <w:rsid w:val="3F44756A"/>
    <w:rsid w:val="3F4A7051"/>
    <w:rsid w:val="3F746C97"/>
    <w:rsid w:val="3F983560"/>
    <w:rsid w:val="3FFC1167"/>
    <w:rsid w:val="400039C0"/>
    <w:rsid w:val="400678E0"/>
    <w:rsid w:val="400718BA"/>
    <w:rsid w:val="4013025E"/>
    <w:rsid w:val="40246166"/>
    <w:rsid w:val="4077222C"/>
    <w:rsid w:val="40A94D81"/>
    <w:rsid w:val="40D9212F"/>
    <w:rsid w:val="41143A56"/>
    <w:rsid w:val="41517290"/>
    <w:rsid w:val="417B60BB"/>
    <w:rsid w:val="41920F07"/>
    <w:rsid w:val="41994793"/>
    <w:rsid w:val="41B469CF"/>
    <w:rsid w:val="41C0673F"/>
    <w:rsid w:val="42156510"/>
    <w:rsid w:val="421E3334"/>
    <w:rsid w:val="42251703"/>
    <w:rsid w:val="42370B06"/>
    <w:rsid w:val="423D15C3"/>
    <w:rsid w:val="425C2011"/>
    <w:rsid w:val="42734FE4"/>
    <w:rsid w:val="42B078D8"/>
    <w:rsid w:val="42BD2703"/>
    <w:rsid w:val="431D293A"/>
    <w:rsid w:val="43285FDD"/>
    <w:rsid w:val="433230F1"/>
    <w:rsid w:val="433A2FCC"/>
    <w:rsid w:val="4396542E"/>
    <w:rsid w:val="43F262FC"/>
    <w:rsid w:val="43F66A0E"/>
    <w:rsid w:val="4443736B"/>
    <w:rsid w:val="444E2552"/>
    <w:rsid w:val="44A43AA1"/>
    <w:rsid w:val="451F4220"/>
    <w:rsid w:val="453B55E6"/>
    <w:rsid w:val="453F5302"/>
    <w:rsid w:val="45662126"/>
    <w:rsid w:val="457641EB"/>
    <w:rsid w:val="45920B60"/>
    <w:rsid w:val="459D5E81"/>
    <w:rsid w:val="45BF0834"/>
    <w:rsid w:val="45C213D4"/>
    <w:rsid w:val="45D1274E"/>
    <w:rsid w:val="462C3E28"/>
    <w:rsid w:val="466B6BDE"/>
    <w:rsid w:val="466E4440"/>
    <w:rsid w:val="46882A71"/>
    <w:rsid w:val="468C0D6B"/>
    <w:rsid w:val="46B02CAB"/>
    <w:rsid w:val="46C858C2"/>
    <w:rsid w:val="476669C6"/>
    <w:rsid w:val="477E06B3"/>
    <w:rsid w:val="47A4636C"/>
    <w:rsid w:val="47C11396"/>
    <w:rsid w:val="47CF7161"/>
    <w:rsid w:val="47D76D83"/>
    <w:rsid w:val="47E726FC"/>
    <w:rsid w:val="480A4069"/>
    <w:rsid w:val="48634F46"/>
    <w:rsid w:val="487B7979"/>
    <w:rsid w:val="48904B42"/>
    <w:rsid w:val="48AC2FFE"/>
    <w:rsid w:val="48BA6C12"/>
    <w:rsid w:val="48D47A82"/>
    <w:rsid w:val="48F36E7F"/>
    <w:rsid w:val="48FA408C"/>
    <w:rsid w:val="49012023"/>
    <w:rsid w:val="49065EC9"/>
    <w:rsid w:val="493E4F4B"/>
    <w:rsid w:val="495D266F"/>
    <w:rsid w:val="49845D29"/>
    <w:rsid w:val="49CF790B"/>
    <w:rsid w:val="49EE3BD6"/>
    <w:rsid w:val="4A2F1585"/>
    <w:rsid w:val="4A5F43A4"/>
    <w:rsid w:val="4AA85A47"/>
    <w:rsid w:val="4B0A5E64"/>
    <w:rsid w:val="4B2F18DD"/>
    <w:rsid w:val="4B3D592E"/>
    <w:rsid w:val="4B810772"/>
    <w:rsid w:val="4B8A7913"/>
    <w:rsid w:val="4C2555A1"/>
    <w:rsid w:val="4C431ECB"/>
    <w:rsid w:val="4C781C39"/>
    <w:rsid w:val="4CF66F3E"/>
    <w:rsid w:val="4D265A75"/>
    <w:rsid w:val="4D5C1497"/>
    <w:rsid w:val="4D64241B"/>
    <w:rsid w:val="4D726514"/>
    <w:rsid w:val="4D862070"/>
    <w:rsid w:val="4DE32039"/>
    <w:rsid w:val="4E493D62"/>
    <w:rsid w:val="4E597784"/>
    <w:rsid w:val="4E916F1E"/>
    <w:rsid w:val="4EB83F6D"/>
    <w:rsid w:val="4F287C42"/>
    <w:rsid w:val="4F2C2E79"/>
    <w:rsid w:val="4F4C5E7F"/>
    <w:rsid w:val="4F7C1331"/>
    <w:rsid w:val="4F7D393A"/>
    <w:rsid w:val="4F876573"/>
    <w:rsid w:val="4FBA0AF7"/>
    <w:rsid w:val="4FBB2F51"/>
    <w:rsid w:val="4FF95CAF"/>
    <w:rsid w:val="50040D6C"/>
    <w:rsid w:val="500B0F52"/>
    <w:rsid w:val="500E5AA0"/>
    <w:rsid w:val="50297402"/>
    <w:rsid w:val="508B77B5"/>
    <w:rsid w:val="50AA42C7"/>
    <w:rsid w:val="50B909AE"/>
    <w:rsid w:val="50DD36B9"/>
    <w:rsid w:val="50E2281D"/>
    <w:rsid w:val="5100693C"/>
    <w:rsid w:val="51295145"/>
    <w:rsid w:val="515D758B"/>
    <w:rsid w:val="51950038"/>
    <w:rsid w:val="51990256"/>
    <w:rsid w:val="519D04DB"/>
    <w:rsid w:val="51DA5080"/>
    <w:rsid w:val="520C1E13"/>
    <w:rsid w:val="52317028"/>
    <w:rsid w:val="528079D5"/>
    <w:rsid w:val="528154FB"/>
    <w:rsid w:val="528B0439"/>
    <w:rsid w:val="528F5E6A"/>
    <w:rsid w:val="52BC1849"/>
    <w:rsid w:val="52C74BD6"/>
    <w:rsid w:val="52FD52B5"/>
    <w:rsid w:val="53071EA5"/>
    <w:rsid w:val="530D05AF"/>
    <w:rsid w:val="531D7740"/>
    <w:rsid w:val="533C1422"/>
    <w:rsid w:val="533D3C46"/>
    <w:rsid w:val="53400F13"/>
    <w:rsid w:val="5341332F"/>
    <w:rsid w:val="53456529"/>
    <w:rsid w:val="53531C40"/>
    <w:rsid w:val="53837051"/>
    <w:rsid w:val="53A616BE"/>
    <w:rsid w:val="53BD6A07"/>
    <w:rsid w:val="53D564A8"/>
    <w:rsid w:val="53E852AC"/>
    <w:rsid w:val="544B5519"/>
    <w:rsid w:val="5492228F"/>
    <w:rsid w:val="549866BB"/>
    <w:rsid w:val="54B75197"/>
    <w:rsid w:val="554967A4"/>
    <w:rsid w:val="554C4764"/>
    <w:rsid w:val="55AA6B17"/>
    <w:rsid w:val="55C776C9"/>
    <w:rsid w:val="55E86AB6"/>
    <w:rsid w:val="56027558"/>
    <w:rsid w:val="562123DF"/>
    <w:rsid w:val="563D3E2F"/>
    <w:rsid w:val="5640122A"/>
    <w:rsid w:val="564933F5"/>
    <w:rsid w:val="566A1A24"/>
    <w:rsid w:val="566B274A"/>
    <w:rsid w:val="56A16797"/>
    <w:rsid w:val="56BC1745"/>
    <w:rsid w:val="56D13F81"/>
    <w:rsid w:val="56EE4427"/>
    <w:rsid w:val="57203087"/>
    <w:rsid w:val="57710F80"/>
    <w:rsid w:val="578A4E52"/>
    <w:rsid w:val="57BB14B0"/>
    <w:rsid w:val="580A2115"/>
    <w:rsid w:val="581B3CFC"/>
    <w:rsid w:val="58403960"/>
    <w:rsid w:val="58951A89"/>
    <w:rsid w:val="589567DF"/>
    <w:rsid w:val="58B37334"/>
    <w:rsid w:val="58BE3319"/>
    <w:rsid w:val="58D345D7"/>
    <w:rsid w:val="58DD0FB2"/>
    <w:rsid w:val="58FA6008"/>
    <w:rsid w:val="5917470E"/>
    <w:rsid w:val="592B2D38"/>
    <w:rsid w:val="594A4ECB"/>
    <w:rsid w:val="59972F03"/>
    <w:rsid w:val="5A026F22"/>
    <w:rsid w:val="5A181ACA"/>
    <w:rsid w:val="5A2278D1"/>
    <w:rsid w:val="5A2B3D89"/>
    <w:rsid w:val="5A4E2099"/>
    <w:rsid w:val="5A517EA9"/>
    <w:rsid w:val="5A614795"/>
    <w:rsid w:val="5A674034"/>
    <w:rsid w:val="5A8D1CD4"/>
    <w:rsid w:val="5A933845"/>
    <w:rsid w:val="5AB64194"/>
    <w:rsid w:val="5ABC3575"/>
    <w:rsid w:val="5AE900E2"/>
    <w:rsid w:val="5B40470A"/>
    <w:rsid w:val="5B4C7A7A"/>
    <w:rsid w:val="5B4F3274"/>
    <w:rsid w:val="5BB36954"/>
    <w:rsid w:val="5BB54BD3"/>
    <w:rsid w:val="5C0F1571"/>
    <w:rsid w:val="5C191AE4"/>
    <w:rsid w:val="5C4D1F7D"/>
    <w:rsid w:val="5C7F7189"/>
    <w:rsid w:val="5C846314"/>
    <w:rsid w:val="5C871D13"/>
    <w:rsid w:val="5CC01681"/>
    <w:rsid w:val="5D137698"/>
    <w:rsid w:val="5D200C75"/>
    <w:rsid w:val="5D445AA3"/>
    <w:rsid w:val="5D4F239A"/>
    <w:rsid w:val="5D5B3860"/>
    <w:rsid w:val="5DE522FB"/>
    <w:rsid w:val="5E3547C5"/>
    <w:rsid w:val="5E5E3272"/>
    <w:rsid w:val="5E885B7F"/>
    <w:rsid w:val="5E9D7389"/>
    <w:rsid w:val="5F557AF4"/>
    <w:rsid w:val="5F7C32D2"/>
    <w:rsid w:val="5F8E1258"/>
    <w:rsid w:val="5FB96739"/>
    <w:rsid w:val="5FCC63FC"/>
    <w:rsid w:val="5FF46551"/>
    <w:rsid w:val="5FF90DC7"/>
    <w:rsid w:val="5FFA3418"/>
    <w:rsid w:val="6005151A"/>
    <w:rsid w:val="601B4AB2"/>
    <w:rsid w:val="601F5C79"/>
    <w:rsid w:val="60A71431"/>
    <w:rsid w:val="61666D5F"/>
    <w:rsid w:val="618631A4"/>
    <w:rsid w:val="618809C5"/>
    <w:rsid w:val="618907F8"/>
    <w:rsid w:val="6189617B"/>
    <w:rsid w:val="61931646"/>
    <w:rsid w:val="61DC44FC"/>
    <w:rsid w:val="61E12404"/>
    <w:rsid w:val="62000E44"/>
    <w:rsid w:val="62060844"/>
    <w:rsid w:val="623B2224"/>
    <w:rsid w:val="625F7F08"/>
    <w:rsid w:val="627923BD"/>
    <w:rsid w:val="62CE0314"/>
    <w:rsid w:val="62EB626D"/>
    <w:rsid w:val="62EC076F"/>
    <w:rsid w:val="630C319F"/>
    <w:rsid w:val="630F26B0"/>
    <w:rsid w:val="63233154"/>
    <w:rsid w:val="6332291C"/>
    <w:rsid w:val="63327889"/>
    <w:rsid w:val="63370A39"/>
    <w:rsid w:val="635A1B7D"/>
    <w:rsid w:val="63B868A3"/>
    <w:rsid w:val="63C316DE"/>
    <w:rsid w:val="63E1229E"/>
    <w:rsid w:val="640D3093"/>
    <w:rsid w:val="642A3526"/>
    <w:rsid w:val="64780FFD"/>
    <w:rsid w:val="64944F4F"/>
    <w:rsid w:val="64AC6408"/>
    <w:rsid w:val="64B1390C"/>
    <w:rsid w:val="64B368A0"/>
    <w:rsid w:val="64C25C2B"/>
    <w:rsid w:val="65077AE2"/>
    <w:rsid w:val="652C12F7"/>
    <w:rsid w:val="658C36FD"/>
    <w:rsid w:val="65AE5912"/>
    <w:rsid w:val="660A2D57"/>
    <w:rsid w:val="66133976"/>
    <w:rsid w:val="665E7980"/>
    <w:rsid w:val="666A3850"/>
    <w:rsid w:val="6690536D"/>
    <w:rsid w:val="66A27DE6"/>
    <w:rsid w:val="66CF2882"/>
    <w:rsid w:val="66D849FF"/>
    <w:rsid w:val="6703077D"/>
    <w:rsid w:val="6707201B"/>
    <w:rsid w:val="670F2101"/>
    <w:rsid w:val="67236729"/>
    <w:rsid w:val="67281F92"/>
    <w:rsid w:val="672F46EF"/>
    <w:rsid w:val="67356E3D"/>
    <w:rsid w:val="67436BCB"/>
    <w:rsid w:val="674C7A2E"/>
    <w:rsid w:val="676838D1"/>
    <w:rsid w:val="676C679E"/>
    <w:rsid w:val="678A717B"/>
    <w:rsid w:val="67E61C31"/>
    <w:rsid w:val="67F45AF8"/>
    <w:rsid w:val="68104F00"/>
    <w:rsid w:val="681F3395"/>
    <w:rsid w:val="685F3791"/>
    <w:rsid w:val="687E10BD"/>
    <w:rsid w:val="68B90132"/>
    <w:rsid w:val="68ED5241"/>
    <w:rsid w:val="69110F2F"/>
    <w:rsid w:val="698A0CE2"/>
    <w:rsid w:val="69D63F27"/>
    <w:rsid w:val="69E91EAC"/>
    <w:rsid w:val="6A47184A"/>
    <w:rsid w:val="6A4E3F42"/>
    <w:rsid w:val="6A8676FB"/>
    <w:rsid w:val="6AA32DBD"/>
    <w:rsid w:val="6AB055A7"/>
    <w:rsid w:val="6AB37DC4"/>
    <w:rsid w:val="6AC01E97"/>
    <w:rsid w:val="6B1940CB"/>
    <w:rsid w:val="6B3233DF"/>
    <w:rsid w:val="6B403D4E"/>
    <w:rsid w:val="6B8F2222"/>
    <w:rsid w:val="6B9722FD"/>
    <w:rsid w:val="6BAE6B51"/>
    <w:rsid w:val="6BC228BB"/>
    <w:rsid w:val="6BEA3CBA"/>
    <w:rsid w:val="6BEE0A38"/>
    <w:rsid w:val="6BF90704"/>
    <w:rsid w:val="6C057C41"/>
    <w:rsid w:val="6C18261B"/>
    <w:rsid w:val="6C494E84"/>
    <w:rsid w:val="6C57134F"/>
    <w:rsid w:val="6C5F00A0"/>
    <w:rsid w:val="6C7D68DC"/>
    <w:rsid w:val="6C8E0AE9"/>
    <w:rsid w:val="6D0C2AB9"/>
    <w:rsid w:val="6D0D5EB2"/>
    <w:rsid w:val="6D1F7993"/>
    <w:rsid w:val="6D626F00"/>
    <w:rsid w:val="6D88378A"/>
    <w:rsid w:val="6D9103A8"/>
    <w:rsid w:val="6DA6322E"/>
    <w:rsid w:val="6DE427C2"/>
    <w:rsid w:val="6DE704B1"/>
    <w:rsid w:val="6DF73D06"/>
    <w:rsid w:val="6DFA5159"/>
    <w:rsid w:val="6E305288"/>
    <w:rsid w:val="6E3B6A4F"/>
    <w:rsid w:val="6E9904B6"/>
    <w:rsid w:val="6ECB1B80"/>
    <w:rsid w:val="6EDF1B8A"/>
    <w:rsid w:val="6EFE3D04"/>
    <w:rsid w:val="6F067CA7"/>
    <w:rsid w:val="6F686F1D"/>
    <w:rsid w:val="6F6F381C"/>
    <w:rsid w:val="6F885CC3"/>
    <w:rsid w:val="6F9D176F"/>
    <w:rsid w:val="6FAB735E"/>
    <w:rsid w:val="6FC7174D"/>
    <w:rsid w:val="6FDE7692"/>
    <w:rsid w:val="6FFF7808"/>
    <w:rsid w:val="701632CF"/>
    <w:rsid w:val="70673DCF"/>
    <w:rsid w:val="709114D5"/>
    <w:rsid w:val="709A5CAE"/>
    <w:rsid w:val="70B20A1E"/>
    <w:rsid w:val="70B71E11"/>
    <w:rsid w:val="70BF74C3"/>
    <w:rsid w:val="70CD6084"/>
    <w:rsid w:val="70F62C27"/>
    <w:rsid w:val="71493231"/>
    <w:rsid w:val="714F4CEB"/>
    <w:rsid w:val="71507C77"/>
    <w:rsid w:val="716301F2"/>
    <w:rsid w:val="716D35A9"/>
    <w:rsid w:val="71774472"/>
    <w:rsid w:val="717E37FE"/>
    <w:rsid w:val="71970440"/>
    <w:rsid w:val="71B92164"/>
    <w:rsid w:val="71FB277D"/>
    <w:rsid w:val="72025ED5"/>
    <w:rsid w:val="720930EC"/>
    <w:rsid w:val="722F0678"/>
    <w:rsid w:val="729D3834"/>
    <w:rsid w:val="72AD4404"/>
    <w:rsid w:val="72CC4119"/>
    <w:rsid w:val="730604D6"/>
    <w:rsid w:val="73506AF8"/>
    <w:rsid w:val="735351CF"/>
    <w:rsid w:val="736E4021"/>
    <w:rsid w:val="73993FFB"/>
    <w:rsid w:val="73ED1CFE"/>
    <w:rsid w:val="741C55C4"/>
    <w:rsid w:val="74397E93"/>
    <w:rsid w:val="743B50B2"/>
    <w:rsid w:val="746A3BEA"/>
    <w:rsid w:val="749138CC"/>
    <w:rsid w:val="749E7DC0"/>
    <w:rsid w:val="74BB5821"/>
    <w:rsid w:val="75176D23"/>
    <w:rsid w:val="75273889"/>
    <w:rsid w:val="753D08C2"/>
    <w:rsid w:val="75436915"/>
    <w:rsid w:val="75556648"/>
    <w:rsid w:val="7564576B"/>
    <w:rsid w:val="758D5DE2"/>
    <w:rsid w:val="762D6B9F"/>
    <w:rsid w:val="766F30AC"/>
    <w:rsid w:val="7696746C"/>
    <w:rsid w:val="76E96A74"/>
    <w:rsid w:val="76F37EC6"/>
    <w:rsid w:val="77024532"/>
    <w:rsid w:val="771816DB"/>
    <w:rsid w:val="773A256E"/>
    <w:rsid w:val="775546DD"/>
    <w:rsid w:val="77640FB7"/>
    <w:rsid w:val="77A57EA8"/>
    <w:rsid w:val="77D6457D"/>
    <w:rsid w:val="77F54C8C"/>
    <w:rsid w:val="786F0090"/>
    <w:rsid w:val="78972AD3"/>
    <w:rsid w:val="78AF2B59"/>
    <w:rsid w:val="78CD2184"/>
    <w:rsid w:val="78F33EB7"/>
    <w:rsid w:val="79043E8A"/>
    <w:rsid w:val="791D0032"/>
    <w:rsid w:val="792721EB"/>
    <w:rsid w:val="793A6280"/>
    <w:rsid w:val="7954609A"/>
    <w:rsid w:val="796C3F60"/>
    <w:rsid w:val="79876FEC"/>
    <w:rsid w:val="79960FDD"/>
    <w:rsid w:val="79E6721A"/>
    <w:rsid w:val="7A633CB0"/>
    <w:rsid w:val="7A6D7F90"/>
    <w:rsid w:val="7A75064F"/>
    <w:rsid w:val="7A8C2B0C"/>
    <w:rsid w:val="7AB36E48"/>
    <w:rsid w:val="7AC04563"/>
    <w:rsid w:val="7B09164E"/>
    <w:rsid w:val="7B3C76D4"/>
    <w:rsid w:val="7B551150"/>
    <w:rsid w:val="7B5F49A4"/>
    <w:rsid w:val="7B6475E5"/>
    <w:rsid w:val="7BEC184D"/>
    <w:rsid w:val="7C2D779C"/>
    <w:rsid w:val="7C3D455F"/>
    <w:rsid w:val="7C4A508F"/>
    <w:rsid w:val="7C52777D"/>
    <w:rsid w:val="7C5D44F6"/>
    <w:rsid w:val="7C71236F"/>
    <w:rsid w:val="7CA822DD"/>
    <w:rsid w:val="7CAB1854"/>
    <w:rsid w:val="7CAE20BF"/>
    <w:rsid w:val="7D0A41BC"/>
    <w:rsid w:val="7D3B6123"/>
    <w:rsid w:val="7D420E23"/>
    <w:rsid w:val="7D6E02A7"/>
    <w:rsid w:val="7D700863"/>
    <w:rsid w:val="7D7D4CFA"/>
    <w:rsid w:val="7DE467BB"/>
    <w:rsid w:val="7DF57832"/>
    <w:rsid w:val="7E0D74DD"/>
    <w:rsid w:val="7E175FFE"/>
    <w:rsid w:val="7E471391"/>
    <w:rsid w:val="7E64320F"/>
    <w:rsid w:val="7E796579"/>
    <w:rsid w:val="7E910834"/>
    <w:rsid w:val="7EBF4B32"/>
    <w:rsid w:val="7EF12B67"/>
    <w:rsid w:val="7F0F7867"/>
    <w:rsid w:val="7F3A6E3C"/>
    <w:rsid w:val="7F5B4509"/>
    <w:rsid w:val="7F653B7F"/>
    <w:rsid w:val="7F757E1D"/>
    <w:rsid w:val="7F7707C5"/>
    <w:rsid w:val="7F97781F"/>
    <w:rsid w:val="7FAF2DF8"/>
    <w:rsid w:val="7FB328E9"/>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2"/>
    <w:basedOn w:val="1"/>
    <w:next w:val="1"/>
    <w:unhideWhenUsed/>
    <w:qFormat/>
    <w:uiPriority w:val="9"/>
    <w:pPr>
      <w:keepNext/>
      <w:keepLines/>
      <w:adjustRightInd w:val="0"/>
      <w:spacing w:before="260" w:beforeLines="0" w:after="260" w:afterLines="0"/>
      <w:ind w:firstLine="0" w:firstLineChars="0"/>
      <w:textAlignment w:val="baseline"/>
      <w:outlineLvl w:val="1"/>
    </w:pPr>
    <w:rPr>
      <w:rFonts w:ascii="Arial" w:hAnsi="Arial"/>
      <w:b/>
      <w:bCs/>
      <w:kern w:val="0"/>
      <w:sz w:val="28"/>
      <w:szCs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kern w:val="0"/>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List Paragraph"/>
    <w:basedOn w:val="1"/>
    <w:qFormat/>
    <w:uiPriority w:val="34"/>
    <w:pPr>
      <w:ind w:firstLine="420" w:firstLineChars="200"/>
    </w:pPr>
  </w:style>
  <w:style w:type="paragraph" w:customStyle="1" w:styleId="12">
    <w:name w:val="样式4"/>
    <w:basedOn w:val="1"/>
    <w:qFormat/>
    <w:uiPriority w:val="0"/>
    <w:pPr>
      <w:tabs>
        <w:tab w:val="left" w:pos="366"/>
        <w:tab w:val="left" w:pos="720"/>
      </w:tabs>
      <w:topLinePunct/>
      <w:ind w:firstLine="425"/>
    </w:pPr>
    <w:rPr>
      <w:rFonts w:eastAsia="黑体"/>
      <w:bCs/>
      <w:caps/>
      <w:kern w:val="21"/>
      <w:szCs w:val="21"/>
    </w:rPr>
  </w:style>
  <w:style w:type="paragraph" w:customStyle="1" w:styleId="13">
    <w:name w:val="样式5"/>
    <w:basedOn w:val="1"/>
    <w:qFormat/>
    <w:uiPriority w:val="0"/>
    <w:pPr>
      <w:topLinePunct/>
      <w:adjustRightInd w:val="0"/>
      <w:spacing w:line="1200" w:lineRule="auto"/>
      <w:jc w:val="center"/>
    </w:pPr>
    <w:rPr>
      <w:rFonts w:ascii="宋体" w:hAnsi="宋体" w:eastAsia="黑体"/>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2354</Words>
  <Characters>2423</Characters>
  <Lines>0</Lines>
  <Paragraphs>0</Paragraphs>
  <TotalTime>5</TotalTime>
  <ScaleCrop>false</ScaleCrop>
  <LinksUpToDate>false</LinksUpToDate>
  <CharactersWithSpaces>2693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2021-08-02T23:49:00Z</dcterms:created>
  <dc:creator>光伏EPC</dc:creator>
  <cp:lastModifiedBy>森淼宝宝</cp:lastModifiedBy>
  <cp:lastPrinted>2022-05-05T01:59:00Z</cp:lastPrinted>
  <dcterms:modified xsi:type="dcterms:W3CDTF">2023-05-01T01:06:27Z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B4FED48CEB344F7C920F839527ED9E07</vt:lpwstr>
  </property>
</Properties>
</file>