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编号：</w:t>
      </w:r>
      <w:r>
        <w:rPr>
          <w:rFonts w:hint="eastAsia"/>
          <w:color w:val="000000" w:themeColor="text1"/>
          <w:sz w:val="24"/>
          <w:szCs w:val="24"/>
          <w:lang w:val="en-US" w:eastAsia="zh-CN"/>
          <w14:textFill>
            <w14:solidFill>
              <w14:schemeClr w14:val="tx1"/>
            </w14:solidFill>
          </w14:textFill>
        </w:rPr>
        <w:t>ZHFD-ZHJL-YB-013</w:t>
      </w:r>
    </w:p>
    <w:p>
      <w:pPr>
        <w:rPr>
          <w:color w:val="000000" w:themeColor="text1"/>
          <w:sz w:val="24"/>
          <w:szCs w:val="24"/>
          <w14:textFill>
            <w14:solidFill>
              <w14:schemeClr w14:val="tx1"/>
            </w14:solidFill>
          </w14:textFill>
        </w:rPr>
      </w:pPr>
    </w:p>
    <w:p>
      <w:pPr>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p>
    <w:p>
      <w:pPr>
        <w:spacing w:before="1248" w:beforeLines="400" w:after="468" w:afterLines="150" w:line="480" w:lineRule="auto"/>
        <w:ind w:firstLine="3080" w:firstLineChars="700"/>
        <w:jc w:val="both"/>
        <w:rPr>
          <w:rFonts w:hint="eastAsia" w:ascii="黑体" w:hAnsi="黑体" w:eastAsia="黑体"/>
          <w:color w:val="000000" w:themeColor="text1"/>
          <w:sz w:val="44"/>
          <w:szCs w:val="44"/>
          <w14:textFill>
            <w14:solidFill>
              <w14:schemeClr w14:val="tx1"/>
            </w14:solidFill>
          </w14:textFill>
        </w:rPr>
      </w:pPr>
      <w:r>
        <w:rPr>
          <w:rFonts w:hint="eastAsia" w:ascii="黑体" w:hAnsi="黑体" w:eastAsia="黑体"/>
          <w:color w:val="000000" w:themeColor="text1"/>
          <w:sz w:val="44"/>
          <w:szCs w:val="44"/>
          <w14:textFill>
            <w14:solidFill>
              <w14:schemeClr w14:val="tx1"/>
            </w14:solidFill>
          </w14:textFill>
        </w:rPr>
        <w:t>监  理  月  报</w:t>
      </w:r>
    </w:p>
    <w:p>
      <w:pPr>
        <w:pStyle w:val="4"/>
        <w:spacing w:before="156" w:after="120"/>
        <w:jc w:val="center"/>
        <w:rPr>
          <w:rFonts w:hint="eastAsia" w:ascii="黑体" w:hAnsi="黑体" w:eastAsia="黑体"/>
          <w:color w:val="000000" w:themeColor="text1"/>
          <w:sz w:val="28"/>
          <w:szCs w:val="28"/>
          <w14:textFill>
            <w14:solidFill>
              <w14:schemeClr w14:val="tx1"/>
            </w14:solidFill>
          </w14:textFill>
        </w:rPr>
      </w:pPr>
      <w:r>
        <w:rPr>
          <w:rFonts w:hint="eastAsia" w:ascii="宋体" w:hAnsi="宋体" w:eastAsia="宋体" w:cs="宋体"/>
          <w:b/>
          <w:bCs/>
          <w:i w:val="0"/>
          <w:iCs w:val="0"/>
          <w:sz w:val="28"/>
          <w:szCs w:val="28"/>
          <w:u w:val="none"/>
          <w:lang w:val="en-US" w:eastAsia="zh-CN"/>
        </w:rPr>
        <w:t>工程名称： 赞皇40万千瓦一期20万千瓦风电项目 （本期10万千瓦）</w:t>
      </w:r>
    </w:p>
    <w:p>
      <w:pPr>
        <w:pStyle w:val="4"/>
        <w:spacing w:before="156" w:after="120"/>
        <w:jc w:val="center"/>
        <w:rPr>
          <w:rFonts w:hint="eastAsia" w:ascii="宋体" w:hAnsi="宋体" w:eastAsia="宋体" w:cs="宋体"/>
          <w:b/>
          <w:bCs/>
          <w:i w:val="0"/>
          <w:iCs w:val="0"/>
          <w:sz w:val="28"/>
          <w:szCs w:val="28"/>
          <w:u w:val="none"/>
          <w:lang w:val="en-US" w:eastAsia="zh-CN"/>
        </w:rPr>
      </w:pPr>
    </w:p>
    <w:p>
      <w:pPr>
        <w:rPr>
          <w:lang w:val="en-US"/>
        </w:rPr>
      </w:pPr>
    </w:p>
    <w:p>
      <w:pPr>
        <w:ind w:firstLine="3213" w:firstLineChars="1000"/>
        <w:jc w:val="both"/>
        <w:rPr>
          <w:rFonts w:hint="eastAsia"/>
          <w:color w:val="000000" w:themeColor="text1"/>
          <w:sz w:val="32"/>
          <w:szCs w:val="32"/>
          <w14:textFill>
            <w14:solidFill>
              <w14:schemeClr w14:val="tx1"/>
            </w14:solidFill>
          </w14:textFill>
        </w:rPr>
      </w:pPr>
      <w:r>
        <w:rPr>
          <w:rFonts w:hint="eastAsia" w:asciiTheme="majorEastAsia" w:hAnsiTheme="majorEastAsia" w:eastAsiaTheme="majorEastAsia" w:cstheme="majorEastAsia"/>
          <w:b/>
          <w:bCs/>
          <w:color w:val="000000" w:themeColor="text1"/>
          <w:sz w:val="32"/>
          <w:szCs w:val="32"/>
          <w14:textFill>
            <w14:solidFill>
              <w14:schemeClr w14:val="tx1"/>
            </w14:solidFill>
          </w14:textFill>
        </w:rPr>
        <w:t>20</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23</w:t>
      </w:r>
      <w:r>
        <w:rPr>
          <w:rFonts w:hint="eastAsia" w:asciiTheme="majorEastAsia" w:hAnsiTheme="majorEastAsia" w:eastAsiaTheme="majorEastAsia" w:cstheme="majorEastAsia"/>
          <w:b/>
          <w:bCs/>
          <w:color w:val="000000" w:themeColor="text1"/>
          <w:sz w:val="32"/>
          <w:szCs w:val="32"/>
          <w14:textFill>
            <w14:solidFill>
              <w14:schemeClr w14:val="tx1"/>
            </w14:solidFill>
          </w14:textFill>
        </w:rPr>
        <w:t>年</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05第13期</w:t>
      </w:r>
      <w:r>
        <w:rPr>
          <w:rFonts w:hint="eastAsia"/>
          <w:color w:val="000000" w:themeColor="text1"/>
          <w:sz w:val="32"/>
          <w:szCs w:val="32"/>
          <w:lang w:val="en-US" w:eastAsia="zh-CN"/>
          <w14:textFill>
            <w14:solidFill>
              <w14:schemeClr w14:val="tx1"/>
            </w14:solidFill>
          </w14:textFill>
        </w:rPr>
        <w:t xml:space="preserve"> </w:t>
      </w: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center"/>
        <w:rPr>
          <w:rFonts w:hint="eastAsia"/>
          <w:color w:val="000000" w:themeColor="text1"/>
          <w:sz w:val="24"/>
          <w:szCs w:val="24"/>
          <w14:textFill>
            <w14:solidFill>
              <w14:schemeClr w14:val="tx1"/>
            </w14:solidFill>
          </w14:textFill>
        </w:rPr>
      </w:pPr>
    </w:p>
    <w:p>
      <w:pPr>
        <w:topLinePunct/>
        <w:ind w:firstLine="3534" w:firstLineChars="1100"/>
        <w:jc w:val="both"/>
        <w:rPr>
          <w:rFonts w:hint="eastAsia" w:eastAsiaTheme="minorEastAsia"/>
          <w:b/>
          <w:bCs/>
          <w:sz w:val="32"/>
          <w:szCs w:val="32"/>
          <w:u w:val="single"/>
          <w:lang w:eastAsia="zh-CN"/>
        </w:rPr>
      </w:pPr>
      <w:r>
        <w:rPr>
          <w:rFonts w:hint="eastAsia"/>
          <w:b/>
          <w:bCs/>
          <w:sz w:val="32"/>
          <w:szCs w:val="32"/>
        </w:rPr>
        <w:t>总监理工程师</w:t>
      </w:r>
    </w:p>
    <w:p>
      <w:pPr>
        <w:topLinePunct/>
        <w:ind w:firstLine="425"/>
        <w:rPr>
          <w:rFonts w:hint="eastAsia"/>
          <w:b/>
          <w:bCs/>
          <w:sz w:val="32"/>
          <w:szCs w:val="32"/>
          <w:u w:val="single"/>
        </w:rPr>
      </w:pPr>
    </w:p>
    <w:p>
      <w:pPr>
        <w:topLinePunct/>
        <w:ind w:firstLine="425"/>
        <w:rPr>
          <w:rFonts w:hint="eastAsia"/>
          <w:szCs w:val="21"/>
        </w:rPr>
      </w:pPr>
    </w:p>
    <w:p>
      <w:pPr>
        <w:topLinePunct/>
        <w:ind w:firstLine="425"/>
        <w:rPr>
          <w:rFonts w:hint="eastAsia"/>
          <w:szCs w:val="21"/>
        </w:rPr>
      </w:pPr>
    </w:p>
    <w:p>
      <w:pPr>
        <w:topLinePunct/>
        <w:ind w:firstLine="425"/>
        <w:rPr>
          <w:rFonts w:hint="eastAsia"/>
          <w:szCs w:val="21"/>
        </w:rPr>
      </w:pPr>
    </w:p>
    <w:p>
      <w:pPr>
        <w:topLinePunct/>
        <w:rPr>
          <w:rFonts w:hint="eastAsia"/>
          <w:b/>
          <w:bCs/>
          <w:sz w:val="32"/>
          <w:szCs w:val="32"/>
        </w:rPr>
      </w:pPr>
    </w:p>
    <w:p>
      <w:pPr>
        <w:topLinePunct/>
        <w:ind w:firstLine="3537" w:firstLineChars="1101"/>
        <w:jc w:val="both"/>
        <w:rPr>
          <w:rFonts w:hint="eastAsia"/>
          <w:b/>
          <w:bCs/>
          <w:sz w:val="32"/>
          <w:szCs w:val="32"/>
          <w:u w:val="single"/>
        </w:rPr>
      </w:pPr>
      <w:r>
        <w:rPr>
          <w:rFonts w:hint="eastAsia"/>
          <w:b/>
          <w:bCs/>
          <w:sz w:val="32"/>
          <w:szCs w:val="32"/>
        </w:rPr>
        <w:t>监理项目部（章）</w:t>
      </w:r>
    </w:p>
    <w:p>
      <w:pPr>
        <w:topLinePunct/>
        <w:ind w:firstLine="425"/>
        <w:jc w:val="center"/>
        <w:rPr>
          <w:rFonts w:hint="eastAsia"/>
          <w:b/>
          <w:bCs/>
          <w:sz w:val="32"/>
          <w:szCs w:val="32"/>
        </w:rPr>
      </w:pPr>
    </w:p>
    <w:p>
      <w:pPr>
        <w:topLinePunct/>
        <w:ind w:firstLine="2573" w:firstLineChars="801"/>
        <w:jc w:val="both"/>
        <w:rPr>
          <w:rFonts w:hint="eastAsia"/>
          <w:b/>
          <w:bCs/>
          <w:sz w:val="32"/>
          <w:szCs w:val="32"/>
        </w:rPr>
      </w:pPr>
      <w:r>
        <w:rPr>
          <w:rFonts w:hint="eastAsia"/>
          <w:b/>
          <w:bCs/>
          <w:sz w:val="32"/>
          <w:szCs w:val="32"/>
        </w:rPr>
        <w:t>报告日期：</w:t>
      </w:r>
      <w:r>
        <w:rPr>
          <w:rFonts w:hint="eastAsia"/>
          <w:b/>
          <w:bCs/>
          <w:sz w:val="32"/>
          <w:szCs w:val="32"/>
          <w:lang w:val="en-US" w:eastAsia="zh-CN"/>
        </w:rPr>
        <w:t>2023</w:t>
      </w:r>
      <w:r>
        <w:rPr>
          <w:rFonts w:hint="eastAsia"/>
          <w:b/>
          <w:bCs/>
          <w:sz w:val="32"/>
          <w:szCs w:val="32"/>
        </w:rPr>
        <w:t>年</w:t>
      </w:r>
      <w:r>
        <w:rPr>
          <w:rFonts w:hint="eastAsia"/>
          <w:b/>
          <w:bCs/>
          <w:sz w:val="32"/>
          <w:szCs w:val="32"/>
          <w:lang w:val="en-US" w:eastAsia="zh-CN"/>
        </w:rPr>
        <w:t>05</w:t>
      </w:r>
      <w:r>
        <w:rPr>
          <w:rFonts w:hint="eastAsia"/>
          <w:b/>
          <w:bCs/>
          <w:sz w:val="32"/>
          <w:szCs w:val="32"/>
        </w:rPr>
        <w:t>月</w:t>
      </w:r>
      <w:r>
        <w:rPr>
          <w:rFonts w:hint="eastAsia"/>
          <w:b/>
          <w:bCs/>
          <w:sz w:val="32"/>
          <w:szCs w:val="32"/>
          <w:lang w:val="en-US" w:eastAsia="zh-CN"/>
        </w:rPr>
        <w:t>31</w:t>
      </w:r>
      <w:r>
        <w:rPr>
          <w:rFonts w:hint="eastAsia"/>
          <w:b/>
          <w:bCs/>
          <w:sz w:val="32"/>
          <w:szCs w:val="32"/>
        </w:rPr>
        <w:t>日</w:t>
      </w:r>
    </w:p>
    <w:p>
      <w:pPr>
        <w:pStyle w:val="5"/>
        <w:spacing w:before="0"/>
        <w:rPr>
          <w:sz w:val="18"/>
        </w:rPr>
      </w:pPr>
    </w:p>
    <w:p>
      <w:pPr>
        <w:topLinePunct/>
        <w:ind w:firstLine="425"/>
      </w:pPr>
    </w:p>
    <w:p>
      <w:pPr>
        <w:topLinePunct/>
        <w:ind w:firstLine="425"/>
      </w:pPr>
      <w:r>
        <w:t xml:space="preserve"> </w:t>
      </w:r>
    </w:p>
    <w:p>
      <w:pPr>
        <w:topLinePunct/>
        <w:ind w:firstLine="425"/>
      </w:pPr>
    </w:p>
    <w:p>
      <w:pPr>
        <w:jc w:val="center"/>
        <w:rPr>
          <w:rFonts w:hint="default" w:asciiTheme="majorEastAsia" w:hAnsiTheme="majorEastAsia" w:eastAsiaTheme="majorEastAsia" w:cstheme="majorEastAsia"/>
          <w:color w:val="000000" w:themeColor="text1"/>
          <w:sz w:val="32"/>
          <w:szCs w:val="32"/>
          <w:u w:val="single"/>
          <w:lang w:val="en-US" w:eastAsia="zh-CN"/>
          <w14:textFill>
            <w14:solidFill>
              <w14:schemeClr w14:val="tx1"/>
            </w14:solidFill>
          </w14:textFill>
        </w:rPr>
      </w:pPr>
      <w:r>
        <w:rPr>
          <w:rFonts w:hint="eastAsia"/>
          <w:color w:val="000000" w:themeColor="text1"/>
          <w:sz w:val="32"/>
          <w:szCs w:val="32"/>
          <w14:textFill>
            <w14:solidFill>
              <w14:schemeClr w14:val="tx1"/>
            </w14:solidFill>
          </w14:textFill>
        </w:rPr>
        <w:t xml:space="preserve"> </w:t>
      </w:r>
      <w:r>
        <w:rPr>
          <w:rFonts w:hint="eastAsia"/>
          <w:color w:val="000000" w:themeColor="text1"/>
          <w:sz w:val="32"/>
          <w:szCs w:val="32"/>
          <w:lang w:eastAsia="zh-CN"/>
          <w14:textFill>
            <w14:solidFill>
              <w14:schemeClr w14:val="tx1"/>
            </w14:solidFill>
          </w14:textFill>
        </w:rPr>
        <w:t>监</w:t>
      </w:r>
      <w:r>
        <w:rPr>
          <w:rFonts w:hint="eastAsia"/>
          <w:color w:val="000000" w:themeColor="text1"/>
          <w:sz w:val="32"/>
          <w:szCs w:val="32"/>
          <w14:textFill>
            <w14:solidFill>
              <w14:schemeClr w14:val="tx1"/>
            </w14:solidFill>
          </w14:textFill>
        </w:rPr>
        <w:t xml:space="preserve"> 理  月  报</w:t>
      </w:r>
    </w:p>
    <w:p>
      <w:pPr>
        <w:pStyle w:val="11"/>
        <w:numPr>
          <w:ilvl w:val="0"/>
          <w:numId w:val="1"/>
        </w:numPr>
        <w:spacing w:before="156" w:beforeLines="50" w:after="156" w:afterLines="50" w:line="360" w:lineRule="auto"/>
        <w:ind w:left="612" w:leftChars="0" w:hanging="612"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监理重点工作情况</w:t>
      </w:r>
    </w:p>
    <w:tbl>
      <w:tblPr>
        <w:tblStyle w:val="9"/>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564"/>
        <w:gridCol w:w="3761"/>
        <w:gridCol w:w="3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02"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专业</w:t>
            </w: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事项</w:t>
            </w:r>
          </w:p>
        </w:tc>
        <w:tc>
          <w:tcPr>
            <w:tcW w:w="3761"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本月重点工作情况</w:t>
            </w:r>
          </w:p>
        </w:tc>
        <w:tc>
          <w:tcPr>
            <w:tcW w:w="3008"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下月重点工作计划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802"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协调</w:t>
            </w:r>
          </w:p>
        </w:tc>
        <w:tc>
          <w:tcPr>
            <w:tcW w:w="1564" w:type="dxa"/>
            <w:vAlign w:val="center"/>
          </w:tcPr>
          <w:p>
            <w:pPr>
              <w:spacing w:line="360" w:lineRule="auto"/>
              <w:ind w:firstLine="210" w:firstLineChars="1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组织工作</w:t>
            </w:r>
          </w:p>
        </w:tc>
        <w:tc>
          <w:tcPr>
            <w:tcW w:w="3761" w:type="dxa"/>
            <w:vAlign w:val="center"/>
          </w:tcPr>
          <w:p>
            <w:pPr>
              <w:numPr>
                <w:ilvl w:val="0"/>
                <w:numId w:val="2"/>
              </w:numPr>
              <w:spacing w:line="360" w:lineRule="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组织召开工地例会和工地安全例会3次，并形成会议纪要。</w:t>
            </w:r>
          </w:p>
          <w:p>
            <w:pPr>
              <w:pStyle w:val="2"/>
              <w:numPr>
                <w:ilvl w:val="0"/>
                <w:numId w:val="0"/>
              </w:numPr>
              <w:ind w:leftChars="0"/>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2、组织高空防坠落应急演练活动。</w:t>
            </w:r>
          </w:p>
          <w:p>
            <w:pPr>
              <w:pStyle w:val="2"/>
              <w:numPr>
                <w:ilvl w:val="0"/>
                <w:numId w:val="0"/>
              </w:numPr>
              <w:spacing w:line="360" w:lineRule="auto"/>
              <w:ind w:leftChars="0"/>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3、业主、监理、总包对施工现场进行安全检查。</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召开工地例会和安全工地例会，督促施工单位做好工程质量和安全自查工作，</w:t>
            </w:r>
            <w:bookmarkStart w:id="0" w:name="_GoBack"/>
            <w:bookmarkEnd w:id="0"/>
            <w:r>
              <w:rPr>
                <w:rFonts w:hint="eastAsia" w:ascii="宋体" w:hAnsi="宋体" w:eastAsia="宋体" w:cs="宋体"/>
                <w:color w:val="000000" w:themeColor="text1"/>
                <w:sz w:val="21"/>
                <w:szCs w:val="21"/>
                <w:lang w:val="en-US" w:eastAsia="zh-CN"/>
                <w14:textFill>
                  <w14:solidFill>
                    <w14:schemeClr w14:val="tx1"/>
                  </w14:solidFill>
                </w14:textFill>
              </w:rPr>
              <w:t>定期组织应急演练活动、定期对施工现场进行安全大检查。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02" w:type="dxa"/>
            <w:vMerge w:val="restart"/>
            <w:vAlign w:val="center"/>
          </w:tcPr>
          <w:p>
            <w:pPr>
              <w:spacing w:line="360" w:lineRule="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进度</w:t>
            </w:r>
          </w:p>
        </w:tc>
        <w:tc>
          <w:tcPr>
            <w:tcW w:w="1564" w:type="dxa"/>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主要工序</w:t>
            </w:r>
          </w:p>
          <w:p>
            <w:pPr>
              <w:spacing w:line="360" w:lineRule="auto"/>
              <w:jc w:val="center"/>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工    作</w:t>
            </w:r>
          </w:p>
        </w:tc>
        <w:tc>
          <w:tcPr>
            <w:tcW w:w="3761" w:type="dxa"/>
            <w:vAlign w:val="center"/>
          </w:tcPr>
          <w:p>
            <w:pPr>
              <w:numPr>
                <w:ilvl w:val="0"/>
                <w:numId w:val="0"/>
              </w:numPr>
              <w:spacing w:line="360" w:lineRule="auto"/>
              <w:ind w:left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1、2023年05月01日到2023年05月31日每天编写的监理工作日志，编写监理周报4份，月报月1份，编写隐蔽工程监理检查记录14份，监理旁站记录 12份，《监理工程师联系单》1份。</w:t>
            </w:r>
          </w:p>
          <w:p>
            <w:pPr>
              <w:pStyle w:val="2"/>
              <w:numPr>
                <w:ilvl w:val="0"/>
                <w:numId w:val="2"/>
              </w:numPr>
              <w:spacing w:line="360" w:lineRule="auto"/>
              <w:ind w:left="0" w:leftChars="0" w:firstLine="0" w:firstLine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对施工单位资料进行审阅签字、盖章，参加商运前质检会议，配合质检专家检查现场和资料。</w:t>
            </w:r>
          </w:p>
          <w:p>
            <w:pPr>
              <w:pStyle w:val="2"/>
              <w:numPr>
                <w:ilvl w:val="0"/>
                <w:numId w:val="2"/>
              </w:numPr>
              <w:spacing w:line="360" w:lineRule="auto"/>
              <w:ind w:left="0" w:leftChars="0" w:firstLine="0" w:firstLineChars="0"/>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因涉矿征地协调问题造成集电线路和风机基础停止施工。</w:t>
            </w:r>
          </w:p>
          <w:p>
            <w:pPr>
              <w:numPr>
                <w:ilvl w:val="0"/>
                <w:numId w:val="0"/>
              </w:numPr>
              <w:spacing w:line="360" w:lineRule="auto"/>
              <w:ind w:left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4、储能站：消防管道压力试验旁站；消防管道隐蔽检查；消防泵房管道喷漆、围墙抹灰、消防泵房屋顶蓄水试验检查；储能消防供水井砌筑、站内围墙喷漆巡查。</w:t>
            </w:r>
          </w:p>
          <w:p>
            <w:pPr>
              <w:numPr>
                <w:ilvl w:val="0"/>
                <w:numId w:val="0"/>
              </w:numPr>
              <w:spacing w:line="360" w:lineRule="auto"/>
              <w:ind w:left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5、集电线路：塔基混凝土浇筑旁站基础掏挖、钢筋绑扎、放线、铁塔组立等施工巡视检查。塔基基础钢筋、模板、地脚、螺栓验收，组塔前回弹检查，铁塔螺丝扭矩、电阻测量检查。</w:t>
            </w:r>
          </w:p>
          <w:p>
            <w:pPr>
              <w:numPr>
                <w:ilvl w:val="0"/>
                <w:numId w:val="0"/>
              </w:numPr>
              <w:spacing w:line="360" w:lineRule="auto"/>
              <w:ind w:leftChars="0"/>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6、道路：大件运输道路修筑、压实、平台开挖巡视检查，安全隐患排查。</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7、风机：①、风机基础开挖、箱变基础开挖、电缆沟开挖、风机基础垫层、风机进场道路修整、风机基础回填土压实检查②、风机基础锚笼安装检查、钢筋绑扎、模板检查验收；风机模板拆除、接地测量检查；风机电装、风机至风机箱变电缆敷设、箱变接地检查。③、风机基础凿毛、锚盘、二次灌浆浆料检查，风机塔筒打力矩、塔筒补漆，主吊组装检查。④、风机吊装、风机基础浇筑、风机箱变电缆耐压试验、风机基础二次灌浆全程旁站。</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⑤、25#风机并网完成。</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8、山上植被恢复，护坡修整巡视检查。</w:t>
            </w:r>
          </w:p>
        </w:tc>
        <w:tc>
          <w:tcPr>
            <w:tcW w:w="3008" w:type="dxa"/>
            <w:vAlign w:val="center"/>
          </w:tcPr>
          <w:p>
            <w:pPr>
              <w:numPr>
                <w:ilvl w:val="0"/>
                <w:numId w:val="0"/>
              </w:numPr>
              <w:spacing w:line="360" w:lineRule="auto"/>
              <w:ind w:left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每日编写监理日志，编写周报、月报、隐蔽工程检查记录、旁站记录，大件运输道路修整巡视检查，安全隐患排查；集电线路铁塔基础掏挖、放线、铁塔组立巡视检查；铁塔螺丝扭矩、电阻测量检查，铁塔基础浇筑前检查验收，铁塔基础浇筑旁站；储能站施工巡查，风机基础施工、进场道路修整检查，风机吊装全程旁站，水保施工进行巡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w:t>
            </w:r>
            <w:r>
              <w:rPr>
                <w:rFonts w:hint="eastAsia" w:ascii="宋体" w:hAnsi="宋体" w:eastAsia="宋体" w:cs="宋体"/>
                <w:color w:val="000000" w:themeColor="text1"/>
                <w:sz w:val="21"/>
                <w:szCs w:val="21"/>
                <w:lang w:val="en-US" w:eastAsia="zh-CN"/>
                <w14:textFill>
                  <w14:solidFill>
                    <w14:schemeClr w14:val="tx1"/>
                  </w14:solidFill>
                </w14:textFill>
              </w:rPr>
              <w:t>材料</w:t>
            </w:r>
          </w:p>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进场情况</w:t>
            </w:r>
          </w:p>
        </w:tc>
        <w:tc>
          <w:tcPr>
            <w:tcW w:w="3761" w:type="dxa"/>
            <w:vAlign w:val="center"/>
          </w:tcPr>
          <w:p>
            <w:pPr>
              <w:pStyle w:val="2"/>
              <w:numPr>
                <w:ilvl w:val="0"/>
                <w:numId w:val="0"/>
              </w:numPr>
              <w:spacing w:line="360" w:lineRule="auto"/>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lang w:val="en-US" w:eastAsia="zh-CN"/>
              </w:rPr>
              <w:t>1</w:t>
            </w:r>
            <w:r>
              <w:rPr>
                <w:rFonts w:hint="eastAsia" w:ascii="宋体" w:hAnsi="宋体" w:eastAsia="宋体" w:cs="宋体"/>
                <w:color w:val="000000" w:themeColor="text1"/>
                <w:kern w:val="2"/>
                <w:sz w:val="21"/>
                <w:szCs w:val="21"/>
                <w:lang w:val="en-US" w:eastAsia="zh-CN" w:bidi="ar-SA"/>
                <w14:textFill>
                  <w14:solidFill>
                    <w14:schemeClr w14:val="tx1"/>
                  </w14:solidFill>
                </w14:textFill>
              </w:rPr>
              <w:t>、储能站防水卷材、真石漆进场、内墙乳胶漆、围墙漆、灯具、水泵进场检查。</w:t>
            </w:r>
          </w:p>
          <w:p>
            <w:pPr>
              <w:pStyle w:val="2"/>
              <w:numPr>
                <w:ilvl w:val="0"/>
                <w:numId w:val="0"/>
              </w:numPr>
              <w:spacing w:after="0" w:line="240" w:lineRule="auto"/>
              <w:jc w:val="both"/>
              <w:rPr>
                <w:rFonts w:hint="default"/>
                <w:lang w:val="en-US" w:eastAsia="zh-CN"/>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2、集电线路一回路塔材进场检查。</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做好材料进场验收工作，并做好开箱检查记录。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设计交付进度</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风电场、集电线路、升压站、储能站图纸全部已出。</w:t>
            </w:r>
          </w:p>
        </w:tc>
        <w:tc>
          <w:tcPr>
            <w:tcW w:w="3008"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全部交付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运作情况</w:t>
            </w:r>
          </w:p>
        </w:tc>
        <w:tc>
          <w:tcPr>
            <w:tcW w:w="3761"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质量体系健全，运行良好</w:t>
            </w:r>
          </w:p>
        </w:tc>
        <w:tc>
          <w:tcPr>
            <w:tcW w:w="3008" w:type="dxa"/>
            <w:vAlign w:val="center"/>
          </w:tcPr>
          <w:p>
            <w:pPr>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严把质量关，并认真做好每次质检记录，</w:t>
            </w:r>
            <w:r>
              <w:rPr>
                <w:rFonts w:hint="eastAsia" w:ascii="宋体" w:hAnsi="宋体" w:eastAsia="宋体" w:cs="宋体"/>
                <w:color w:val="000000" w:themeColor="text1"/>
                <w:sz w:val="21"/>
                <w:szCs w:val="21"/>
                <w14:textFill>
                  <w14:solidFill>
                    <w14:schemeClr w14:val="tx1"/>
                  </w14:solidFill>
                </w14:textFill>
              </w:rPr>
              <w:t>并对运行情况进行</w:t>
            </w:r>
            <w:r>
              <w:rPr>
                <w:rFonts w:hint="eastAsia" w:ascii="宋体" w:hAnsi="宋体" w:eastAsia="宋体" w:cs="宋体"/>
                <w:color w:val="000000" w:themeColor="text1"/>
                <w:sz w:val="21"/>
                <w:szCs w:val="21"/>
                <w:lang w:eastAsia="zh-CN"/>
                <w14:textFill>
                  <w14:solidFill>
                    <w14:schemeClr w14:val="tx1"/>
                  </w14:solidFill>
                </w14:textFill>
              </w:rPr>
              <w:t>跟踪</w:t>
            </w:r>
            <w:r>
              <w:rPr>
                <w:rFonts w:hint="eastAsia" w:ascii="宋体" w:hAnsi="宋体" w:eastAsia="宋体" w:cs="宋体"/>
                <w:color w:val="000000" w:themeColor="text1"/>
                <w:sz w:val="21"/>
                <w:szCs w:val="21"/>
                <w14:textFill>
                  <w14:solidFill>
                    <w14:schemeClr w14:val="tx1"/>
                  </w14:solidFill>
                </w14:textFill>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施工图会审</w:t>
            </w:r>
          </w:p>
        </w:tc>
        <w:tc>
          <w:tcPr>
            <w:tcW w:w="3761"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c>
          <w:tcPr>
            <w:tcW w:w="3008"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设计交底</w:t>
            </w:r>
          </w:p>
        </w:tc>
        <w:tc>
          <w:tcPr>
            <w:tcW w:w="3761"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c>
          <w:tcPr>
            <w:tcW w:w="3008"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继续做好交底工作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方案审查</w:t>
            </w:r>
          </w:p>
        </w:tc>
        <w:tc>
          <w:tcPr>
            <w:tcW w:w="376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升压站、集电线路，风机基础、储能部分方案已审查完成，集电线路、风机电气部分方案已审查完成。</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监督施工单位完善工程资料，对施工单位的技术措施、大型机械、特殊工种、管理体系运转情况等进行审查。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技术交底</w:t>
            </w:r>
          </w:p>
        </w:tc>
        <w:tc>
          <w:tcPr>
            <w:tcW w:w="3761" w:type="dxa"/>
            <w:vAlign w:val="center"/>
          </w:tcPr>
          <w:p>
            <w:pPr>
              <w:spacing w:line="360" w:lineRule="auto"/>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新进场吊装人员和电装人员</w:t>
            </w:r>
            <w:r>
              <w:rPr>
                <w:rFonts w:hint="eastAsia" w:ascii="宋体" w:hAnsi="宋体" w:eastAsia="宋体" w:cs="宋体"/>
                <w:color w:val="000000" w:themeColor="text1"/>
                <w:sz w:val="21"/>
                <w:szCs w:val="21"/>
                <w:lang w:eastAsia="zh-CN"/>
                <w14:textFill>
                  <w14:solidFill>
                    <w14:schemeClr w14:val="tx1"/>
                  </w14:solidFill>
                </w14:textFill>
              </w:rPr>
              <w:t>进行</w:t>
            </w:r>
            <w:r>
              <w:rPr>
                <w:rFonts w:hint="eastAsia" w:ascii="宋体" w:hAnsi="宋体" w:eastAsia="宋体" w:cs="宋体"/>
                <w:color w:val="000000" w:themeColor="text1"/>
                <w:sz w:val="21"/>
                <w:szCs w:val="21"/>
                <w:lang w:val="en-US" w:eastAsia="zh-CN"/>
                <w14:textFill>
                  <w14:solidFill>
                    <w14:schemeClr w14:val="tx1"/>
                  </w14:solidFill>
                </w14:textFill>
              </w:rPr>
              <w:t>安全</w:t>
            </w:r>
            <w:r>
              <w:rPr>
                <w:rFonts w:hint="eastAsia" w:ascii="宋体" w:hAnsi="宋体" w:eastAsia="宋体" w:cs="宋体"/>
                <w:color w:val="000000" w:themeColor="text1"/>
                <w:sz w:val="21"/>
                <w:szCs w:val="21"/>
                <w:lang w:eastAsia="zh-CN"/>
                <w14:textFill>
                  <w14:solidFill>
                    <w14:schemeClr w14:val="tx1"/>
                  </w14:solidFill>
                </w14:textFill>
              </w:rPr>
              <w:t>技术交底</w:t>
            </w:r>
            <w:r>
              <w:rPr>
                <w:rFonts w:hint="eastAsia" w:ascii="宋体" w:hAnsi="宋体" w:eastAsia="宋体" w:cs="宋体"/>
                <w:color w:val="000000" w:themeColor="text1"/>
                <w:sz w:val="21"/>
                <w:szCs w:val="21"/>
                <w:lang w:val="en-US" w:eastAsia="zh-CN"/>
                <w14:textFill>
                  <w14:solidFill>
                    <w14:schemeClr w14:val="tx1"/>
                  </w14:solidFill>
                </w14:textFill>
              </w:rPr>
              <w:t>培训</w:t>
            </w:r>
            <w:r>
              <w:rPr>
                <w:rFonts w:hint="eastAsia" w:ascii="宋体" w:hAnsi="宋体" w:eastAsia="宋体" w:cs="宋体"/>
                <w:color w:val="000000" w:themeColor="text1"/>
                <w:sz w:val="21"/>
                <w:szCs w:val="21"/>
                <w:lang w:eastAsia="zh-CN"/>
                <w14:textFill>
                  <w14:solidFill>
                    <w14:schemeClr w14:val="tx1"/>
                  </w14:solidFill>
                </w14:textFill>
              </w:rPr>
              <w:t>。</w:t>
            </w:r>
          </w:p>
        </w:tc>
        <w:tc>
          <w:tcPr>
            <w:tcW w:w="3008" w:type="dxa"/>
            <w:vAlign w:val="center"/>
          </w:tcPr>
          <w:p>
            <w:pPr>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w:t>
            </w:r>
            <w:r>
              <w:rPr>
                <w:rFonts w:hint="eastAsia" w:ascii="宋体" w:hAnsi="宋体" w:eastAsia="宋体" w:cs="宋体"/>
                <w:color w:val="000000" w:themeColor="text1"/>
                <w:sz w:val="21"/>
                <w:szCs w:val="21"/>
                <w:lang w:eastAsia="zh-CN"/>
                <w14:textFill>
                  <w14:solidFill>
                    <w14:schemeClr w14:val="tx1"/>
                  </w14:solidFill>
                </w14:textFill>
              </w:rPr>
              <w:t>做好各项交底</w:t>
            </w:r>
            <w:r>
              <w:rPr>
                <w:rFonts w:hint="eastAsia" w:ascii="宋体" w:hAnsi="宋体" w:eastAsia="宋体" w:cs="宋体"/>
                <w:color w:val="000000" w:themeColor="text1"/>
                <w:sz w:val="21"/>
                <w:szCs w:val="21"/>
                <w:lang w:val="en-US" w:eastAsia="zh-CN"/>
                <w14:textFill>
                  <w14:solidFill>
                    <w14:schemeClr w14:val="tx1"/>
                  </w14:solidFill>
                </w14:textFill>
              </w:rPr>
              <w:t>工作</w:t>
            </w:r>
            <w:r>
              <w:rPr>
                <w:rFonts w:hint="eastAsia" w:ascii="宋体" w:hAnsi="宋体" w:eastAsia="宋体" w:cs="宋体"/>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设计变更</w:t>
            </w:r>
          </w:p>
        </w:tc>
        <w:tc>
          <w:tcPr>
            <w:tcW w:w="3761"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X2、X7机位变更W7、W10机位</w:t>
            </w:r>
          </w:p>
        </w:tc>
        <w:tc>
          <w:tcPr>
            <w:tcW w:w="3008"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restart"/>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p>
        </w:tc>
        <w:tc>
          <w:tcPr>
            <w:tcW w:w="1564" w:type="dxa"/>
            <w:vAlign w:val="center"/>
          </w:tcPr>
          <w:p>
            <w:pPr>
              <w:tabs>
                <w:tab w:val="left" w:pos="990"/>
              </w:tabs>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r>
              <w:rPr>
                <w:rFonts w:hint="eastAsia" w:ascii="宋体" w:hAnsi="宋体" w:eastAsia="宋体" w:cs="宋体"/>
                <w:color w:val="000000" w:themeColor="text1"/>
                <w:sz w:val="21"/>
                <w:szCs w:val="21"/>
                <w:lang w:val="en-US" w:eastAsia="zh-CN"/>
                <w14:textFill>
                  <w14:solidFill>
                    <w14:schemeClr w14:val="tx1"/>
                  </w14:solidFill>
                </w14:textFill>
              </w:rPr>
              <w:t>月活动</w:t>
            </w:r>
          </w:p>
          <w:p>
            <w:pPr>
              <w:tabs>
                <w:tab w:val="left" w:pos="990"/>
              </w:tabs>
              <w:spacing w:line="360" w:lineRule="auto"/>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开展情况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项目部每周召安全工地例会和组织高空防坠落应急演练活动，对施工现场进行安全检查，宣传遵守安全生产法，对储能站、集电线路、风机基础、风机吊装现场进行安全巡查。</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继续开展安全文明施工教育，组织一些防火、触电、防坠落的应急演练活动，监督做好用火、用电，组织安全活动等工作。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培训情况</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安全交底情况</w:t>
            </w:r>
          </w:p>
        </w:tc>
        <w:tc>
          <w:tcPr>
            <w:tcW w:w="376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对吊装新进人员进行了安全教育培训和安全技术</w:t>
            </w:r>
            <w:r>
              <w:rPr>
                <w:rFonts w:hint="eastAsia" w:ascii="宋体" w:hAnsi="宋体" w:eastAsia="宋体" w:cs="宋体"/>
                <w:color w:val="000000" w:themeColor="text1"/>
                <w:sz w:val="21"/>
                <w:szCs w:val="21"/>
                <w14:textFill>
                  <w14:solidFill>
                    <w14:schemeClr w14:val="tx1"/>
                  </w14:solidFill>
                </w14:textFill>
              </w:rPr>
              <w:t>交底</w:t>
            </w:r>
            <w:r>
              <w:rPr>
                <w:rFonts w:hint="eastAsia" w:ascii="宋体" w:hAnsi="宋体" w:eastAsia="宋体" w:cs="宋体"/>
                <w:color w:val="000000" w:themeColor="text1"/>
                <w:sz w:val="21"/>
                <w:szCs w:val="21"/>
                <w:lang w:eastAsia="zh-CN"/>
                <w14:textFill>
                  <w14:solidFill>
                    <w14:schemeClr w14:val="tx1"/>
                  </w14:solidFill>
                </w14:textFill>
              </w:rPr>
              <w:t>。</w:t>
            </w:r>
          </w:p>
        </w:tc>
        <w:tc>
          <w:tcPr>
            <w:tcW w:w="3008"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继续督促施工单位进行班前</w:t>
            </w:r>
            <w:r>
              <w:rPr>
                <w:rFonts w:hint="eastAsia" w:ascii="宋体" w:hAnsi="宋体" w:eastAsia="宋体" w:cs="宋体"/>
                <w:color w:val="000000" w:themeColor="text1"/>
                <w:sz w:val="21"/>
                <w:szCs w:val="21"/>
                <w:lang w:eastAsia="zh-CN"/>
                <w14:textFill>
                  <w14:solidFill>
                    <w14:schemeClr w14:val="tx1"/>
                  </w14:solidFill>
                </w14:textFill>
              </w:rPr>
              <w:t>技术、安全</w:t>
            </w:r>
            <w:r>
              <w:rPr>
                <w:rFonts w:hint="eastAsia" w:ascii="宋体" w:hAnsi="宋体" w:eastAsia="宋体" w:cs="宋体"/>
                <w:color w:val="000000" w:themeColor="text1"/>
                <w:sz w:val="21"/>
                <w:szCs w:val="21"/>
                <w:lang w:val="en-US" w:eastAsia="zh-CN"/>
                <w14:textFill>
                  <w14:solidFill>
                    <w14:schemeClr w14:val="tx1"/>
                  </w14:solidFill>
                </w14:textFill>
              </w:rPr>
              <w:t>教育</w:t>
            </w:r>
            <w:r>
              <w:rPr>
                <w:rFonts w:hint="eastAsia" w:ascii="宋体" w:hAnsi="宋体" w:eastAsia="宋体" w:cs="宋体"/>
                <w:color w:val="000000" w:themeColor="text1"/>
                <w:sz w:val="21"/>
                <w:szCs w:val="21"/>
                <w14:textFill>
                  <w14:solidFill>
                    <w14:schemeClr w14:val="tx1"/>
                  </w14:solidFill>
                </w14:textFill>
              </w:rPr>
              <w:t>交底</w:t>
            </w:r>
            <w:r>
              <w:rPr>
                <w:rFonts w:hint="eastAsia" w:ascii="宋体" w:hAnsi="宋体" w:eastAsia="宋体" w:cs="宋体"/>
                <w:color w:val="000000" w:themeColor="text1"/>
                <w:sz w:val="21"/>
                <w:szCs w:val="21"/>
                <w:lang w:val="en-US" w:eastAsia="zh-CN"/>
                <w14:textFill>
                  <w14:solidFill>
                    <w14:schemeClr w14:val="tx1"/>
                  </w14:solidFill>
                </w14:textFill>
              </w:rPr>
              <w:t>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安全措施</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落实情况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要求各施工区域五图一牌、防护栏杆、安全警示标志安装到位，施工现场灭火器等必须配备齐全。</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持续进行防火、防触电、防疫等措施、杜绝意外发生。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安全文明</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施工情况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现场安全文明施工检查，本项目施工现场安全文明措施布置到位，施工现场安全警示标语及岗位职责牌已基本备齐。</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加强现场安全</w:t>
            </w:r>
            <w:r>
              <w:rPr>
                <w:rFonts w:hint="eastAsia" w:ascii="宋体" w:hAnsi="宋体" w:eastAsia="宋体" w:cs="宋体"/>
                <w:color w:val="000000" w:themeColor="text1"/>
                <w:sz w:val="21"/>
                <w:szCs w:val="21"/>
                <w:lang w:eastAsia="zh-CN"/>
                <w14:textFill>
                  <w14:solidFill>
                    <w14:schemeClr w14:val="tx1"/>
                  </w14:solidFill>
                </w14:textFill>
              </w:rPr>
              <w:t>巡查，落实安全文明施工，</w:t>
            </w:r>
            <w:r>
              <w:rPr>
                <w:rFonts w:hint="eastAsia" w:ascii="宋体" w:hAnsi="宋体" w:eastAsia="宋体" w:cs="宋体"/>
                <w:color w:val="000000" w:themeColor="text1"/>
                <w:sz w:val="21"/>
                <w:szCs w:val="21"/>
                <w:lang w:val="en-US" w:eastAsia="zh-CN"/>
                <w14:textFill>
                  <w14:solidFill>
                    <w14:schemeClr w14:val="tx1"/>
                  </w14:solidFill>
                </w14:textFill>
              </w:rPr>
              <w:t>加强施工现场的监管力度，确保整个项目安全高效的进行。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02" w:type="dxa"/>
            <w:vMerge w:val="restart"/>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w:t>
            </w: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主要工序质量</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质量处于受控状态，原材料进场进行见证取样复检检测全部合格。</w:t>
            </w:r>
          </w:p>
        </w:tc>
        <w:tc>
          <w:tcPr>
            <w:tcW w:w="3008"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督促各单位做好自检工作和工序报验，把好质量关。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w:t>
            </w:r>
            <w:r>
              <w:rPr>
                <w:rFonts w:hint="eastAsia" w:ascii="宋体" w:hAnsi="宋体" w:eastAsia="宋体" w:cs="宋体"/>
                <w:color w:val="000000" w:themeColor="text1"/>
                <w:sz w:val="21"/>
                <w:szCs w:val="21"/>
                <w:lang w:val="en-US" w:eastAsia="zh-CN"/>
                <w14:textFill>
                  <w14:solidFill>
                    <w14:schemeClr w14:val="tx1"/>
                  </w14:solidFill>
                </w14:textFill>
              </w:rPr>
              <w:t>钢筋</w:t>
            </w:r>
            <w:r>
              <w:rPr>
                <w:rFonts w:hint="eastAsia" w:ascii="宋体" w:hAnsi="宋体" w:eastAsia="宋体" w:cs="宋体"/>
                <w:color w:val="000000" w:themeColor="text1"/>
                <w:sz w:val="21"/>
                <w:szCs w:val="21"/>
                <w14:textFill>
                  <w14:solidFill>
                    <w14:schemeClr w14:val="tx1"/>
                  </w14:solidFill>
                </w14:textFill>
              </w:rPr>
              <w:t>原材</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风机锚栓、高强度螺母见证取样送检。</w:t>
            </w:r>
          </w:p>
        </w:tc>
        <w:tc>
          <w:tcPr>
            <w:tcW w:w="3761" w:type="dxa"/>
            <w:vAlign w:val="center"/>
          </w:tcPr>
          <w:p>
            <w:pPr>
              <w:pStyle w:val="2"/>
              <w:numPr>
                <w:ilvl w:val="0"/>
                <w:numId w:val="0"/>
              </w:numPr>
              <w:spacing w:after="0" w:line="240" w:lineRule="auto"/>
              <w:rPr>
                <w:rFonts w:hint="eastAsia"/>
                <w:lang w:val="en-US" w:eastAsia="zh-CN"/>
              </w:rPr>
            </w:pPr>
            <w:r>
              <w:rPr>
                <w:rFonts w:hint="eastAsia"/>
                <w:lang w:val="en-US" w:eastAsia="zh-CN"/>
              </w:rPr>
              <w:t>1、集电线路1回路混凝土试块送检见证。</w:t>
            </w:r>
          </w:p>
          <w:p>
            <w:pPr>
              <w:pStyle w:val="2"/>
              <w:numPr>
                <w:ilvl w:val="0"/>
                <w:numId w:val="0"/>
              </w:numPr>
              <w:spacing w:after="0" w:line="240" w:lineRule="auto"/>
              <w:rPr>
                <w:rFonts w:hint="eastAsia"/>
                <w:lang w:val="en-US" w:eastAsia="zh-CN"/>
              </w:rPr>
            </w:pPr>
            <w:r>
              <w:rPr>
                <w:rFonts w:hint="eastAsia"/>
                <w:lang w:val="en-US" w:eastAsia="zh-CN"/>
              </w:rPr>
              <w:t>2、X1、W8、W9风机箱变抽油送检见证。</w:t>
            </w:r>
          </w:p>
          <w:p>
            <w:pPr>
              <w:pStyle w:val="2"/>
              <w:numPr>
                <w:ilvl w:val="0"/>
                <w:numId w:val="0"/>
              </w:numPr>
              <w:spacing w:after="0" w:line="240" w:lineRule="auto"/>
              <w:rPr>
                <w:rFonts w:hint="eastAsia"/>
                <w:lang w:val="en-US" w:eastAsia="zh-CN"/>
              </w:rPr>
            </w:pPr>
            <w:r>
              <w:rPr>
                <w:rFonts w:hint="eastAsia"/>
                <w:lang w:val="en-US" w:eastAsia="zh-CN"/>
              </w:rPr>
              <w:t>3、W19B风机基础回填土环刀取样见证。</w:t>
            </w:r>
          </w:p>
          <w:p>
            <w:pPr>
              <w:pStyle w:val="2"/>
              <w:numPr>
                <w:ilvl w:val="0"/>
                <w:numId w:val="0"/>
              </w:numPr>
              <w:spacing w:after="0" w:line="240" w:lineRule="auto"/>
              <w:rPr>
                <w:rFonts w:hint="default"/>
                <w:lang w:val="en-US" w:eastAsia="zh-CN"/>
              </w:rPr>
            </w:pPr>
            <w:r>
              <w:rPr>
                <w:rFonts w:hint="eastAsia"/>
                <w:lang w:val="en-US" w:eastAsia="zh-CN"/>
              </w:rPr>
              <w:t>4、X1、W8、W14、W24、W26、W27、W28、W29、W30#风机沧州天祥防雷见证。</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继续做好材料到场质量验收、见证取样、送检工作，把好材料源头质量关。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构（配）件</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进</w:t>
            </w:r>
            <w:r>
              <w:rPr>
                <w:rFonts w:hint="eastAsia" w:ascii="宋体" w:hAnsi="宋体" w:eastAsia="宋体" w:cs="宋体"/>
                <w:color w:val="000000" w:themeColor="text1"/>
                <w:sz w:val="21"/>
                <w:szCs w:val="21"/>
                <w:lang w:val="en-US" w:eastAsia="zh-CN"/>
                <w14:textFill>
                  <w14:solidFill>
                    <w14:schemeClr w14:val="tx1"/>
                  </w14:solidFill>
                </w14:textFill>
              </w:rPr>
              <w:t>场材料质量合格，符合要求。</w:t>
            </w:r>
          </w:p>
        </w:tc>
        <w:tc>
          <w:tcPr>
            <w:tcW w:w="3008"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继续严格把控进场材料、设备配件的质量问题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设备质量</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所有进场设备质量符合设计规范要求</w:t>
            </w:r>
          </w:p>
        </w:tc>
        <w:tc>
          <w:tcPr>
            <w:tcW w:w="3008"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继续做好设备进场质量把控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质量验评情况</w:t>
            </w:r>
          </w:p>
        </w:tc>
        <w:tc>
          <w:tcPr>
            <w:tcW w:w="3761"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按各施工单位验评划分进行检查、验收。</w:t>
            </w:r>
          </w:p>
        </w:tc>
        <w:tc>
          <w:tcPr>
            <w:tcW w:w="3008"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继续做好质量评定验收工作</w:t>
            </w:r>
          </w:p>
        </w:tc>
      </w:tr>
    </w:tbl>
    <w:p>
      <w:pPr>
        <w:pStyle w:val="11"/>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工程存在的问题和建议</w:t>
      </w:r>
    </w:p>
    <w:p>
      <w:pPr>
        <w:numPr>
          <w:ilvl w:val="0"/>
          <w:numId w:val="0"/>
        </w:numPr>
        <w:spacing w:line="360" w:lineRule="auto"/>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目前整个工程主要受征地协调和农民阻工造成整个工程的进度严重滞后，</w:t>
      </w:r>
      <w:r>
        <w:rPr>
          <w:rFonts w:hint="eastAsia" w:ascii="宋体" w:hAnsi="宋体" w:eastAsia="宋体" w:cs="宋体"/>
          <w:kern w:val="2"/>
          <w:sz w:val="24"/>
          <w:szCs w:val="24"/>
          <w:lang w:val="en-US" w:eastAsia="zh-CN" w:bidi="ar-SA"/>
        </w:rPr>
        <w:t>集电线1回线所属风机，位于刑郭镇X2、X7变更备选机位W7、W10，正在协调征地；项目集电线路塔位占赞皇县金隅水泥厂矿区，x9机位在水泥厂矿区安全范围之内，与金隅水泥厂沟通；储能站消防验收争取线下申请验收，出具文件。</w:t>
      </w:r>
    </w:p>
    <w:p>
      <w:pPr>
        <w:pStyle w:val="11"/>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下月监理工作重点</w:t>
      </w:r>
    </w:p>
    <w:p>
      <w:pPr>
        <w:pStyle w:val="11"/>
        <w:widowControl w:val="0"/>
        <w:numPr>
          <w:ilvl w:val="0"/>
          <w:numId w:val="0"/>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1、每周主持召开《工地例会》和《安全工地例会》一次，在例会上提出安全隐患问题，监督、督促施工单位进行整改，要求各个单位做好进度、安全、质量的各项工作。</w:t>
      </w:r>
    </w:p>
    <w:p>
      <w:pPr>
        <w:pStyle w:val="11"/>
        <w:widowControl w:val="0"/>
        <w:numPr>
          <w:ilvl w:val="0"/>
          <w:numId w:val="0"/>
        </w:numPr>
        <w:spacing w:before="156" w:beforeLines="50" w:after="156" w:afterLines="50" w:line="360" w:lineRule="auto"/>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2、配合业主单位做好并网前准备工作。要求施工单位合理安排施工进度计划，及时调整人力、物力。</w:t>
      </w:r>
    </w:p>
    <w:p>
      <w:pPr>
        <w:pStyle w:val="2"/>
        <w:spacing w:line="360" w:lineRule="auto"/>
        <w:ind w:left="0" w:leftChars="0" w:firstLine="480" w:firstLineChars="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cs="宋体"/>
          <w:color w:val="000000"/>
          <w:kern w:val="0"/>
          <w:sz w:val="24"/>
          <w:szCs w:val="24"/>
          <w:lang w:val="en-US" w:eastAsia="zh-CN" w:bidi="ar"/>
        </w:rPr>
        <w:t>3、继续</w:t>
      </w:r>
      <w:r>
        <w:rPr>
          <w:rFonts w:hint="eastAsia"/>
          <w:sz w:val="24"/>
          <w:szCs w:val="24"/>
          <w:lang w:val="en-US" w:eastAsia="zh-CN"/>
        </w:rPr>
        <w:t>督促施工单位做好安全教育与培训，做好班前交底、安全技术交底、三级教育等工作，提高安全生产意识，避免安全事故发生。</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p>
    <w:p>
      <w:pPr>
        <w:numPr>
          <w:ilvl w:val="0"/>
          <w:numId w:val="0"/>
        </w:numPr>
        <w:spacing w:line="360" w:lineRule="auto"/>
        <w:ind w:firstLine="480" w:firstLineChars="200"/>
        <w:rPr>
          <w:rFonts w:hint="eastAsia" w:ascii="宋体" w:hAnsi="宋体" w:cs="宋体"/>
          <w:color w:val="000000"/>
          <w:kern w:val="0"/>
          <w:sz w:val="24"/>
          <w:szCs w:val="24"/>
          <w:lang w:val="en-US" w:eastAsia="zh-CN" w:bidi="ar"/>
        </w:rPr>
      </w:pPr>
      <w:r>
        <w:rPr>
          <w:rFonts w:hint="eastAsia" w:ascii="宋体" w:hAnsi="宋体" w:cs="宋体" w:eastAsiaTheme="minorEastAsia"/>
          <w:color w:val="000000"/>
          <w:kern w:val="0"/>
          <w:sz w:val="24"/>
          <w:szCs w:val="24"/>
          <w:lang w:val="en-US" w:eastAsia="zh-CN" w:bidi="ar"/>
        </w:rPr>
        <w:t>4、</w:t>
      </w:r>
      <w:r>
        <w:rPr>
          <w:rFonts w:hint="eastAsia" w:ascii="宋体" w:hAnsi="宋体" w:cs="宋体"/>
          <w:color w:val="000000"/>
          <w:kern w:val="0"/>
          <w:sz w:val="24"/>
          <w:szCs w:val="24"/>
          <w:lang w:val="en-US" w:eastAsia="zh-CN" w:bidi="ar"/>
        </w:rPr>
        <w:t>督促施工单位</w:t>
      </w:r>
      <w:r>
        <w:rPr>
          <w:rFonts w:hint="eastAsia"/>
          <w:sz w:val="24"/>
          <w:szCs w:val="24"/>
          <w:lang w:val="en-US" w:eastAsia="zh-CN"/>
        </w:rPr>
        <w:t>做好竣工资料归档工作、及时补齐、补全工程过程资料。</w:t>
      </w:r>
      <w:r>
        <w:rPr>
          <w:rFonts w:hint="eastAsia" w:ascii="宋体" w:hAnsi="宋体" w:cs="宋体"/>
          <w:color w:val="000000"/>
          <w:kern w:val="0"/>
          <w:sz w:val="24"/>
          <w:szCs w:val="24"/>
          <w:lang w:val="en-US" w:eastAsia="zh-CN" w:bidi="ar"/>
        </w:rPr>
        <w:t>。</w:t>
      </w:r>
    </w:p>
    <w:p>
      <w:pPr>
        <w:pStyle w:val="2"/>
        <w:spacing w:line="360" w:lineRule="auto"/>
        <w:ind w:left="0" w:leftChars="0" w:firstLine="480" w:firstLineChars="0"/>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5、对施工现场进行安全巡查，排查隐患，杜绝安全事故的发生。</w:t>
      </w:r>
    </w:p>
    <w:p>
      <w:pPr>
        <w:pStyle w:val="2"/>
        <w:spacing w:line="360" w:lineRule="auto"/>
        <w:ind w:left="0" w:leftChars="0" w:firstLine="480" w:firstLineChars="0"/>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6、</w:t>
      </w:r>
      <w:r>
        <w:rPr>
          <w:rFonts w:hint="eastAsia"/>
          <w:sz w:val="24"/>
          <w:szCs w:val="24"/>
          <w:lang w:val="en-US" w:eastAsia="zh-CN"/>
        </w:rPr>
        <w:t>继续做好钢筋原材料的进场验收检验工作，做好风机、塔基混凝土试块、二次灌浆料试块的现场制作和送检工作，不符合要求的追查原因。</w:t>
      </w:r>
    </w:p>
    <w:p>
      <w:pPr>
        <w:pStyle w:val="2"/>
        <w:spacing w:line="360" w:lineRule="auto"/>
        <w:ind w:left="0" w:leftChars="0" w:firstLine="480" w:firstLineChars="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sz w:val="24"/>
          <w:szCs w:val="24"/>
          <w:lang w:val="en-US" w:eastAsia="zh-CN"/>
        </w:rPr>
        <w:t>5、</w:t>
      </w:r>
      <w:r>
        <w:rPr>
          <w:rFonts w:hint="eastAsia" w:ascii="宋体" w:hAnsi="宋体" w:cs="宋体"/>
          <w:color w:val="000000"/>
          <w:kern w:val="0"/>
          <w:sz w:val="24"/>
          <w:szCs w:val="24"/>
          <w:lang w:val="en-US" w:eastAsia="zh-CN" w:bidi="ar"/>
        </w:rPr>
        <w:t>继续对风机吊装全程旁站。</w:t>
      </w:r>
    </w:p>
    <w:p>
      <w:pPr>
        <w:pStyle w:val="11"/>
        <w:widowControl w:val="0"/>
        <w:numPr>
          <w:ilvl w:val="0"/>
          <w:numId w:val="1"/>
        </w:numPr>
        <w:spacing w:before="156" w:beforeLines="50" w:after="156" w:afterLines="50" w:line="240" w:lineRule="auto"/>
        <w:ind w:left="612" w:leftChars="0" w:hanging="612" w:firstLineChars="0"/>
        <w:jc w:val="left"/>
        <w:rPr>
          <w:rFonts w:hint="eastAsia"/>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现场图片</w:t>
      </w:r>
      <w:r>
        <w:rPr>
          <w:rFonts w:hint="eastAsia"/>
          <w:color w:val="000000" w:themeColor="text1"/>
          <w:sz w:val="24"/>
          <w:szCs w:val="24"/>
          <w:lang w:val="en-US" w:eastAsia="zh-CN"/>
          <w14:textFill>
            <w14:solidFill>
              <w14:schemeClr w14:val="tx1"/>
            </w14:solidFill>
          </w14:textFill>
        </w:rPr>
        <w:t xml:space="preserve">  </w:t>
      </w:r>
    </w:p>
    <w:p>
      <w:pPr>
        <w:pStyle w:val="11"/>
        <w:widowControl w:val="0"/>
        <w:numPr>
          <w:ilvl w:val="0"/>
          <w:numId w:val="0"/>
        </w:numPr>
        <w:spacing w:before="156" w:beforeLines="50" w:after="156" w:afterLines="50" w:line="240" w:lineRule="auto"/>
        <w:ind w:leftChars="0"/>
        <w:jc w:val="left"/>
        <w:rPr>
          <w:rFonts w:hint="eastAsia"/>
          <w:color w:val="000000" w:themeColor="text1"/>
          <w:sz w:val="24"/>
          <w:szCs w:val="24"/>
          <w:lang w:val="en-US" w:eastAsia="zh-CN"/>
          <w14:textFill>
            <w14:solidFill>
              <w14:schemeClr w14:val="tx1"/>
            </w14:solidFill>
          </w14:textFill>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6"/>
        <w:gridCol w:w="4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6880" cy="2233295"/>
                  <wp:effectExtent l="0" t="0" r="10160" b="6985"/>
                  <wp:docPr id="1" name="图片 1" descr="微信图片_202305021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502141009"/>
                          <pic:cNvPicPr>
                            <a:picLocks noChangeAspect="1"/>
                          </pic:cNvPicPr>
                        </pic:nvPicPr>
                        <pic:blipFill>
                          <a:blip r:embed="rId7"/>
                          <a:stretch>
                            <a:fillRect/>
                          </a:stretch>
                        </pic:blipFill>
                        <pic:spPr>
                          <a:xfrm>
                            <a:off x="0" y="0"/>
                            <a:ext cx="2976880" cy="2233295"/>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8785" cy="2233295"/>
                  <wp:effectExtent l="0" t="0" r="8255" b="6985"/>
                  <wp:docPr id="3" name="图片 3" descr="微信图片_2023050810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5081016521"/>
                          <pic:cNvPicPr>
                            <a:picLocks noChangeAspect="1"/>
                          </pic:cNvPicPr>
                        </pic:nvPicPr>
                        <pic:blipFill>
                          <a:blip r:embed="rId8"/>
                          <a:stretch>
                            <a:fillRect/>
                          </a:stretch>
                        </pic:blipFill>
                        <pic:spPr>
                          <a:xfrm>
                            <a:off x="0" y="0"/>
                            <a:ext cx="2978785" cy="22332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916"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8785" cy="2233295"/>
                  <wp:effectExtent l="0" t="0" r="8255" b="6985"/>
                  <wp:docPr id="2" name="图片 2" descr="微信图片_2023051008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510083526"/>
                          <pic:cNvPicPr>
                            <a:picLocks noChangeAspect="1"/>
                          </pic:cNvPicPr>
                        </pic:nvPicPr>
                        <pic:blipFill>
                          <a:blip r:embed="rId9"/>
                          <a:stretch>
                            <a:fillRect/>
                          </a:stretch>
                        </pic:blipFill>
                        <pic:spPr>
                          <a:xfrm>
                            <a:off x="0" y="0"/>
                            <a:ext cx="2978785" cy="2233295"/>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2065" b="8890"/>
                  <wp:docPr id="6" name="图片 6" descr="微信图片_2023051315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513155442"/>
                          <pic:cNvPicPr>
                            <a:picLocks noChangeAspect="1"/>
                          </pic:cNvPicPr>
                        </pic:nvPicPr>
                        <pic:blipFill>
                          <a:blip r:embed="rId10"/>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6880" cy="2233295"/>
                  <wp:effectExtent l="0" t="0" r="10160" b="6985"/>
                  <wp:docPr id="11" name="图片 11" descr="微信图片_2023051616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516162843"/>
                          <pic:cNvPicPr>
                            <a:picLocks noChangeAspect="1"/>
                          </pic:cNvPicPr>
                        </pic:nvPicPr>
                        <pic:blipFill>
                          <a:blip r:embed="rId11"/>
                          <a:stretch>
                            <a:fillRect/>
                          </a:stretch>
                        </pic:blipFill>
                        <pic:spPr>
                          <a:xfrm>
                            <a:off x="0" y="0"/>
                            <a:ext cx="2976880" cy="2233295"/>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2065" b="8890"/>
                  <wp:docPr id="7" name="图片 7" descr="微信图片_2023051414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514141052"/>
                          <pic:cNvPicPr>
                            <a:picLocks noChangeAspect="1"/>
                          </pic:cNvPicPr>
                        </pic:nvPicPr>
                        <pic:blipFill>
                          <a:blip r:embed="rId12"/>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64815" cy="2223770"/>
                  <wp:effectExtent l="0" t="0" r="6985" b="1270"/>
                  <wp:docPr id="8" name="图片 8" descr="微信图片_2023051808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518085950"/>
                          <pic:cNvPicPr>
                            <a:picLocks noChangeAspect="1"/>
                          </pic:cNvPicPr>
                        </pic:nvPicPr>
                        <pic:blipFill>
                          <a:blip r:embed="rId13"/>
                          <a:stretch>
                            <a:fillRect/>
                          </a:stretch>
                        </pic:blipFill>
                        <pic:spPr>
                          <a:xfrm>
                            <a:off x="0" y="0"/>
                            <a:ext cx="2964815" cy="2223770"/>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84500" cy="2238375"/>
                  <wp:effectExtent l="0" t="0" r="2540" b="1905"/>
                  <wp:docPr id="10" name="图片 10" descr="微信图片_2023051809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518092951"/>
                          <pic:cNvPicPr>
                            <a:picLocks noChangeAspect="1"/>
                          </pic:cNvPicPr>
                        </pic:nvPicPr>
                        <pic:blipFill>
                          <a:blip r:embed="rId14"/>
                          <a:stretch>
                            <a:fillRect/>
                          </a:stretch>
                        </pic:blipFill>
                        <pic:spPr>
                          <a:xfrm>
                            <a:off x="0" y="0"/>
                            <a:ext cx="2984500" cy="2238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4500" cy="2317115"/>
                  <wp:effectExtent l="0" t="0" r="0" b="0"/>
                  <wp:docPr id="5" name="图片 5" descr="微信图片_2023052010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520101811"/>
                          <pic:cNvPicPr>
                            <a:picLocks noChangeAspect="1"/>
                          </pic:cNvPicPr>
                        </pic:nvPicPr>
                        <pic:blipFill>
                          <a:blip r:embed="rId15"/>
                          <a:srcRect t="41774"/>
                          <a:stretch>
                            <a:fillRect/>
                          </a:stretch>
                        </pic:blipFill>
                        <pic:spPr>
                          <a:xfrm>
                            <a:off x="0" y="0"/>
                            <a:ext cx="2984500" cy="2317115"/>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1550"/>
                  <wp:effectExtent l="0" t="0" r="12065" b="13970"/>
                  <wp:docPr id="12" name="图片 12" descr="微信图片_2023052214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522140542"/>
                          <pic:cNvPicPr>
                            <a:picLocks noChangeAspect="1"/>
                          </pic:cNvPicPr>
                        </pic:nvPicPr>
                        <pic:blipFill>
                          <a:blip r:embed="rId16"/>
                          <a:stretch>
                            <a:fillRect/>
                          </a:stretch>
                        </pic:blipFill>
                        <pic:spPr>
                          <a:xfrm>
                            <a:off x="0" y="0"/>
                            <a:ext cx="2990215" cy="2241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6880" cy="2522855"/>
                  <wp:effectExtent l="0" t="0" r="10160" b="6985"/>
                  <wp:docPr id="13" name="图片 13" descr="微信图片_2023052314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523142631"/>
                          <pic:cNvPicPr>
                            <a:picLocks noChangeAspect="1"/>
                          </pic:cNvPicPr>
                        </pic:nvPicPr>
                        <pic:blipFill>
                          <a:blip r:embed="rId17"/>
                          <a:stretch>
                            <a:fillRect/>
                          </a:stretch>
                        </pic:blipFill>
                        <pic:spPr>
                          <a:xfrm>
                            <a:off x="0" y="0"/>
                            <a:ext cx="2976880" cy="2522855"/>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84500" cy="2520315"/>
                  <wp:effectExtent l="0" t="0" r="0" b="0"/>
                  <wp:docPr id="14" name="图片 14" descr="微信图片_2023052314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523142734"/>
                          <pic:cNvPicPr>
                            <a:picLocks noChangeAspect="1"/>
                          </pic:cNvPicPr>
                        </pic:nvPicPr>
                        <pic:blipFill>
                          <a:blip r:embed="rId18"/>
                          <a:srcRect t="30477" b="6191"/>
                          <a:stretch>
                            <a:fillRect/>
                          </a:stretch>
                        </pic:blipFill>
                        <pic:spPr>
                          <a:xfrm>
                            <a:off x="0" y="0"/>
                            <a:ext cx="2984500" cy="2520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trPr>
        <w:tc>
          <w:tcPr>
            <w:tcW w:w="4916" w:type="dxa"/>
          </w:tcPr>
          <w:p>
            <w:pPr>
              <w:pStyle w:val="11"/>
              <w:widowControl w:val="0"/>
              <w:numPr>
                <w:ilvl w:val="0"/>
                <w:numId w:val="0"/>
              </w:numPr>
              <w:spacing w:before="156" w:beforeLines="50" w:after="156" w:afterLines="50" w:line="240" w:lineRule="auto"/>
              <w:jc w:val="left"/>
              <w:rPr>
                <w:rFonts w:hint="default"/>
                <w:b w:val="0"/>
                <w:bCs w:val="0"/>
                <w:color w:val="000000" w:themeColor="text1"/>
                <w:sz w:val="24"/>
                <w:szCs w:val="24"/>
                <w:vertAlign w:val="baseline"/>
                <w:lang w:val="en-US" w:eastAsia="zh-CN"/>
                <w14:textFill>
                  <w14:solidFill>
                    <w14:schemeClr w14:val="tx1"/>
                  </w14:solidFill>
                </w14:textFill>
              </w:rPr>
            </w:pPr>
            <w:r>
              <w:rPr>
                <w:rFonts w:hint="default"/>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4975" cy="2231390"/>
                  <wp:effectExtent l="0" t="0" r="12065" b="8890"/>
                  <wp:docPr id="15" name="图片 15" descr="微信图片_2023052315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523153607"/>
                          <pic:cNvPicPr>
                            <a:picLocks noChangeAspect="1"/>
                          </pic:cNvPicPr>
                        </pic:nvPicPr>
                        <pic:blipFill>
                          <a:blip r:embed="rId19"/>
                          <a:stretch>
                            <a:fillRect/>
                          </a:stretch>
                        </pic:blipFill>
                        <pic:spPr>
                          <a:xfrm>
                            <a:off x="0" y="0"/>
                            <a:ext cx="2974975" cy="2231390"/>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2065" b="8890"/>
                  <wp:docPr id="16" name="图片 16" descr="微信图片_2023052415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524150426"/>
                          <pic:cNvPicPr>
                            <a:picLocks noChangeAspect="1"/>
                          </pic:cNvPicPr>
                        </pic:nvPicPr>
                        <pic:blipFill>
                          <a:blip r:embed="rId20"/>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default"/>
                <w:b w:val="0"/>
                <w:bCs w:val="0"/>
                <w:color w:val="000000" w:themeColor="text1"/>
                <w:sz w:val="24"/>
                <w:szCs w:val="24"/>
                <w:vertAlign w:val="baseline"/>
                <w:lang w:val="en-US" w:eastAsia="zh-CN"/>
                <w14:textFill>
                  <w14:solidFill>
                    <w14:schemeClr w14:val="tx1"/>
                  </w14:solidFill>
                </w14:textFill>
              </w:rPr>
            </w:pPr>
            <w:r>
              <w:rPr>
                <w:rFonts w:hint="default"/>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8785" cy="2233295"/>
                  <wp:effectExtent l="0" t="0" r="8255" b="6985"/>
                  <wp:docPr id="19" name="图片 19" descr="微信图片_2023053015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0530155056"/>
                          <pic:cNvPicPr>
                            <a:picLocks noChangeAspect="1"/>
                          </pic:cNvPicPr>
                        </pic:nvPicPr>
                        <pic:blipFill>
                          <a:blip r:embed="rId21"/>
                          <a:stretch>
                            <a:fillRect/>
                          </a:stretch>
                        </pic:blipFill>
                        <pic:spPr>
                          <a:xfrm>
                            <a:off x="0" y="0"/>
                            <a:ext cx="2978785" cy="2233295"/>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default"/>
                <w:b w:val="0"/>
                <w:bCs w:val="0"/>
                <w:color w:val="000000" w:themeColor="text1"/>
                <w:sz w:val="24"/>
                <w:szCs w:val="24"/>
                <w:vertAlign w:val="baseline"/>
                <w:lang w:val="en-US" w:eastAsia="zh-CN"/>
                <w14:textFill>
                  <w14:solidFill>
                    <w14:schemeClr w14:val="tx1"/>
                  </w14:solidFill>
                </w14:textFill>
              </w:rPr>
            </w:pPr>
            <w:r>
              <w:rPr>
                <w:rFonts w:hint="default"/>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91485" cy="2243455"/>
                  <wp:effectExtent l="0" t="0" r="10795" b="12065"/>
                  <wp:docPr id="18" name="图片 18" descr="微信图片_2023053108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531081257"/>
                          <pic:cNvPicPr>
                            <a:picLocks noChangeAspect="1"/>
                          </pic:cNvPicPr>
                        </pic:nvPicPr>
                        <pic:blipFill>
                          <a:blip r:embed="rId22"/>
                          <a:stretch>
                            <a:fillRect/>
                          </a:stretch>
                        </pic:blipFill>
                        <pic:spPr>
                          <a:xfrm>
                            <a:off x="0" y="0"/>
                            <a:ext cx="2991485" cy="2243455"/>
                          </a:xfrm>
                          <a:prstGeom prst="rect">
                            <a:avLst/>
                          </a:prstGeom>
                        </pic:spPr>
                      </pic:pic>
                    </a:graphicData>
                  </a:graphic>
                </wp:inline>
              </w:drawing>
            </w:r>
          </w:p>
        </w:tc>
      </w:tr>
    </w:tbl>
    <w:p>
      <w:pPr>
        <w:pStyle w:val="11"/>
        <w:widowControl w:val="0"/>
        <w:numPr>
          <w:ilvl w:val="0"/>
          <w:numId w:val="0"/>
        </w:numPr>
        <w:spacing w:before="156" w:beforeLines="50" w:after="156" w:afterLines="50" w:line="240" w:lineRule="auto"/>
        <w:ind w:leftChars="0"/>
        <w:jc w:val="left"/>
        <w:rPr>
          <w:rFonts w:hint="eastAsia" w:eastAsiaTheme="minorEastAsia"/>
          <w:b w:val="0"/>
          <w:bCs w:val="0"/>
          <w:color w:val="000000" w:themeColor="text1"/>
          <w:sz w:val="24"/>
          <w:szCs w:val="24"/>
          <w:lang w:eastAsia="zh-CN"/>
          <w14:textFill>
            <w14:solidFill>
              <w14:schemeClr w14:val="tx1"/>
            </w14:solidFill>
          </w14:textFill>
        </w:rPr>
      </w:pPr>
    </w:p>
    <w:p>
      <w:pPr>
        <w:pStyle w:val="4"/>
        <w:spacing w:before="156" w:after="120"/>
        <w:ind w:firstLine="2400" w:firstLineChars="1000"/>
        <w:jc w:val="both"/>
        <w:rPr>
          <w:rFonts w:hint="eastAsia" w:ascii="宋体" w:hAnsi="宋体" w:eastAsia="宋体" w:cs="宋体"/>
          <w:b w:val="0"/>
          <w:bCs w:val="0"/>
          <w:i w:val="0"/>
          <w:iCs w:val="0"/>
          <w:sz w:val="24"/>
          <w:szCs w:val="24"/>
          <w:u w:val="none"/>
          <w:lang w:val="en-US" w:eastAsia="zh-CN"/>
        </w:rPr>
      </w:pPr>
    </w:p>
    <w:p>
      <w:pPr>
        <w:pStyle w:val="4"/>
        <w:spacing w:before="156" w:after="120"/>
        <w:jc w:val="both"/>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w:t>
      </w:r>
    </w:p>
    <w:p>
      <w:pPr>
        <w:pStyle w:val="4"/>
        <w:spacing w:before="156" w:after="120"/>
        <w:jc w:val="center"/>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常州正衡电力工程监理有限公司</w:t>
      </w:r>
    </w:p>
    <w:p>
      <w:pPr>
        <w:pStyle w:val="4"/>
        <w:spacing w:before="156" w:after="120"/>
        <w:jc w:val="center"/>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赞皇40万千瓦一期20万千瓦风电项目 </w:t>
      </w:r>
    </w:p>
    <w:p>
      <w:pPr>
        <w:pStyle w:val="4"/>
        <w:spacing w:before="156" w:after="120"/>
        <w:jc w:val="center"/>
        <w:rPr>
          <w:b w:val="0"/>
          <w:bCs w:val="0"/>
          <w:sz w:val="24"/>
          <w:szCs w:val="24"/>
          <w:lang w:val="en-US"/>
        </w:rPr>
      </w:pPr>
      <w:r>
        <w:rPr>
          <w:rFonts w:hint="eastAsia" w:ascii="宋体" w:hAnsi="宋体" w:eastAsia="宋体" w:cs="宋体"/>
          <w:b w:val="0"/>
          <w:bCs w:val="0"/>
          <w:i w:val="0"/>
          <w:iCs w:val="0"/>
          <w:sz w:val="24"/>
          <w:szCs w:val="24"/>
          <w:u w:val="none"/>
          <w:lang w:val="en-US" w:eastAsia="zh-CN"/>
        </w:rPr>
        <w:t xml:space="preserve">                                   （本期10万千瓦）</w:t>
      </w:r>
    </w:p>
    <w:p>
      <w:pPr>
        <w:spacing w:before="312" w:beforeLines="100" w:after="468" w:afterLines="150" w:line="240" w:lineRule="auto"/>
        <w:jc w:val="center"/>
        <w:rPr>
          <w:rFonts w:hint="eastAsia" w:asciiTheme="minorEastAsia" w:hAnsiTheme="minorEastAsia" w:cstheme="minorEastAsia"/>
          <w:b w:val="0"/>
          <w:bCs w:val="0"/>
          <w:i w:val="0"/>
          <w:iCs w:val="0"/>
          <w:sz w:val="24"/>
          <w:szCs w:val="24"/>
          <w:u w:val="none"/>
          <w:lang w:val="en-US" w:eastAsia="zh-CN"/>
        </w:rPr>
      </w:pPr>
      <w:r>
        <w:rPr>
          <w:rFonts w:hint="eastAsia" w:asciiTheme="minorEastAsia" w:hAnsiTheme="minorEastAsia" w:cstheme="minorEastAsia"/>
          <w:b w:val="0"/>
          <w:bCs w:val="0"/>
          <w:i w:val="0"/>
          <w:iCs w:val="0"/>
          <w:sz w:val="24"/>
          <w:szCs w:val="24"/>
          <w:u w:val="none"/>
          <w:lang w:val="en-US" w:eastAsia="zh-CN"/>
        </w:rPr>
        <w:t xml:space="preserve">                                  监</w:t>
      </w:r>
      <w:r>
        <w:rPr>
          <w:rFonts w:hint="eastAsia" w:asciiTheme="minorEastAsia" w:hAnsiTheme="minorEastAsia" w:eastAsiaTheme="minorEastAsia" w:cstheme="minorEastAsia"/>
          <w:b w:val="0"/>
          <w:bCs w:val="0"/>
          <w:i w:val="0"/>
          <w:iCs w:val="0"/>
          <w:sz w:val="24"/>
          <w:szCs w:val="24"/>
          <w:u w:val="none"/>
          <w:lang w:val="en-US" w:eastAsia="zh-CN"/>
        </w:rPr>
        <w:t>理部</w:t>
      </w:r>
      <w:r>
        <w:rPr>
          <w:rFonts w:hint="eastAsia" w:asciiTheme="minorEastAsia" w:hAnsiTheme="minorEastAsia" w:cstheme="minorEastAsia"/>
          <w:b w:val="0"/>
          <w:bCs w:val="0"/>
          <w:i w:val="0"/>
          <w:iCs w:val="0"/>
          <w:sz w:val="24"/>
          <w:szCs w:val="24"/>
          <w:u w:val="none"/>
          <w:lang w:val="en-US" w:eastAsia="zh-CN"/>
        </w:rPr>
        <w:t xml:space="preserve">  </w:t>
      </w:r>
    </w:p>
    <w:p>
      <w:pPr>
        <w:spacing w:before="312" w:beforeLines="100" w:after="468" w:afterLines="150" w:line="240" w:lineRule="auto"/>
        <w:jc w:val="center"/>
        <w:rPr>
          <w:rFonts w:hint="eastAsia" w:ascii="宋体" w:hAnsi="宋体" w:eastAsia="宋体" w:cs="宋体"/>
          <w:b w:val="0"/>
          <w:bCs w:val="0"/>
          <w:i w:val="0"/>
          <w:iCs w:val="0"/>
          <w:sz w:val="24"/>
          <w:szCs w:val="24"/>
          <w:u w:val="none"/>
          <w:lang w:val="en-US" w:eastAsia="zh-CN"/>
        </w:rPr>
      </w:pPr>
      <w:r>
        <w:rPr>
          <w:rFonts w:hint="eastAsia" w:asciiTheme="minorEastAsia" w:hAnsiTheme="minorEastAsia" w:cstheme="minorEastAsia"/>
          <w:b w:val="0"/>
          <w:bCs w:val="0"/>
          <w:i w:val="0"/>
          <w:iCs w:val="0"/>
          <w:sz w:val="24"/>
          <w:szCs w:val="24"/>
          <w:u w:val="none"/>
          <w:lang w:val="en-US" w:eastAsia="zh-CN"/>
        </w:rPr>
        <w:t xml:space="preserve">                                   </w:t>
      </w:r>
      <w:r>
        <w:rPr>
          <w:rFonts w:hint="eastAsia" w:ascii="宋体" w:hAnsi="宋体" w:eastAsia="宋体" w:cs="宋体"/>
          <w:b w:val="0"/>
          <w:bCs w:val="0"/>
          <w:i w:val="0"/>
          <w:iCs w:val="0"/>
          <w:kern w:val="0"/>
          <w:sz w:val="24"/>
          <w:szCs w:val="24"/>
          <w:u w:val="none"/>
          <w:lang w:val="en-US" w:eastAsia="zh-CN" w:bidi="ar-SA"/>
        </w:rPr>
        <w:t xml:space="preserve"> 2023年05月31日</w:t>
      </w:r>
    </w:p>
    <w:sectPr>
      <w:headerReference r:id="rId4" w:type="first"/>
      <w:headerReference r:id="rId3" w:type="default"/>
      <w:footerReference r:id="rId5" w:type="default"/>
      <w:pgSz w:w="11906" w:h="16838"/>
      <w:pgMar w:top="1134" w:right="850" w:bottom="1134"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0521851"/>
    </w:sdtPr>
    <w:sdtContent>
      <w:p>
        <w:pPr>
          <w:pStyle w:val="6"/>
          <w:jc w:val="center"/>
        </w:pPr>
        <w:r>
          <w:fldChar w:fldCharType="begin"/>
        </w:r>
        <w:r>
          <w:instrText xml:space="preserve">PAGE   \* MERGEFORMAT</w:instrText>
        </w:r>
        <w:r>
          <w:fldChar w:fldCharType="separate"/>
        </w:r>
        <w:r>
          <w:rPr>
            <w:lang w:val="zh-CN"/>
          </w:rPr>
          <w:t>4</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1680" w:firstLineChars="800"/>
      <w:jc w:val="both"/>
      <w:rPr>
        <w:rFonts w:hint="default"/>
        <w:lang w:val="en-US"/>
      </w:rPr>
    </w:pPr>
    <w:r>
      <w:rPr>
        <w:rFonts w:hint="eastAsia" w:ascii="微软雅黑" w:hAnsi="微软雅黑" w:eastAsia="微软雅黑" w:cs="微软雅黑"/>
        <w:b w:val="0"/>
        <w:bCs w:val="0"/>
        <w:i w:val="0"/>
        <w:iCs w:val="0"/>
        <w:sz w:val="21"/>
        <w:szCs w:val="21"/>
        <w:u w:val="non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default"/>
        <w:lang w:val="en-US"/>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ascii="微软雅黑" w:hAnsi="微软雅黑" w:eastAsia="微软雅黑" w:cs="微软雅黑"/>
        <w:b/>
        <w:bCs/>
        <w:sz w:val="21"/>
        <w:szCs w:val="21"/>
        <w:lang w:eastAsia="zh-CN"/>
      </w:rPr>
      <w:drawing>
        <wp:anchor distT="0" distB="0" distL="114300" distR="114300" simplePos="0" relativeHeight="251659264" behindDoc="1" locked="0" layoutInCell="1" allowOverlap="1">
          <wp:simplePos x="0" y="0"/>
          <wp:positionH relativeFrom="column">
            <wp:posOffset>-307975</wp:posOffset>
          </wp:positionH>
          <wp:positionV relativeFrom="paragraph">
            <wp:posOffset>-298450</wp:posOffset>
          </wp:positionV>
          <wp:extent cx="537845" cy="509905"/>
          <wp:effectExtent l="0" t="0" r="14605" b="4445"/>
          <wp:wrapNone/>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
                  <pic:cNvPicPr>
                    <a:picLocks noChangeAspect="1"/>
                  </pic:cNvPicPr>
                </pic:nvPicPr>
                <pic:blipFill>
                  <a:blip r:embed="rId1"/>
                  <a:stretch>
                    <a:fillRect/>
                  </a:stretch>
                </pic:blipFill>
                <pic:spPr>
                  <a:xfrm>
                    <a:off x="0" y="0"/>
                    <a:ext cx="537845" cy="509905"/>
                  </a:xfrm>
                  <a:prstGeom prst="rect">
                    <a:avLst/>
                  </a:prstGeom>
                  <a:noFill/>
                  <a:ln>
                    <a:noFill/>
                  </a:ln>
                </pic:spPr>
              </pic:pic>
            </a:graphicData>
          </a:graphic>
        </wp:anchor>
      </w:drawing>
    </w:r>
    <w:r>
      <w:rPr>
        <w:rFonts w:hint="eastAsia" w:ascii="微软雅黑" w:hAnsi="微软雅黑" w:eastAsia="微软雅黑" w:cs="微软雅黑"/>
        <w:b w:val="0"/>
        <w:bCs w:val="0"/>
        <w:i w:val="0"/>
        <w:iCs w:val="0"/>
        <w:sz w:val="21"/>
        <w:szCs w:val="21"/>
        <w:u w:val="none"/>
        <w:lang w:val="en-US" w:eastAsia="zh-CN"/>
      </w:rPr>
      <w:t>:监理月报第4期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D21C7B"/>
    <w:multiLevelType w:val="singleLevel"/>
    <w:tmpl w:val="E1D21C7B"/>
    <w:lvl w:ilvl="0" w:tentative="0">
      <w:start w:val="1"/>
      <w:numFmt w:val="decimal"/>
      <w:suff w:val="nothing"/>
      <w:lvlText w:val="%1、"/>
      <w:lvlJc w:val="left"/>
    </w:lvl>
  </w:abstractNum>
  <w:abstractNum w:abstractNumId="1">
    <w:nsid w:val="25E74782"/>
    <w:multiLevelType w:val="multilevel"/>
    <w:tmpl w:val="25E74782"/>
    <w:lvl w:ilvl="0" w:tentative="0">
      <w:start w:val="1"/>
      <w:numFmt w:val="japaneseCounting"/>
      <w:lvlText w:val="%1、"/>
      <w:lvlJc w:val="left"/>
      <w:pPr>
        <w:ind w:left="462" w:hanging="360"/>
      </w:pPr>
      <w:rPr>
        <w:rFonts w:hint="default"/>
      </w:rPr>
    </w:lvl>
    <w:lvl w:ilvl="1" w:tentative="0">
      <w:start w:val="1"/>
      <w:numFmt w:val="lowerLetter"/>
      <w:lvlText w:val="%2)"/>
      <w:lvlJc w:val="left"/>
      <w:pPr>
        <w:ind w:left="942" w:hanging="420"/>
      </w:pPr>
    </w:lvl>
    <w:lvl w:ilvl="2" w:tentative="0">
      <w:start w:val="1"/>
      <w:numFmt w:val="lowerRoman"/>
      <w:lvlText w:val="%3."/>
      <w:lvlJc w:val="right"/>
      <w:pPr>
        <w:ind w:left="1362" w:hanging="420"/>
      </w:pPr>
    </w:lvl>
    <w:lvl w:ilvl="3" w:tentative="0">
      <w:start w:val="1"/>
      <w:numFmt w:val="decimal"/>
      <w:lvlText w:val="%4."/>
      <w:lvlJc w:val="left"/>
      <w:pPr>
        <w:ind w:left="1782" w:hanging="420"/>
      </w:pPr>
    </w:lvl>
    <w:lvl w:ilvl="4" w:tentative="0">
      <w:start w:val="1"/>
      <w:numFmt w:val="lowerLetter"/>
      <w:lvlText w:val="%5)"/>
      <w:lvlJc w:val="left"/>
      <w:pPr>
        <w:ind w:left="2202" w:hanging="420"/>
      </w:pPr>
    </w:lvl>
    <w:lvl w:ilvl="5" w:tentative="0">
      <w:start w:val="1"/>
      <w:numFmt w:val="lowerRoman"/>
      <w:lvlText w:val="%6."/>
      <w:lvlJc w:val="right"/>
      <w:pPr>
        <w:ind w:left="2622" w:hanging="420"/>
      </w:pPr>
    </w:lvl>
    <w:lvl w:ilvl="6" w:tentative="0">
      <w:start w:val="1"/>
      <w:numFmt w:val="decimal"/>
      <w:lvlText w:val="%7."/>
      <w:lvlJc w:val="left"/>
      <w:pPr>
        <w:ind w:left="3042" w:hanging="420"/>
      </w:pPr>
    </w:lvl>
    <w:lvl w:ilvl="7" w:tentative="0">
      <w:start w:val="1"/>
      <w:numFmt w:val="lowerLetter"/>
      <w:lvlText w:val="%8)"/>
      <w:lvlJc w:val="left"/>
      <w:pPr>
        <w:ind w:left="3462" w:hanging="420"/>
      </w:pPr>
    </w:lvl>
    <w:lvl w:ilvl="8" w:tentative="0">
      <w:start w:val="1"/>
      <w:numFmt w:val="lowerRoman"/>
      <w:lvlText w:val="%9."/>
      <w:lvlJc w:val="right"/>
      <w:pPr>
        <w:ind w:left="388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NjQxYmZmN2ZkODIxYWNiNTEzMzQyMTZmNzQ1MmMifQ=="/>
  </w:docVars>
  <w:rsids>
    <w:rsidRoot w:val="36AF38ED"/>
    <w:rsid w:val="00306AD1"/>
    <w:rsid w:val="0052326A"/>
    <w:rsid w:val="00663AD7"/>
    <w:rsid w:val="0069744B"/>
    <w:rsid w:val="006E4D5B"/>
    <w:rsid w:val="0098364E"/>
    <w:rsid w:val="00AF1302"/>
    <w:rsid w:val="00B32474"/>
    <w:rsid w:val="00D216AD"/>
    <w:rsid w:val="00FF56BA"/>
    <w:rsid w:val="01020D75"/>
    <w:rsid w:val="016C747F"/>
    <w:rsid w:val="01730582"/>
    <w:rsid w:val="019B3634"/>
    <w:rsid w:val="01E52B01"/>
    <w:rsid w:val="01FF1E15"/>
    <w:rsid w:val="02247EF7"/>
    <w:rsid w:val="022A6766"/>
    <w:rsid w:val="02552C62"/>
    <w:rsid w:val="025723F2"/>
    <w:rsid w:val="025E2C93"/>
    <w:rsid w:val="02695C9A"/>
    <w:rsid w:val="026B0005"/>
    <w:rsid w:val="02836333"/>
    <w:rsid w:val="02882A52"/>
    <w:rsid w:val="02902A6D"/>
    <w:rsid w:val="02A12ECC"/>
    <w:rsid w:val="02B80216"/>
    <w:rsid w:val="02D06A9A"/>
    <w:rsid w:val="02D62082"/>
    <w:rsid w:val="02DE2EF8"/>
    <w:rsid w:val="02F02387"/>
    <w:rsid w:val="030036C1"/>
    <w:rsid w:val="03015719"/>
    <w:rsid w:val="031313C0"/>
    <w:rsid w:val="033B6E7D"/>
    <w:rsid w:val="036A06B8"/>
    <w:rsid w:val="037F55BF"/>
    <w:rsid w:val="03D33559"/>
    <w:rsid w:val="04133956"/>
    <w:rsid w:val="04720BA6"/>
    <w:rsid w:val="04965BFE"/>
    <w:rsid w:val="04E23328"/>
    <w:rsid w:val="051A51B8"/>
    <w:rsid w:val="05243B86"/>
    <w:rsid w:val="052863CD"/>
    <w:rsid w:val="0576663C"/>
    <w:rsid w:val="057C2F04"/>
    <w:rsid w:val="058D7738"/>
    <w:rsid w:val="05931715"/>
    <w:rsid w:val="05ED01D7"/>
    <w:rsid w:val="05FE60AA"/>
    <w:rsid w:val="06141C07"/>
    <w:rsid w:val="062C6BB2"/>
    <w:rsid w:val="064222D0"/>
    <w:rsid w:val="064A2E72"/>
    <w:rsid w:val="067F52D3"/>
    <w:rsid w:val="06816491"/>
    <w:rsid w:val="06AE7966"/>
    <w:rsid w:val="06DA4BFF"/>
    <w:rsid w:val="06DD649D"/>
    <w:rsid w:val="0701218C"/>
    <w:rsid w:val="071A324D"/>
    <w:rsid w:val="075C6001"/>
    <w:rsid w:val="07B06E16"/>
    <w:rsid w:val="07C07841"/>
    <w:rsid w:val="07D9667B"/>
    <w:rsid w:val="07E07405"/>
    <w:rsid w:val="07E7401E"/>
    <w:rsid w:val="07EB78C9"/>
    <w:rsid w:val="07FC62E8"/>
    <w:rsid w:val="080C528C"/>
    <w:rsid w:val="08732325"/>
    <w:rsid w:val="08905D34"/>
    <w:rsid w:val="0895702F"/>
    <w:rsid w:val="08CE0793"/>
    <w:rsid w:val="08F471AC"/>
    <w:rsid w:val="091C1203"/>
    <w:rsid w:val="0946032A"/>
    <w:rsid w:val="095E1B17"/>
    <w:rsid w:val="09867761"/>
    <w:rsid w:val="099F7477"/>
    <w:rsid w:val="09D14E6D"/>
    <w:rsid w:val="09EA33AB"/>
    <w:rsid w:val="0A6D7B38"/>
    <w:rsid w:val="0A73514E"/>
    <w:rsid w:val="0A8729A8"/>
    <w:rsid w:val="0AA134E8"/>
    <w:rsid w:val="0AB66912"/>
    <w:rsid w:val="0AE52E7C"/>
    <w:rsid w:val="0AFD314B"/>
    <w:rsid w:val="0B084AB6"/>
    <w:rsid w:val="0B2C62A5"/>
    <w:rsid w:val="0B354AFA"/>
    <w:rsid w:val="0B566410"/>
    <w:rsid w:val="0B7D7288"/>
    <w:rsid w:val="0B8769D7"/>
    <w:rsid w:val="0B8B2C05"/>
    <w:rsid w:val="0BC1638D"/>
    <w:rsid w:val="0BD45CD3"/>
    <w:rsid w:val="0BF227B4"/>
    <w:rsid w:val="0C01678A"/>
    <w:rsid w:val="0C033ED9"/>
    <w:rsid w:val="0C085D6A"/>
    <w:rsid w:val="0C48085D"/>
    <w:rsid w:val="0C751C8D"/>
    <w:rsid w:val="0C766FDF"/>
    <w:rsid w:val="0CFA725E"/>
    <w:rsid w:val="0D0711B7"/>
    <w:rsid w:val="0D122029"/>
    <w:rsid w:val="0D1F1C05"/>
    <w:rsid w:val="0D215336"/>
    <w:rsid w:val="0D2E1801"/>
    <w:rsid w:val="0D3861DB"/>
    <w:rsid w:val="0D3E799F"/>
    <w:rsid w:val="0D6F11C3"/>
    <w:rsid w:val="0D887163"/>
    <w:rsid w:val="0DA77262"/>
    <w:rsid w:val="0DB6235B"/>
    <w:rsid w:val="0DF63A66"/>
    <w:rsid w:val="0E0B1B42"/>
    <w:rsid w:val="0E213D89"/>
    <w:rsid w:val="0E291608"/>
    <w:rsid w:val="0EB949B3"/>
    <w:rsid w:val="0EC20452"/>
    <w:rsid w:val="0EDC32B1"/>
    <w:rsid w:val="0EDF08FE"/>
    <w:rsid w:val="0F28279D"/>
    <w:rsid w:val="0F3F5F47"/>
    <w:rsid w:val="0F73799F"/>
    <w:rsid w:val="0F941192"/>
    <w:rsid w:val="0FB7665A"/>
    <w:rsid w:val="0FDC3796"/>
    <w:rsid w:val="102E33A5"/>
    <w:rsid w:val="10853E2D"/>
    <w:rsid w:val="109B7849"/>
    <w:rsid w:val="10C10131"/>
    <w:rsid w:val="10D91A83"/>
    <w:rsid w:val="10E73DEE"/>
    <w:rsid w:val="115151E1"/>
    <w:rsid w:val="119360D6"/>
    <w:rsid w:val="11CD24E6"/>
    <w:rsid w:val="11F357BB"/>
    <w:rsid w:val="11FC42A3"/>
    <w:rsid w:val="12044136"/>
    <w:rsid w:val="124E52F3"/>
    <w:rsid w:val="12872F67"/>
    <w:rsid w:val="12F03CA5"/>
    <w:rsid w:val="12FC6540"/>
    <w:rsid w:val="12FE3CFE"/>
    <w:rsid w:val="130628D8"/>
    <w:rsid w:val="132711CC"/>
    <w:rsid w:val="1367781A"/>
    <w:rsid w:val="13961EAE"/>
    <w:rsid w:val="13CC58CF"/>
    <w:rsid w:val="13CD37F5"/>
    <w:rsid w:val="140848AB"/>
    <w:rsid w:val="141B4894"/>
    <w:rsid w:val="146D70B2"/>
    <w:rsid w:val="14757D15"/>
    <w:rsid w:val="148461AA"/>
    <w:rsid w:val="14885C9A"/>
    <w:rsid w:val="14C7411D"/>
    <w:rsid w:val="14CC226A"/>
    <w:rsid w:val="14F0383F"/>
    <w:rsid w:val="154F4A0A"/>
    <w:rsid w:val="155D514E"/>
    <w:rsid w:val="15687D27"/>
    <w:rsid w:val="15855762"/>
    <w:rsid w:val="159E329B"/>
    <w:rsid w:val="15E92769"/>
    <w:rsid w:val="160F74CE"/>
    <w:rsid w:val="16175528"/>
    <w:rsid w:val="162429C5"/>
    <w:rsid w:val="164200CB"/>
    <w:rsid w:val="1651030E"/>
    <w:rsid w:val="1662251B"/>
    <w:rsid w:val="16624276"/>
    <w:rsid w:val="16663DB9"/>
    <w:rsid w:val="16704C38"/>
    <w:rsid w:val="167C182F"/>
    <w:rsid w:val="16942018"/>
    <w:rsid w:val="169C15C9"/>
    <w:rsid w:val="16CB00C0"/>
    <w:rsid w:val="16D049AE"/>
    <w:rsid w:val="17307207"/>
    <w:rsid w:val="17465999"/>
    <w:rsid w:val="174B3B8F"/>
    <w:rsid w:val="17526DB0"/>
    <w:rsid w:val="176F19F9"/>
    <w:rsid w:val="17D702B7"/>
    <w:rsid w:val="180C6BE2"/>
    <w:rsid w:val="181B1C83"/>
    <w:rsid w:val="18320F27"/>
    <w:rsid w:val="183B1275"/>
    <w:rsid w:val="187C7944"/>
    <w:rsid w:val="18A320A2"/>
    <w:rsid w:val="18EA351F"/>
    <w:rsid w:val="18F338FE"/>
    <w:rsid w:val="19C37774"/>
    <w:rsid w:val="19F621BB"/>
    <w:rsid w:val="1A454B7F"/>
    <w:rsid w:val="1A974E89"/>
    <w:rsid w:val="1AD91E13"/>
    <w:rsid w:val="1AED60D5"/>
    <w:rsid w:val="1B0B13D3"/>
    <w:rsid w:val="1B324BB2"/>
    <w:rsid w:val="1B334486"/>
    <w:rsid w:val="1B3939DF"/>
    <w:rsid w:val="1B3F161E"/>
    <w:rsid w:val="1B430AA0"/>
    <w:rsid w:val="1B953FEF"/>
    <w:rsid w:val="1BC20448"/>
    <w:rsid w:val="1BE53A6C"/>
    <w:rsid w:val="1C1C44D2"/>
    <w:rsid w:val="1C1E65D7"/>
    <w:rsid w:val="1C2C651B"/>
    <w:rsid w:val="1C2F2E9F"/>
    <w:rsid w:val="1C4B154B"/>
    <w:rsid w:val="1C4D1C41"/>
    <w:rsid w:val="1C7969C2"/>
    <w:rsid w:val="1C826A6F"/>
    <w:rsid w:val="1C863C50"/>
    <w:rsid w:val="1C9D24FF"/>
    <w:rsid w:val="1CAB63A8"/>
    <w:rsid w:val="1CB12A65"/>
    <w:rsid w:val="1CB23861"/>
    <w:rsid w:val="1CC741A9"/>
    <w:rsid w:val="1CEC43D5"/>
    <w:rsid w:val="1D30218A"/>
    <w:rsid w:val="1D476F5C"/>
    <w:rsid w:val="1D8D2573"/>
    <w:rsid w:val="1DB76B72"/>
    <w:rsid w:val="1DDD07E8"/>
    <w:rsid w:val="1DEF17AB"/>
    <w:rsid w:val="1E4F5A7B"/>
    <w:rsid w:val="1E6961DE"/>
    <w:rsid w:val="1E885444"/>
    <w:rsid w:val="1E98466E"/>
    <w:rsid w:val="1EA554FC"/>
    <w:rsid w:val="1EB02C7C"/>
    <w:rsid w:val="1ED14800"/>
    <w:rsid w:val="1ED815CC"/>
    <w:rsid w:val="1EEA33A4"/>
    <w:rsid w:val="1F185E6D"/>
    <w:rsid w:val="1F334A54"/>
    <w:rsid w:val="1F3E010F"/>
    <w:rsid w:val="1F66632A"/>
    <w:rsid w:val="1F710702"/>
    <w:rsid w:val="1FA23A73"/>
    <w:rsid w:val="1FCD44E8"/>
    <w:rsid w:val="1FCD71AC"/>
    <w:rsid w:val="1FE64060"/>
    <w:rsid w:val="1FF31757"/>
    <w:rsid w:val="1FF76F35"/>
    <w:rsid w:val="20126D60"/>
    <w:rsid w:val="201725C8"/>
    <w:rsid w:val="202F78DC"/>
    <w:rsid w:val="20450EE3"/>
    <w:rsid w:val="20621A95"/>
    <w:rsid w:val="209040E2"/>
    <w:rsid w:val="20A0436C"/>
    <w:rsid w:val="20DA089D"/>
    <w:rsid w:val="20E24984"/>
    <w:rsid w:val="20FD3D08"/>
    <w:rsid w:val="2135706E"/>
    <w:rsid w:val="21377BFC"/>
    <w:rsid w:val="214B077B"/>
    <w:rsid w:val="2180337F"/>
    <w:rsid w:val="21CE17A2"/>
    <w:rsid w:val="21D73DBD"/>
    <w:rsid w:val="21DB6E16"/>
    <w:rsid w:val="225351B4"/>
    <w:rsid w:val="227746B0"/>
    <w:rsid w:val="227B6E3E"/>
    <w:rsid w:val="228D6B72"/>
    <w:rsid w:val="22E542B8"/>
    <w:rsid w:val="22F17B21"/>
    <w:rsid w:val="22FF181D"/>
    <w:rsid w:val="23033822"/>
    <w:rsid w:val="230832B4"/>
    <w:rsid w:val="232B17EF"/>
    <w:rsid w:val="23706766"/>
    <w:rsid w:val="23B26890"/>
    <w:rsid w:val="23BC14BC"/>
    <w:rsid w:val="23EA1142"/>
    <w:rsid w:val="24115A16"/>
    <w:rsid w:val="24170DE9"/>
    <w:rsid w:val="246456B0"/>
    <w:rsid w:val="24A42772"/>
    <w:rsid w:val="24E95804"/>
    <w:rsid w:val="25072C0B"/>
    <w:rsid w:val="25090731"/>
    <w:rsid w:val="254774AC"/>
    <w:rsid w:val="254B6F9C"/>
    <w:rsid w:val="256B4F2C"/>
    <w:rsid w:val="257A518B"/>
    <w:rsid w:val="2593624D"/>
    <w:rsid w:val="25987046"/>
    <w:rsid w:val="25987D07"/>
    <w:rsid w:val="25C66622"/>
    <w:rsid w:val="25CA3D5E"/>
    <w:rsid w:val="25D26CDC"/>
    <w:rsid w:val="25D545A5"/>
    <w:rsid w:val="262C0012"/>
    <w:rsid w:val="264B2BBF"/>
    <w:rsid w:val="26AF355A"/>
    <w:rsid w:val="26BD6A9C"/>
    <w:rsid w:val="26D0702D"/>
    <w:rsid w:val="26DC08CF"/>
    <w:rsid w:val="27211E78"/>
    <w:rsid w:val="273B08EE"/>
    <w:rsid w:val="275E288B"/>
    <w:rsid w:val="276145F5"/>
    <w:rsid w:val="278220F2"/>
    <w:rsid w:val="27B6732B"/>
    <w:rsid w:val="27BE2271"/>
    <w:rsid w:val="27C3628E"/>
    <w:rsid w:val="27F74723"/>
    <w:rsid w:val="283F02FB"/>
    <w:rsid w:val="28940C5A"/>
    <w:rsid w:val="28F039B6"/>
    <w:rsid w:val="29114058"/>
    <w:rsid w:val="29AA4147"/>
    <w:rsid w:val="29B449E4"/>
    <w:rsid w:val="29C56BF1"/>
    <w:rsid w:val="29D62BAC"/>
    <w:rsid w:val="2A152C44"/>
    <w:rsid w:val="2A1A07CE"/>
    <w:rsid w:val="2A224DEC"/>
    <w:rsid w:val="2A6512DB"/>
    <w:rsid w:val="2A675835"/>
    <w:rsid w:val="2A746BC0"/>
    <w:rsid w:val="2A846C52"/>
    <w:rsid w:val="2ABC1DA2"/>
    <w:rsid w:val="2ADC0F79"/>
    <w:rsid w:val="2B1B2F6C"/>
    <w:rsid w:val="2B277B63"/>
    <w:rsid w:val="2B326F7E"/>
    <w:rsid w:val="2BF5596C"/>
    <w:rsid w:val="2C8E3C12"/>
    <w:rsid w:val="2C972AC7"/>
    <w:rsid w:val="2CA86A82"/>
    <w:rsid w:val="2CDA728E"/>
    <w:rsid w:val="2D054903"/>
    <w:rsid w:val="2D145EC5"/>
    <w:rsid w:val="2D393B7E"/>
    <w:rsid w:val="2D594220"/>
    <w:rsid w:val="2D9104DD"/>
    <w:rsid w:val="2DA65566"/>
    <w:rsid w:val="2DCA2A28"/>
    <w:rsid w:val="2E1E189B"/>
    <w:rsid w:val="2E37040C"/>
    <w:rsid w:val="2E402CEA"/>
    <w:rsid w:val="2EAB4607"/>
    <w:rsid w:val="2EE23DA1"/>
    <w:rsid w:val="2EEF6BEA"/>
    <w:rsid w:val="2F0C2E61"/>
    <w:rsid w:val="2F6A2714"/>
    <w:rsid w:val="2F854E58"/>
    <w:rsid w:val="2FB63A73"/>
    <w:rsid w:val="2FB76FDC"/>
    <w:rsid w:val="2FD9259E"/>
    <w:rsid w:val="2FDE27BA"/>
    <w:rsid w:val="301538B1"/>
    <w:rsid w:val="30335B3F"/>
    <w:rsid w:val="3095731D"/>
    <w:rsid w:val="30C45E54"/>
    <w:rsid w:val="30D616E4"/>
    <w:rsid w:val="30F93A6C"/>
    <w:rsid w:val="3115045E"/>
    <w:rsid w:val="311F12DD"/>
    <w:rsid w:val="31374878"/>
    <w:rsid w:val="31374B2E"/>
    <w:rsid w:val="31484399"/>
    <w:rsid w:val="31ED49AF"/>
    <w:rsid w:val="31F42769"/>
    <w:rsid w:val="3240775C"/>
    <w:rsid w:val="325307D8"/>
    <w:rsid w:val="32807B59"/>
    <w:rsid w:val="32843FFE"/>
    <w:rsid w:val="328953D8"/>
    <w:rsid w:val="32DB6F67"/>
    <w:rsid w:val="330644BE"/>
    <w:rsid w:val="3317670F"/>
    <w:rsid w:val="33791178"/>
    <w:rsid w:val="33BB17B9"/>
    <w:rsid w:val="341C09B4"/>
    <w:rsid w:val="341D13A3"/>
    <w:rsid w:val="34401520"/>
    <w:rsid w:val="347B4A7C"/>
    <w:rsid w:val="34846B3F"/>
    <w:rsid w:val="34B533BC"/>
    <w:rsid w:val="34B61F58"/>
    <w:rsid w:val="34E5052A"/>
    <w:rsid w:val="34E6283D"/>
    <w:rsid w:val="34F556AC"/>
    <w:rsid w:val="34FF56AD"/>
    <w:rsid w:val="35245113"/>
    <w:rsid w:val="353B6598"/>
    <w:rsid w:val="354632DC"/>
    <w:rsid w:val="357D007B"/>
    <w:rsid w:val="361433DA"/>
    <w:rsid w:val="36392E40"/>
    <w:rsid w:val="365437D6"/>
    <w:rsid w:val="366762E7"/>
    <w:rsid w:val="366F6862"/>
    <w:rsid w:val="3680281D"/>
    <w:rsid w:val="36A027AE"/>
    <w:rsid w:val="36AF38ED"/>
    <w:rsid w:val="36C22E36"/>
    <w:rsid w:val="36F62AE0"/>
    <w:rsid w:val="37125970"/>
    <w:rsid w:val="374A7617"/>
    <w:rsid w:val="37C329C2"/>
    <w:rsid w:val="37C4498C"/>
    <w:rsid w:val="37DE3C9F"/>
    <w:rsid w:val="38064C51"/>
    <w:rsid w:val="38172D0E"/>
    <w:rsid w:val="3885411B"/>
    <w:rsid w:val="388859B9"/>
    <w:rsid w:val="38D155B2"/>
    <w:rsid w:val="38FD0155"/>
    <w:rsid w:val="3949273F"/>
    <w:rsid w:val="396401D4"/>
    <w:rsid w:val="396E78A8"/>
    <w:rsid w:val="397E6716"/>
    <w:rsid w:val="39C71E21"/>
    <w:rsid w:val="39D8471E"/>
    <w:rsid w:val="39F94844"/>
    <w:rsid w:val="3A26645C"/>
    <w:rsid w:val="3A437DEA"/>
    <w:rsid w:val="3A471015"/>
    <w:rsid w:val="3A5B4367"/>
    <w:rsid w:val="3AB962FE"/>
    <w:rsid w:val="3AC11B74"/>
    <w:rsid w:val="3AD71050"/>
    <w:rsid w:val="3AE15F1A"/>
    <w:rsid w:val="3B005CDB"/>
    <w:rsid w:val="3B0C6DB3"/>
    <w:rsid w:val="3B1D063B"/>
    <w:rsid w:val="3B22236A"/>
    <w:rsid w:val="3B5D4815"/>
    <w:rsid w:val="3BA24FE4"/>
    <w:rsid w:val="3BDA477E"/>
    <w:rsid w:val="3BEF5CD9"/>
    <w:rsid w:val="3BFC50FB"/>
    <w:rsid w:val="3C2F4ACA"/>
    <w:rsid w:val="3C601127"/>
    <w:rsid w:val="3C722C08"/>
    <w:rsid w:val="3C74072E"/>
    <w:rsid w:val="3CC001B8"/>
    <w:rsid w:val="3CD2421C"/>
    <w:rsid w:val="3CEF4259"/>
    <w:rsid w:val="3D020D94"/>
    <w:rsid w:val="3D080983"/>
    <w:rsid w:val="3D0C751D"/>
    <w:rsid w:val="3D19407B"/>
    <w:rsid w:val="3D2C1009"/>
    <w:rsid w:val="3D4A3444"/>
    <w:rsid w:val="3D4E62CA"/>
    <w:rsid w:val="3D4E7225"/>
    <w:rsid w:val="3D674405"/>
    <w:rsid w:val="3D753E48"/>
    <w:rsid w:val="3D781D17"/>
    <w:rsid w:val="3D89645B"/>
    <w:rsid w:val="3D903A6F"/>
    <w:rsid w:val="3D99490E"/>
    <w:rsid w:val="3DA05A2F"/>
    <w:rsid w:val="3DAB63D2"/>
    <w:rsid w:val="3DB207F4"/>
    <w:rsid w:val="3DCB5A34"/>
    <w:rsid w:val="3DD0505D"/>
    <w:rsid w:val="3E1D40B2"/>
    <w:rsid w:val="3E1D4DD2"/>
    <w:rsid w:val="3E373459"/>
    <w:rsid w:val="3E375EB7"/>
    <w:rsid w:val="3E8C20B7"/>
    <w:rsid w:val="3EED6576"/>
    <w:rsid w:val="3F12422F"/>
    <w:rsid w:val="3F255D10"/>
    <w:rsid w:val="3F283A52"/>
    <w:rsid w:val="3F367F1D"/>
    <w:rsid w:val="3F3B5533"/>
    <w:rsid w:val="3F44756A"/>
    <w:rsid w:val="3F4A7051"/>
    <w:rsid w:val="3F746C97"/>
    <w:rsid w:val="3F983560"/>
    <w:rsid w:val="3FFC1167"/>
    <w:rsid w:val="400039C0"/>
    <w:rsid w:val="400678E0"/>
    <w:rsid w:val="400718BA"/>
    <w:rsid w:val="4013025E"/>
    <w:rsid w:val="40246166"/>
    <w:rsid w:val="4077222C"/>
    <w:rsid w:val="40A94D81"/>
    <w:rsid w:val="40D9212F"/>
    <w:rsid w:val="41143A56"/>
    <w:rsid w:val="41517290"/>
    <w:rsid w:val="417B60BB"/>
    <w:rsid w:val="41920F07"/>
    <w:rsid w:val="41994793"/>
    <w:rsid w:val="41B469CF"/>
    <w:rsid w:val="41C0673F"/>
    <w:rsid w:val="42156510"/>
    <w:rsid w:val="421E3334"/>
    <w:rsid w:val="42251703"/>
    <w:rsid w:val="42370B06"/>
    <w:rsid w:val="423D15C3"/>
    <w:rsid w:val="425C2011"/>
    <w:rsid w:val="42734FE4"/>
    <w:rsid w:val="42B078D8"/>
    <w:rsid w:val="42BD2703"/>
    <w:rsid w:val="431D293A"/>
    <w:rsid w:val="43285FDD"/>
    <w:rsid w:val="433230F1"/>
    <w:rsid w:val="433A2FCC"/>
    <w:rsid w:val="43851473"/>
    <w:rsid w:val="4396542E"/>
    <w:rsid w:val="43F262FC"/>
    <w:rsid w:val="43F66A0E"/>
    <w:rsid w:val="44254A04"/>
    <w:rsid w:val="4439400C"/>
    <w:rsid w:val="4443736B"/>
    <w:rsid w:val="444E2552"/>
    <w:rsid w:val="44A43AA1"/>
    <w:rsid w:val="44AB0285"/>
    <w:rsid w:val="451F4220"/>
    <w:rsid w:val="453B55E6"/>
    <w:rsid w:val="453F5302"/>
    <w:rsid w:val="45662126"/>
    <w:rsid w:val="457641EB"/>
    <w:rsid w:val="45920B60"/>
    <w:rsid w:val="459D5E81"/>
    <w:rsid w:val="45A858FB"/>
    <w:rsid w:val="45BD1D37"/>
    <w:rsid w:val="45BF0834"/>
    <w:rsid w:val="45C213D4"/>
    <w:rsid w:val="45D1274E"/>
    <w:rsid w:val="462C3E28"/>
    <w:rsid w:val="465A5B46"/>
    <w:rsid w:val="466B6BDE"/>
    <w:rsid w:val="466E4440"/>
    <w:rsid w:val="46882A71"/>
    <w:rsid w:val="468C0D6B"/>
    <w:rsid w:val="46B02CAB"/>
    <w:rsid w:val="46BE611A"/>
    <w:rsid w:val="46C858C2"/>
    <w:rsid w:val="46D550C9"/>
    <w:rsid w:val="47000575"/>
    <w:rsid w:val="476669C6"/>
    <w:rsid w:val="477E06B3"/>
    <w:rsid w:val="47A4636C"/>
    <w:rsid w:val="47BE368A"/>
    <w:rsid w:val="47C11396"/>
    <w:rsid w:val="47CF7161"/>
    <w:rsid w:val="47D76D83"/>
    <w:rsid w:val="47E726FC"/>
    <w:rsid w:val="480A4069"/>
    <w:rsid w:val="48634F46"/>
    <w:rsid w:val="487B7979"/>
    <w:rsid w:val="48904B42"/>
    <w:rsid w:val="48AC2FFE"/>
    <w:rsid w:val="48BA6C12"/>
    <w:rsid w:val="48D47A82"/>
    <w:rsid w:val="48F36E7F"/>
    <w:rsid w:val="48FA408C"/>
    <w:rsid w:val="49012023"/>
    <w:rsid w:val="49065EC9"/>
    <w:rsid w:val="493E4F4B"/>
    <w:rsid w:val="495D266F"/>
    <w:rsid w:val="49845D29"/>
    <w:rsid w:val="49CF790B"/>
    <w:rsid w:val="49EE3BD6"/>
    <w:rsid w:val="4A2F1585"/>
    <w:rsid w:val="4A5F43A4"/>
    <w:rsid w:val="4AA85A47"/>
    <w:rsid w:val="4B0A5E64"/>
    <w:rsid w:val="4B2D6231"/>
    <w:rsid w:val="4B3D592E"/>
    <w:rsid w:val="4B810772"/>
    <w:rsid w:val="4B8A7913"/>
    <w:rsid w:val="4BF03456"/>
    <w:rsid w:val="4C2555A1"/>
    <w:rsid w:val="4C431ECB"/>
    <w:rsid w:val="4C781C39"/>
    <w:rsid w:val="4CAA0F0D"/>
    <w:rsid w:val="4CF66F3E"/>
    <w:rsid w:val="4D265A75"/>
    <w:rsid w:val="4D5C1497"/>
    <w:rsid w:val="4D64241B"/>
    <w:rsid w:val="4D726514"/>
    <w:rsid w:val="4D862070"/>
    <w:rsid w:val="4DE32039"/>
    <w:rsid w:val="4E434405"/>
    <w:rsid w:val="4E493D62"/>
    <w:rsid w:val="4E597784"/>
    <w:rsid w:val="4E5E2FEC"/>
    <w:rsid w:val="4E916F1E"/>
    <w:rsid w:val="4E986392"/>
    <w:rsid w:val="4EB83F6D"/>
    <w:rsid w:val="4ED96952"/>
    <w:rsid w:val="4EDD01A1"/>
    <w:rsid w:val="4F016506"/>
    <w:rsid w:val="4F287C42"/>
    <w:rsid w:val="4F2C2E79"/>
    <w:rsid w:val="4F4C5E7F"/>
    <w:rsid w:val="4F7C1331"/>
    <w:rsid w:val="4F7D393A"/>
    <w:rsid w:val="4F876573"/>
    <w:rsid w:val="4FBA0AF7"/>
    <w:rsid w:val="4FBB2F51"/>
    <w:rsid w:val="4FF95CAF"/>
    <w:rsid w:val="50040D6C"/>
    <w:rsid w:val="500B0F52"/>
    <w:rsid w:val="500E5AA0"/>
    <w:rsid w:val="50297402"/>
    <w:rsid w:val="508B77B5"/>
    <w:rsid w:val="50AA42C7"/>
    <w:rsid w:val="50B909AE"/>
    <w:rsid w:val="50CF1F80"/>
    <w:rsid w:val="50DD36B9"/>
    <w:rsid w:val="50E2281D"/>
    <w:rsid w:val="5100693C"/>
    <w:rsid w:val="51295145"/>
    <w:rsid w:val="515D758B"/>
    <w:rsid w:val="51950038"/>
    <w:rsid w:val="51990256"/>
    <w:rsid w:val="519D04DB"/>
    <w:rsid w:val="51CE42B8"/>
    <w:rsid w:val="51D671BA"/>
    <w:rsid w:val="51DA5080"/>
    <w:rsid w:val="520C1E13"/>
    <w:rsid w:val="52317028"/>
    <w:rsid w:val="528079D5"/>
    <w:rsid w:val="528154FB"/>
    <w:rsid w:val="528B0439"/>
    <w:rsid w:val="528F5E6A"/>
    <w:rsid w:val="52BC1849"/>
    <w:rsid w:val="52C74BD6"/>
    <w:rsid w:val="52FD52B5"/>
    <w:rsid w:val="53071EA5"/>
    <w:rsid w:val="530D05AF"/>
    <w:rsid w:val="531D7740"/>
    <w:rsid w:val="533C1422"/>
    <w:rsid w:val="533D3C46"/>
    <w:rsid w:val="53400F13"/>
    <w:rsid w:val="5341332F"/>
    <w:rsid w:val="53456529"/>
    <w:rsid w:val="53531C40"/>
    <w:rsid w:val="53837051"/>
    <w:rsid w:val="53A616BE"/>
    <w:rsid w:val="53BD6A07"/>
    <w:rsid w:val="53D564A8"/>
    <w:rsid w:val="53E852AC"/>
    <w:rsid w:val="544B5519"/>
    <w:rsid w:val="54553953"/>
    <w:rsid w:val="5492228F"/>
    <w:rsid w:val="549866BB"/>
    <w:rsid w:val="54B75197"/>
    <w:rsid w:val="55264138"/>
    <w:rsid w:val="554967A4"/>
    <w:rsid w:val="554C4764"/>
    <w:rsid w:val="55AA6B17"/>
    <w:rsid w:val="55C776C9"/>
    <w:rsid w:val="55E86AB6"/>
    <w:rsid w:val="56027558"/>
    <w:rsid w:val="562123DF"/>
    <w:rsid w:val="563D3E2F"/>
    <w:rsid w:val="5640122A"/>
    <w:rsid w:val="564933F5"/>
    <w:rsid w:val="566A1A24"/>
    <w:rsid w:val="566B274A"/>
    <w:rsid w:val="56A16797"/>
    <w:rsid w:val="56BC1745"/>
    <w:rsid w:val="56D13F81"/>
    <w:rsid w:val="56EE4427"/>
    <w:rsid w:val="57203087"/>
    <w:rsid w:val="57710F80"/>
    <w:rsid w:val="577F0A74"/>
    <w:rsid w:val="578A4E52"/>
    <w:rsid w:val="57BB14B0"/>
    <w:rsid w:val="580A2115"/>
    <w:rsid w:val="581B3CFC"/>
    <w:rsid w:val="58403960"/>
    <w:rsid w:val="58951A89"/>
    <w:rsid w:val="589567DF"/>
    <w:rsid w:val="58B37334"/>
    <w:rsid w:val="58BE3319"/>
    <w:rsid w:val="58D345D7"/>
    <w:rsid w:val="58DD0FB2"/>
    <w:rsid w:val="58FA6008"/>
    <w:rsid w:val="5917470E"/>
    <w:rsid w:val="592B2D38"/>
    <w:rsid w:val="59350E2A"/>
    <w:rsid w:val="594A4ECB"/>
    <w:rsid w:val="59712985"/>
    <w:rsid w:val="59972F03"/>
    <w:rsid w:val="5A026F22"/>
    <w:rsid w:val="5A181ACA"/>
    <w:rsid w:val="5A2278D1"/>
    <w:rsid w:val="5A2B3D89"/>
    <w:rsid w:val="5A4E2099"/>
    <w:rsid w:val="5A517EA9"/>
    <w:rsid w:val="5A614795"/>
    <w:rsid w:val="5A674034"/>
    <w:rsid w:val="5A8D1CD4"/>
    <w:rsid w:val="5A933845"/>
    <w:rsid w:val="5AB64194"/>
    <w:rsid w:val="5ABC3575"/>
    <w:rsid w:val="5AE900E2"/>
    <w:rsid w:val="5B37709F"/>
    <w:rsid w:val="5B40470A"/>
    <w:rsid w:val="5B4C7A7A"/>
    <w:rsid w:val="5B4F3274"/>
    <w:rsid w:val="5BA23592"/>
    <w:rsid w:val="5BB36954"/>
    <w:rsid w:val="5BB54BD3"/>
    <w:rsid w:val="5C0F1571"/>
    <w:rsid w:val="5C191AE4"/>
    <w:rsid w:val="5C4D1F7D"/>
    <w:rsid w:val="5C7F7189"/>
    <w:rsid w:val="5C846314"/>
    <w:rsid w:val="5C871D13"/>
    <w:rsid w:val="5CC01681"/>
    <w:rsid w:val="5D137698"/>
    <w:rsid w:val="5D200C75"/>
    <w:rsid w:val="5D445AA3"/>
    <w:rsid w:val="5D4F239A"/>
    <w:rsid w:val="5D5B3860"/>
    <w:rsid w:val="5D9A3915"/>
    <w:rsid w:val="5DE057CC"/>
    <w:rsid w:val="5DE522FB"/>
    <w:rsid w:val="5E3547C5"/>
    <w:rsid w:val="5E5E3272"/>
    <w:rsid w:val="5E885B7F"/>
    <w:rsid w:val="5E9D7389"/>
    <w:rsid w:val="5F21609C"/>
    <w:rsid w:val="5F2F6BBC"/>
    <w:rsid w:val="5F557AF4"/>
    <w:rsid w:val="5F7C32D2"/>
    <w:rsid w:val="5F8E1258"/>
    <w:rsid w:val="5FB96739"/>
    <w:rsid w:val="5FCC63FC"/>
    <w:rsid w:val="5FF46551"/>
    <w:rsid w:val="5FF90DC7"/>
    <w:rsid w:val="5FFA3418"/>
    <w:rsid w:val="6005151A"/>
    <w:rsid w:val="601B4AB2"/>
    <w:rsid w:val="601F5C79"/>
    <w:rsid w:val="60A71431"/>
    <w:rsid w:val="60D73318"/>
    <w:rsid w:val="61666D5F"/>
    <w:rsid w:val="618631A4"/>
    <w:rsid w:val="618809C5"/>
    <w:rsid w:val="618907F8"/>
    <w:rsid w:val="6189617B"/>
    <w:rsid w:val="61931646"/>
    <w:rsid w:val="61DC44FC"/>
    <w:rsid w:val="61E12404"/>
    <w:rsid w:val="62000E44"/>
    <w:rsid w:val="62060844"/>
    <w:rsid w:val="623B2224"/>
    <w:rsid w:val="625F7F08"/>
    <w:rsid w:val="627923BD"/>
    <w:rsid w:val="62CE0314"/>
    <w:rsid w:val="62D82F16"/>
    <w:rsid w:val="62EB626D"/>
    <w:rsid w:val="62EC076F"/>
    <w:rsid w:val="630C319F"/>
    <w:rsid w:val="630F26B0"/>
    <w:rsid w:val="63233154"/>
    <w:rsid w:val="6332291C"/>
    <w:rsid w:val="63327889"/>
    <w:rsid w:val="63370A39"/>
    <w:rsid w:val="635A1B7D"/>
    <w:rsid w:val="63B868A3"/>
    <w:rsid w:val="63C316DE"/>
    <w:rsid w:val="63E1229E"/>
    <w:rsid w:val="640D3093"/>
    <w:rsid w:val="64273C57"/>
    <w:rsid w:val="642A3526"/>
    <w:rsid w:val="64591E34"/>
    <w:rsid w:val="64780FFD"/>
    <w:rsid w:val="64944F4F"/>
    <w:rsid w:val="64AC6408"/>
    <w:rsid w:val="64B1390C"/>
    <w:rsid w:val="64B368A0"/>
    <w:rsid w:val="64C25C2B"/>
    <w:rsid w:val="65077AE2"/>
    <w:rsid w:val="652C12F7"/>
    <w:rsid w:val="658C36FD"/>
    <w:rsid w:val="65AE5912"/>
    <w:rsid w:val="660A2D57"/>
    <w:rsid w:val="660D17C2"/>
    <w:rsid w:val="66133976"/>
    <w:rsid w:val="665E7980"/>
    <w:rsid w:val="666A3850"/>
    <w:rsid w:val="6690536D"/>
    <w:rsid w:val="66A27DE6"/>
    <w:rsid w:val="66CF2882"/>
    <w:rsid w:val="66D849FF"/>
    <w:rsid w:val="6703077D"/>
    <w:rsid w:val="6707201B"/>
    <w:rsid w:val="670F2101"/>
    <w:rsid w:val="67236729"/>
    <w:rsid w:val="67281F92"/>
    <w:rsid w:val="672F46EF"/>
    <w:rsid w:val="67356E3D"/>
    <w:rsid w:val="67436BCB"/>
    <w:rsid w:val="674C7A2E"/>
    <w:rsid w:val="676838D1"/>
    <w:rsid w:val="676C679E"/>
    <w:rsid w:val="678A717B"/>
    <w:rsid w:val="67E61C31"/>
    <w:rsid w:val="67F45AF8"/>
    <w:rsid w:val="68104F00"/>
    <w:rsid w:val="681F3395"/>
    <w:rsid w:val="685F3791"/>
    <w:rsid w:val="687E10BD"/>
    <w:rsid w:val="68B90132"/>
    <w:rsid w:val="68ED5241"/>
    <w:rsid w:val="69110F2F"/>
    <w:rsid w:val="698A0CE2"/>
    <w:rsid w:val="69D63F27"/>
    <w:rsid w:val="69E91EAC"/>
    <w:rsid w:val="6A47184A"/>
    <w:rsid w:val="6A4E3F42"/>
    <w:rsid w:val="6A8676FB"/>
    <w:rsid w:val="6AA32DBD"/>
    <w:rsid w:val="6AB055A7"/>
    <w:rsid w:val="6AB37DC4"/>
    <w:rsid w:val="6AC01E97"/>
    <w:rsid w:val="6B1940CB"/>
    <w:rsid w:val="6B3233DF"/>
    <w:rsid w:val="6B403D4E"/>
    <w:rsid w:val="6B4B7FE5"/>
    <w:rsid w:val="6B8F2222"/>
    <w:rsid w:val="6B9722FD"/>
    <w:rsid w:val="6BAC13E3"/>
    <w:rsid w:val="6BAE6B51"/>
    <w:rsid w:val="6BC228BB"/>
    <w:rsid w:val="6BEA3CBA"/>
    <w:rsid w:val="6BEE0A38"/>
    <w:rsid w:val="6BF90704"/>
    <w:rsid w:val="6C057C41"/>
    <w:rsid w:val="6C18261B"/>
    <w:rsid w:val="6C494E84"/>
    <w:rsid w:val="6C57134F"/>
    <w:rsid w:val="6C5F00A0"/>
    <w:rsid w:val="6C65372A"/>
    <w:rsid w:val="6C7D68DC"/>
    <w:rsid w:val="6C8E0AE9"/>
    <w:rsid w:val="6D0C2AB9"/>
    <w:rsid w:val="6D0D5EB2"/>
    <w:rsid w:val="6D1F7993"/>
    <w:rsid w:val="6D4274AB"/>
    <w:rsid w:val="6D626F00"/>
    <w:rsid w:val="6D6D4BA2"/>
    <w:rsid w:val="6D88378A"/>
    <w:rsid w:val="6D9103A8"/>
    <w:rsid w:val="6DA6322E"/>
    <w:rsid w:val="6DE427C2"/>
    <w:rsid w:val="6DE704B1"/>
    <w:rsid w:val="6DF73D06"/>
    <w:rsid w:val="6DFA5159"/>
    <w:rsid w:val="6E305288"/>
    <w:rsid w:val="6E3B6A4F"/>
    <w:rsid w:val="6E9904B6"/>
    <w:rsid w:val="6ECB1B80"/>
    <w:rsid w:val="6EDF1B8A"/>
    <w:rsid w:val="6EFE3D04"/>
    <w:rsid w:val="6F067CA7"/>
    <w:rsid w:val="6F686F1D"/>
    <w:rsid w:val="6F6F381C"/>
    <w:rsid w:val="6F885CC3"/>
    <w:rsid w:val="6F9D176F"/>
    <w:rsid w:val="6FAB735E"/>
    <w:rsid w:val="6FC7174D"/>
    <w:rsid w:val="6FDE7692"/>
    <w:rsid w:val="6FE23626"/>
    <w:rsid w:val="6FFF7808"/>
    <w:rsid w:val="701632CF"/>
    <w:rsid w:val="70673DCF"/>
    <w:rsid w:val="709114D5"/>
    <w:rsid w:val="709A5CAE"/>
    <w:rsid w:val="70B20A1E"/>
    <w:rsid w:val="70B71E11"/>
    <w:rsid w:val="70BF74C3"/>
    <w:rsid w:val="70CD6084"/>
    <w:rsid w:val="70F62C27"/>
    <w:rsid w:val="71493231"/>
    <w:rsid w:val="714F4CEB"/>
    <w:rsid w:val="71507C77"/>
    <w:rsid w:val="716301F2"/>
    <w:rsid w:val="716D35A9"/>
    <w:rsid w:val="71774472"/>
    <w:rsid w:val="717E37FE"/>
    <w:rsid w:val="71970440"/>
    <w:rsid w:val="71B92164"/>
    <w:rsid w:val="71FB277D"/>
    <w:rsid w:val="72025ED5"/>
    <w:rsid w:val="720930EC"/>
    <w:rsid w:val="722F0678"/>
    <w:rsid w:val="729D3834"/>
    <w:rsid w:val="72AD4404"/>
    <w:rsid w:val="72CC4119"/>
    <w:rsid w:val="730604D6"/>
    <w:rsid w:val="73506AF8"/>
    <w:rsid w:val="735351CF"/>
    <w:rsid w:val="7355410F"/>
    <w:rsid w:val="736E4021"/>
    <w:rsid w:val="73993FFB"/>
    <w:rsid w:val="73ED1CFE"/>
    <w:rsid w:val="73EE31E0"/>
    <w:rsid w:val="741C55C4"/>
    <w:rsid w:val="74397E93"/>
    <w:rsid w:val="743B50B2"/>
    <w:rsid w:val="746A3BEA"/>
    <w:rsid w:val="749138CC"/>
    <w:rsid w:val="749E7DC0"/>
    <w:rsid w:val="74BB5821"/>
    <w:rsid w:val="75176D23"/>
    <w:rsid w:val="75273889"/>
    <w:rsid w:val="753D08C2"/>
    <w:rsid w:val="75436915"/>
    <w:rsid w:val="75556648"/>
    <w:rsid w:val="7564576B"/>
    <w:rsid w:val="757A1C0A"/>
    <w:rsid w:val="758D5DE2"/>
    <w:rsid w:val="762D6B9F"/>
    <w:rsid w:val="766F30AC"/>
    <w:rsid w:val="7696746C"/>
    <w:rsid w:val="76DC72FF"/>
    <w:rsid w:val="76E96A74"/>
    <w:rsid w:val="76F37EC6"/>
    <w:rsid w:val="76FC66BF"/>
    <w:rsid w:val="77024532"/>
    <w:rsid w:val="771816DB"/>
    <w:rsid w:val="773A256E"/>
    <w:rsid w:val="775546DD"/>
    <w:rsid w:val="77640FB7"/>
    <w:rsid w:val="77A57EA8"/>
    <w:rsid w:val="77C74EAF"/>
    <w:rsid w:val="77D6457D"/>
    <w:rsid w:val="77EF68E0"/>
    <w:rsid w:val="77F54C8C"/>
    <w:rsid w:val="78202F3D"/>
    <w:rsid w:val="786F0090"/>
    <w:rsid w:val="78972AD3"/>
    <w:rsid w:val="78AF2B59"/>
    <w:rsid w:val="78CD2184"/>
    <w:rsid w:val="78F33EB7"/>
    <w:rsid w:val="79043E8A"/>
    <w:rsid w:val="791D0032"/>
    <w:rsid w:val="792721EB"/>
    <w:rsid w:val="793A6280"/>
    <w:rsid w:val="7954609A"/>
    <w:rsid w:val="796C3F60"/>
    <w:rsid w:val="79876FEC"/>
    <w:rsid w:val="79960FDD"/>
    <w:rsid w:val="79E6721A"/>
    <w:rsid w:val="7A633CB0"/>
    <w:rsid w:val="7A6D7F90"/>
    <w:rsid w:val="7A75064F"/>
    <w:rsid w:val="7A8C2B0C"/>
    <w:rsid w:val="7AB36E48"/>
    <w:rsid w:val="7AC04563"/>
    <w:rsid w:val="7B09164E"/>
    <w:rsid w:val="7B3C76D4"/>
    <w:rsid w:val="7B551150"/>
    <w:rsid w:val="7B5F49A4"/>
    <w:rsid w:val="7B6475E5"/>
    <w:rsid w:val="7BEC184D"/>
    <w:rsid w:val="7C2D779C"/>
    <w:rsid w:val="7C3D455F"/>
    <w:rsid w:val="7C4A508F"/>
    <w:rsid w:val="7C52777D"/>
    <w:rsid w:val="7C5D44F6"/>
    <w:rsid w:val="7C71236F"/>
    <w:rsid w:val="7C75312C"/>
    <w:rsid w:val="7CA822DD"/>
    <w:rsid w:val="7CAB1854"/>
    <w:rsid w:val="7CAE20BF"/>
    <w:rsid w:val="7CC12815"/>
    <w:rsid w:val="7D0A41BC"/>
    <w:rsid w:val="7D3B6123"/>
    <w:rsid w:val="7D420E23"/>
    <w:rsid w:val="7D6E02A7"/>
    <w:rsid w:val="7D700863"/>
    <w:rsid w:val="7D7D4CFA"/>
    <w:rsid w:val="7DE467BB"/>
    <w:rsid w:val="7DF57832"/>
    <w:rsid w:val="7E0D74DD"/>
    <w:rsid w:val="7E175FFE"/>
    <w:rsid w:val="7E471391"/>
    <w:rsid w:val="7E5C6C56"/>
    <w:rsid w:val="7E64320F"/>
    <w:rsid w:val="7E796579"/>
    <w:rsid w:val="7E910834"/>
    <w:rsid w:val="7EBF4B32"/>
    <w:rsid w:val="7EF12B67"/>
    <w:rsid w:val="7F0F7867"/>
    <w:rsid w:val="7F3A6E3C"/>
    <w:rsid w:val="7F5B4509"/>
    <w:rsid w:val="7F653B7F"/>
    <w:rsid w:val="7F757E1D"/>
    <w:rsid w:val="7F7707C5"/>
    <w:rsid w:val="7F97781F"/>
    <w:rsid w:val="7FAF2DF8"/>
    <w:rsid w:val="7FB328E9"/>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2"/>
    <w:basedOn w:val="1"/>
    <w:next w:val="1"/>
    <w:unhideWhenUsed/>
    <w:qFormat/>
    <w:uiPriority w:val="9"/>
    <w:pPr>
      <w:keepNext/>
      <w:keepLines/>
      <w:adjustRightInd w:val="0"/>
      <w:spacing w:before="260" w:beforeLines="0" w:after="260" w:afterLines="0"/>
      <w:ind w:firstLine="0" w:firstLineChars="0"/>
      <w:textAlignment w:val="baseline"/>
      <w:outlineLvl w:val="1"/>
    </w:pPr>
    <w:rPr>
      <w:rFonts w:ascii="Arial" w:hAnsi="Arial"/>
      <w:b/>
      <w:bCs/>
      <w:kern w:val="0"/>
      <w:sz w:val="28"/>
      <w:szCs w:val="32"/>
    </w:rPr>
  </w:style>
  <w:style w:type="paragraph" w:styleId="5">
    <w:name w:val="heading 3"/>
    <w:basedOn w:val="1"/>
    <w:next w:val="1"/>
    <w:qFormat/>
    <w:uiPriority w:val="0"/>
    <w:pPr>
      <w:keepNext/>
      <w:keepLines/>
      <w:spacing w:before="260" w:beforeLines="0" w:beforeAutospacing="0" w:after="260" w:afterLines="0" w:afterAutospacing="0" w:line="413" w:lineRule="auto"/>
      <w:outlineLvl w:val="2"/>
    </w:pPr>
    <w:rPr>
      <w:b/>
      <w:kern w:val="0"/>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List Paragraph"/>
    <w:basedOn w:val="1"/>
    <w:qFormat/>
    <w:uiPriority w:val="34"/>
    <w:pPr>
      <w:ind w:firstLine="420" w:firstLineChars="200"/>
    </w:pPr>
  </w:style>
  <w:style w:type="paragraph" w:customStyle="1" w:styleId="12">
    <w:name w:val="样式4"/>
    <w:basedOn w:val="1"/>
    <w:qFormat/>
    <w:uiPriority w:val="0"/>
    <w:pPr>
      <w:tabs>
        <w:tab w:val="left" w:pos="366"/>
        <w:tab w:val="left" w:pos="720"/>
      </w:tabs>
      <w:topLinePunct/>
      <w:ind w:firstLine="425"/>
    </w:pPr>
    <w:rPr>
      <w:rFonts w:eastAsia="黑体"/>
      <w:bCs/>
      <w:caps/>
      <w:kern w:val="21"/>
      <w:szCs w:val="21"/>
    </w:rPr>
  </w:style>
  <w:style w:type="paragraph" w:customStyle="1" w:styleId="13">
    <w:name w:val="样式5"/>
    <w:basedOn w:val="1"/>
    <w:qFormat/>
    <w:uiPriority w:val="0"/>
    <w:pPr>
      <w:topLinePunct/>
      <w:adjustRightInd w:val="0"/>
      <w:spacing w:line="1200" w:lineRule="auto"/>
      <w:jc w:val="center"/>
    </w:pPr>
    <w:rPr>
      <w:rFonts w:ascii="宋体" w:hAnsi="宋体" w:eastAsia="黑体"/>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2354</Words>
  <Characters>2423</Characters>
  <Lines>0</Lines>
  <Paragraphs>0</Paragraphs>
  <TotalTime>7</TotalTime>
  <ScaleCrop>false</ScaleCrop>
  <LinksUpToDate>false</LinksUpToDate>
  <CharactersWithSpaces>2693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2021-08-02T23:49:00Z</dcterms:created>
  <dc:creator>光伏EPC</dc:creator>
  <cp:lastModifiedBy>森淼宝宝</cp:lastModifiedBy>
  <cp:lastPrinted>2022-05-05T01:59:00Z</cp:lastPrinted>
  <dcterms:modified xsi:type="dcterms:W3CDTF">2023-05-31T00:18:56Z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B4FED48CEB344F7C920F839527ED9E07</vt:lpwstr>
  </property>
</Properties>
</file>