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编号：</w:t>
      </w:r>
      <w:r>
        <w:rPr>
          <w:rFonts w:hint="eastAsia"/>
          <w:color w:val="000000" w:themeColor="text1"/>
          <w:sz w:val="24"/>
          <w:szCs w:val="24"/>
          <w:lang w:val="en-US" w:eastAsia="zh-CN"/>
          <w14:textFill>
            <w14:solidFill>
              <w14:schemeClr w14:val="tx1"/>
            </w14:solidFill>
          </w14:textFill>
        </w:rPr>
        <w:t>ZHFD-ZHJL-YB-002</w:t>
      </w:r>
      <w:r>
        <w:rPr>
          <w:rFonts w:hint="eastAsia"/>
          <w:color w:val="000000" w:themeColor="text1"/>
          <w:sz w:val="24"/>
          <w:szCs w:val="24"/>
          <w:lang w:val="en-US" w:eastAsia="zh-CN"/>
          <w14:textFill>
            <w14:solidFill>
              <w14:schemeClr w14:val="tx1"/>
            </w14:solidFill>
          </w14:textFill>
        </w:rPr>
        <w:tab/>
      </w:r>
    </w:p>
    <w:p>
      <w:pPr>
        <w:rPr>
          <w:color w:val="000000" w:themeColor="text1"/>
          <w:sz w:val="24"/>
          <w:szCs w:val="24"/>
          <w14:textFill>
            <w14:solidFill>
              <w14:schemeClr w14:val="tx1"/>
            </w14:solidFill>
          </w14:textFill>
        </w:rPr>
      </w:pPr>
    </w:p>
    <w:p>
      <w:pPr>
        <w:jc w:val="center"/>
        <w:rPr>
          <w:rFonts w:hint="default"/>
          <w:color w:val="000000" w:themeColor="text1"/>
          <w:sz w:val="24"/>
          <w:szCs w:val="24"/>
          <w:lang w:val="en-US"/>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p>
    <w:p>
      <w:pPr>
        <w:spacing w:before="1248" w:beforeLines="400" w:after="468" w:afterLines="150" w:line="480" w:lineRule="auto"/>
        <w:ind w:firstLine="3080" w:firstLineChars="700"/>
        <w:jc w:val="both"/>
        <w:rPr>
          <w:rFonts w:hint="eastAsia"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监  理  月  报</w:t>
      </w:r>
    </w:p>
    <w:p>
      <w:pPr>
        <w:pStyle w:val="2"/>
        <w:spacing w:before="156" w:after="120"/>
        <w:jc w:val="center"/>
        <w:rPr>
          <w:rFonts w:hint="eastAsia" w:ascii="黑体" w:hAnsi="黑体" w:eastAsia="黑体"/>
          <w:color w:val="000000" w:themeColor="text1"/>
          <w:sz w:val="28"/>
          <w:szCs w:val="28"/>
          <w14:textFill>
            <w14:solidFill>
              <w14:schemeClr w14:val="tx1"/>
            </w14:solidFill>
          </w14:textFill>
        </w:rPr>
      </w:pPr>
      <w:r>
        <w:rPr>
          <w:rFonts w:hint="eastAsia" w:ascii="宋体" w:hAnsi="宋体" w:eastAsia="宋体" w:cs="宋体"/>
          <w:b/>
          <w:bCs/>
          <w:i w:val="0"/>
          <w:iCs w:val="0"/>
          <w:sz w:val="28"/>
          <w:szCs w:val="28"/>
          <w:u w:val="none"/>
          <w:lang w:val="en-US" w:eastAsia="zh-CN"/>
        </w:rPr>
        <w:t>工程名称： 赞皇40万千瓦一期20万千瓦风电项目 （本期10万千瓦）</w:t>
      </w:r>
    </w:p>
    <w:p>
      <w:pPr>
        <w:pStyle w:val="2"/>
        <w:spacing w:before="156" w:after="120"/>
        <w:jc w:val="center"/>
        <w:rPr>
          <w:rFonts w:hint="eastAsia" w:ascii="宋体" w:hAnsi="宋体" w:eastAsia="宋体" w:cs="宋体"/>
          <w:b/>
          <w:bCs/>
          <w:i w:val="0"/>
          <w:iCs w:val="0"/>
          <w:sz w:val="28"/>
          <w:szCs w:val="28"/>
          <w:u w:val="none"/>
          <w:lang w:val="en-US" w:eastAsia="zh-CN"/>
        </w:rPr>
      </w:pPr>
    </w:p>
    <w:p>
      <w:pPr>
        <w:rPr>
          <w:lang w:val="en-US"/>
        </w:rPr>
      </w:pPr>
    </w:p>
    <w:p>
      <w:pPr>
        <w:ind w:firstLine="3213" w:firstLineChars="1000"/>
        <w:jc w:val="both"/>
        <w:rPr>
          <w:rFonts w:hint="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20</w:t>
      </w: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22</w:t>
      </w:r>
      <w:r>
        <w:rPr>
          <w:rFonts w:hint="eastAsia" w:asciiTheme="majorEastAsia" w:hAnsiTheme="majorEastAsia" w:eastAsiaTheme="majorEastAsia" w:cstheme="majorEastAsia"/>
          <w:b/>
          <w:bCs/>
          <w:color w:val="000000" w:themeColor="text1"/>
          <w:sz w:val="32"/>
          <w:szCs w:val="32"/>
          <w14:textFill>
            <w14:solidFill>
              <w14:schemeClr w14:val="tx1"/>
            </w14:solidFill>
          </w14:textFill>
        </w:rPr>
        <w:t>年</w:t>
      </w: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6</w:t>
      </w:r>
      <w:r>
        <w:rPr>
          <w:rFonts w:hint="eastAsia" w:asciiTheme="majorEastAsia" w:hAnsiTheme="majorEastAsia" w:eastAsiaTheme="majorEastAsia" w:cstheme="majorEastAsia"/>
          <w:b/>
          <w:bCs/>
          <w:color w:val="000000" w:themeColor="text1"/>
          <w:sz w:val="32"/>
          <w:szCs w:val="32"/>
          <w14:textFill>
            <w14:solidFill>
              <w14:schemeClr w14:val="tx1"/>
            </w14:solidFill>
          </w14:textFill>
        </w:rPr>
        <w:t>月</w:t>
      </w: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 xml:space="preserve">第2期 </w:t>
      </w:r>
    </w:p>
    <w:p>
      <w:pPr>
        <w:spacing w:before="156" w:beforeLines="50" w:after="156" w:afterLines="50"/>
        <w:jc w:val="both"/>
        <w:rPr>
          <w:rFonts w:hint="eastAsia" w:eastAsiaTheme="minorEastAsia"/>
          <w:color w:val="000000" w:themeColor="text1"/>
          <w:sz w:val="30"/>
          <w:szCs w:val="30"/>
          <w:lang w:val="en-US" w:eastAsia="zh-CN"/>
          <w14:textFill>
            <w14:solidFill>
              <w14:schemeClr w14:val="tx1"/>
            </w14:solidFill>
          </w14:textFill>
        </w:rPr>
      </w:pPr>
    </w:p>
    <w:p>
      <w:pPr>
        <w:spacing w:before="156" w:beforeLines="50" w:after="156" w:afterLines="50"/>
        <w:jc w:val="both"/>
        <w:rPr>
          <w:rFonts w:hint="eastAsia" w:eastAsiaTheme="minorEastAsia"/>
          <w:color w:val="000000" w:themeColor="text1"/>
          <w:sz w:val="30"/>
          <w:szCs w:val="30"/>
          <w:lang w:val="en-US" w:eastAsia="zh-CN"/>
          <w14:textFill>
            <w14:solidFill>
              <w14:schemeClr w14:val="tx1"/>
            </w14:solidFill>
          </w14:textFill>
        </w:rPr>
      </w:pPr>
    </w:p>
    <w:p>
      <w:pPr>
        <w:spacing w:before="156" w:beforeLines="50" w:after="156" w:afterLines="50"/>
        <w:jc w:val="center"/>
        <w:rPr>
          <w:rFonts w:hint="eastAsia"/>
          <w:color w:val="000000" w:themeColor="text1"/>
          <w:sz w:val="24"/>
          <w:szCs w:val="24"/>
          <w14:textFill>
            <w14:solidFill>
              <w14:schemeClr w14:val="tx1"/>
            </w14:solidFill>
          </w14:textFill>
        </w:rPr>
      </w:pPr>
    </w:p>
    <w:p>
      <w:pPr>
        <w:topLinePunct/>
        <w:ind w:firstLine="3534" w:firstLineChars="1100"/>
        <w:jc w:val="both"/>
        <w:rPr>
          <w:rFonts w:hint="eastAsia" w:eastAsiaTheme="minorEastAsia"/>
          <w:b/>
          <w:bCs/>
          <w:sz w:val="32"/>
          <w:szCs w:val="32"/>
          <w:u w:val="single"/>
          <w:lang w:eastAsia="zh-CN"/>
        </w:rPr>
      </w:pPr>
      <w:r>
        <w:rPr>
          <w:rFonts w:hint="eastAsia"/>
          <w:b/>
          <w:bCs/>
          <w:sz w:val="32"/>
          <w:szCs w:val="32"/>
        </w:rPr>
        <w:t>总监理工程师</w:t>
      </w:r>
    </w:p>
    <w:p>
      <w:pPr>
        <w:topLinePunct/>
        <w:ind w:firstLine="425"/>
        <w:rPr>
          <w:rFonts w:hint="eastAsia"/>
          <w:b/>
          <w:bCs/>
          <w:sz w:val="32"/>
          <w:szCs w:val="32"/>
          <w:u w:val="single"/>
        </w:rPr>
      </w:pPr>
    </w:p>
    <w:p>
      <w:pPr>
        <w:topLinePunct/>
        <w:ind w:firstLine="425"/>
        <w:rPr>
          <w:rFonts w:hint="eastAsia"/>
          <w:szCs w:val="21"/>
        </w:rPr>
      </w:pPr>
    </w:p>
    <w:p>
      <w:pPr>
        <w:topLinePunct/>
        <w:ind w:firstLine="425"/>
        <w:rPr>
          <w:rFonts w:hint="eastAsia"/>
          <w:szCs w:val="21"/>
        </w:rPr>
      </w:pPr>
    </w:p>
    <w:p>
      <w:pPr>
        <w:topLinePunct/>
        <w:ind w:firstLine="425"/>
        <w:rPr>
          <w:rFonts w:hint="eastAsia"/>
          <w:szCs w:val="21"/>
        </w:rPr>
      </w:pPr>
    </w:p>
    <w:p>
      <w:pPr>
        <w:topLinePunct/>
        <w:rPr>
          <w:rFonts w:hint="eastAsia"/>
          <w:b/>
          <w:bCs/>
          <w:sz w:val="32"/>
          <w:szCs w:val="32"/>
        </w:rPr>
      </w:pPr>
    </w:p>
    <w:p>
      <w:pPr>
        <w:topLinePunct/>
        <w:ind w:firstLine="3216" w:firstLineChars="1001"/>
        <w:jc w:val="both"/>
        <w:rPr>
          <w:rFonts w:hint="eastAsia"/>
          <w:b/>
          <w:bCs/>
          <w:sz w:val="32"/>
          <w:szCs w:val="32"/>
          <w:u w:val="single"/>
        </w:rPr>
      </w:pPr>
      <w:r>
        <w:rPr>
          <w:rFonts w:hint="eastAsia"/>
          <w:b/>
          <w:bCs/>
          <w:sz w:val="32"/>
          <w:szCs w:val="32"/>
        </w:rPr>
        <w:t>监理项目部（章）</w:t>
      </w:r>
    </w:p>
    <w:p>
      <w:pPr>
        <w:topLinePunct/>
        <w:ind w:firstLine="425"/>
        <w:jc w:val="center"/>
        <w:rPr>
          <w:rFonts w:hint="eastAsia"/>
          <w:b/>
          <w:bCs/>
          <w:sz w:val="32"/>
          <w:szCs w:val="32"/>
        </w:rPr>
      </w:pPr>
    </w:p>
    <w:p>
      <w:pPr>
        <w:topLinePunct/>
        <w:ind w:firstLine="2573" w:firstLineChars="801"/>
        <w:jc w:val="both"/>
        <w:rPr>
          <w:rFonts w:hint="eastAsia"/>
          <w:b/>
          <w:bCs/>
          <w:sz w:val="32"/>
          <w:szCs w:val="32"/>
        </w:rPr>
      </w:pPr>
      <w:r>
        <w:rPr>
          <w:rFonts w:hint="eastAsia"/>
          <w:b/>
          <w:bCs/>
          <w:sz w:val="32"/>
          <w:szCs w:val="32"/>
        </w:rPr>
        <w:t>报告日期：</w:t>
      </w:r>
      <w:r>
        <w:rPr>
          <w:rFonts w:hint="eastAsia"/>
          <w:b/>
          <w:bCs/>
          <w:sz w:val="32"/>
          <w:szCs w:val="32"/>
          <w:lang w:val="en-US" w:eastAsia="zh-CN"/>
        </w:rPr>
        <w:t>2022</w:t>
      </w:r>
      <w:r>
        <w:rPr>
          <w:rFonts w:hint="eastAsia"/>
          <w:b/>
          <w:bCs/>
          <w:sz w:val="32"/>
          <w:szCs w:val="32"/>
        </w:rPr>
        <w:t>年</w:t>
      </w:r>
      <w:r>
        <w:rPr>
          <w:rFonts w:hint="eastAsia"/>
          <w:b/>
          <w:bCs/>
          <w:sz w:val="32"/>
          <w:szCs w:val="32"/>
          <w:lang w:val="en-US" w:eastAsia="zh-CN"/>
        </w:rPr>
        <w:t>6</w:t>
      </w:r>
      <w:r>
        <w:rPr>
          <w:rFonts w:hint="eastAsia"/>
          <w:b/>
          <w:bCs/>
          <w:sz w:val="32"/>
          <w:szCs w:val="32"/>
        </w:rPr>
        <w:t>月</w:t>
      </w:r>
      <w:r>
        <w:rPr>
          <w:rFonts w:hint="eastAsia"/>
          <w:b/>
          <w:bCs/>
          <w:sz w:val="32"/>
          <w:szCs w:val="32"/>
          <w:lang w:val="en-US" w:eastAsia="zh-CN"/>
        </w:rPr>
        <w:t>30</w:t>
      </w:r>
      <w:r>
        <w:rPr>
          <w:rFonts w:hint="eastAsia"/>
          <w:b/>
          <w:bCs/>
          <w:sz w:val="32"/>
          <w:szCs w:val="32"/>
        </w:rPr>
        <w:t>日</w:t>
      </w:r>
    </w:p>
    <w:p>
      <w:pPr>
        <w:topLinePunct/>
        <w:ind w:firstLine="425"/>
        <w:rPr>
          <w:rFonts w:hint="eastAsia"/>
          <w:b/>
          <w:bCs/>
          <w:sz w:val="32"/>
          <w:szCs w:val="32"/>
        </w:rPr>
      </w:pPr>
    </w:p>
    <w:p>
      <w:pPr>
        <w:widowControl/>
        <w:jc w:val="left"/>
        <w:rPr>
          <w:color w:val="000000" w:themeColor="text1"/>
          <w:sz w:val="30"/>
          <w:szCs w:val="30"/>
          <w14:textFill>
            <w14:solidFill>
              <w14:schemeClr w14:val="tx1"/>
            </w14:solidFill>
          </w14:textFill>
        </w:rPr>
      </w:pPr>
    </w:p>
    <w:p>
      <w:pPr>
        <w:jc w:val="center"/>
        <w:rPr>
          <w:rFonts w:hint="default" w:asciiTheme="majorEastAsia" w:hAnsiTheme="majorEastAsia" w:eastAsiaTheme="majorEastAsia" w:cstheme="majorEastAsia"/>
          <w:color w:val="000000" w:themeColor="text1"/>
          <w:sz w:val="32"/>
          <w:szCs w:val="32"/>
          <w:u w:val="single"/>
          <w:lang w:val="en-US" w:eastAsia="zh-CN"/>
          <w14:textFill>
            <w14:solidFill>
              <w14:schemeClr w14:val="tx1"/>
            </w14:solidFill>
          </w14:textFill>
        </w:rPr>
      </w:pPr>
      <w:r>
        <w:rPr>
          <w:rFonts w:hint="eastAsia"/>
          <w:color w:val="000000" w:themeColor="text1"/>
          <w:sz w:val="32"/>
          <w:szCs w:val="32"/>
          <w14:textFill>
            <w14:solidFill>
              <w14:schemeClr w14:val="tx1"/>
            </w14:solidFill>
          </w14:textFill>
        </w:rPr>
        <w:t>监  理  月  报</w:t>
      </w:r>
    </w:p>
    <w:p>
      <w:pPr>
        <w:pStyle w:val="8"/>
        <w:numPr>
          <w:ilvl w:val="0"/>
          <w:numId w:val="1"/>
        </w:numPr>
        <w:spacing w:before="156" w:beforeLines="50" w:after="156" w:afterLines="50" w:line="360" w:lineRule="auto"/>
        <w:ind w:left="612" w:leftChars="0" w:hanging="612"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监理重点工作情况</w:t>
      </w:r>
    </w:p>
    <w:tbl>
      <w:tblPr>
        <w:tblStyle w:val="6"/>
        <w:tblW w:w="956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64"/>
        <w:gridCol w:w="3761"/>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1" w:type="dxa"/>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w:t>
            </w:r>
          </w:p>
        </w:tc>
        <w:tc>
          <w:tcPr>
            <w:tcW w:w="1564" w:type="dxa"/>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3761" w:type="dxa"/>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本月重点工作情况</w:t>
            </w:r>
          </w:p>
        </w:tc>
        <w:tc>
          <w:tcPr>
            <w:tcW w:w="3560" w:type="dxa"/>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下月重点工作计划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1" w:type="dxa"/>
            <w:vAlign w:val="center"/>
          </w:tcPr>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协调</w:t>
            </w:r>
          </w:p>
        </w:tc>
        <w:tc>
          <w:tcPr>
            <w:tcW w:w="1564" w:type="dxa"/>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组织工作</w:t>
            </w:r>
          </w:p>
        </w:tc>
        <w:tc>
          <w:tcPr>
            <w:tcW w:w="3761" w:type="dxa"/>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监理例会召开4期、安全监理例会召开4期，并形成会议纪要交业主方。</w:t>
            </w:r>
          </w:p>
        </w:tc>
        <w:tc>
          <w:tcPr>
            <w:tcW w:w="3560" w:type="dxa"/>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在协调方面进一步沟通业主、EPC总包沟通，各种资料报审签阅办理、对施工现场检查旁站，并现场旁站检查记录。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81" w:type="dxa"/>
            <w:vMerge w:val="restart"/>
            <w:vAlign w:val="center"/>
          </w:tcPr>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进度</w:t>
            </w:r>
          </w:p>
        </w:tc>
        <w:tc>
          <w:tcPr>
            <w:tcW w:w="1564" w:type="dxa"/>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主要工序</w:t>
            </w:r>
          </w:p>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val="en-US" w:eastAsia="zh-CN"/>
              </w:rPr>
              <w:t>工    作</w:t>
            </w:r>
          </w:p>
        </w:tc>
        <w:tc>
          <w:tcPr>
            <w:tcW w:w="3761" w:type="dxa"/>
            <w:vAlign w:val="center"/>
          </w:tcPr>
          <w:p>
            <w:pPr>
              <w:numPr>
                <w:ilvl w:val="0"/>
                <w:numId w:val="2"/>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2022年6月1日到2022年6月30日每天编写的监理工作日志；</w:t>
            </w:r>
          </w:p>
          <w:p>
            <w:pPr>
              <w:numPr>
                <w:ilvl w:val="0"/>
                <w:numId w:val="2"/>
              </w:numPr>
              <w:spacing w:line="360" w:lineRule="auto"/>
              <w:ind w:left="0" w:leftChars="0" w:firstLine="0" w:firstLineChars="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23#、27#风机基础基坑验槽完成；</w:t>
            </w:r>
          </w:p>
          <w:p>
            <w:pPr>
              <w:numPr>
                <w:ilvl w:val="0"/>
                <w:numId w:val="2"/>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督促《监理合同》订立；</w:t>
            </w:r>
          </w:p>
          <w:p>
            <w:pPr>
              <w:numPr>
                <w:ilvl w:val="0"/>
                <w:numId w:val="2"/>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23#、27#风机基础钢筋见证取样送检。</w:t>
            </w:r>
          </w:p>
          <w:p>
            <w:pPr>
              <w:numPr>
                <w:ilvl w:val="0"/>
                <w:numId w:val="2"/>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20#、29#、30#风机道路和基础平台已完成。</w:t>
            </w:r>
          </w:p>
        </w:tc>
        <w:tc>
          <w:tcPr>
            <w:tcW w:w="3560" w:type="dxa"/>
            <w:vAlign w:val="center"/>
          </w:tcPr>
          <w:p>
            <w:pPr>
              <w:numPr>
                <w:ilvl w:val="0"/>
                <w:numId w:val="3"/>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督促《监理合同》和施工合同订立；</w:t>
            </w:r>
          </w:p>
          <w:p>
            <w:pPr>
              <w:numPr>
                <w:ilvl w:val="0"/>
                <w:numId w:val="3"/>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正常开展监理工作。</w:t>
            </w:r>
          </w:p>
          <w:p>
            <w:pPr>
              <w:numPr>
                <w:ilvl w:val="0"/>
                <w:numId w:val="3"/>
              </w:numPr>
              <w:spacing w:line="360" w:lineRule="auto"/>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手续和资金如果到位下个月升压站、集电线路、风机基础能够正常施工；</w:t>
            </w:r>
          </w:p>
          <w:p>
            <w:pPr>
              <w:numPr>
                <w:ilvl w:val="0"/>
                <w:numId w:val="3"/>
              </w:numPr>
              <w:spacing w:line="360" w:lineRule="auto"/>
              <w:ind w:left="0" w:leftChars="0" w:firstLine="0" w:firstLineChars="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项目计划6月30日首台并网；</w:t>
            </w:r>
          </w:p>
          <w:p>
            <w:pPr>
              <w:numPr>
                <w:ilvl w:val="0"/>
                <w:numId w:val="3"/>
              </w:numPr>
              <w:spacing w:line="360" w:lineRule="auto"/>
              <w:ind w:left="0" w:leftChars="0" w:firstLine="0" w:firstLineChars="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12月30日全容量并网。</w:t>
            </w:r>
          </w:p>
          <w:p>
            <w:pPr>
              <w:widowControl w:val="0"/>
              <w:numPr>
                <w:ilvl w:val="0"/>
                <w:numId w:val="0"/>
              </w:numPr>
              <w:spacing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p>
          <w:p>
            <w:pPr>
              <w:widowControl w:val="0"/>
              <w:numPr>
                <w:ilvl w:val="0"/>
                <w:numId w:val="0"/>
              </w:numPr>
              <w:spacing w:line="360" w:lineRule="auto"/>
              <w:jc w:val="both"/>
              <w:rPr>
                <w:rFonts w:hint="default"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81" w:type="dxa"/>
            <w:vMerge w:val="continue"/>
            <w:vAlign w:val="center"/>
          </w:tcPr>
          <w:p>
            <w:pPr>
              <w:spacing w:line="360" w:lineRule="auto"/>
              <w:rPr>
                <w:rFonts w:hint="eastAsia" w:ascii="宋体" w:hAnsi="宋体" w:eastAsia="宋体" w:cs="宋体"/>
                <w:color w:val="FF0000"/>
                <w:sz w:val="21"/>
                <w:szCs w:val="21"/>
              </w:rPr>
            </w:pPr>
          </w:p>
        </w:tc>
        <w:tc>
          <w:tcPr>
            <w:tcW w:w="1564" w:type="dxa"/>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w:t>
            </w:r>
            <w:r>
              <w:rPr>
                <w:rFonts w:hint="eastAsia" w:ascii="宋体" w:hAnsi="宋体" w:eastAsia="宋体" w:cs="宋体"/>
                <w:color w:val="000000" w:themeColor="text1"/>
                <w:sz w:val="21"/>
                <w:szCs w:val="21"/>
                <w:lang w:val="en-US" w:eastAsia="zh-CN"/>
                <w14:textFill>
                  <w14:solidFill>
                    <w14:schemeClr w14:val="tx1"/>
                  </w14:solidFill>
                </w14:textFill>
              </w:rPr>
              <w:t>材料进场情况</w:t>
            </w:r>
          </w:p>
        </w:tc>
        <w:tc>
          <w:tcPr>
            <w:tcW w:w="3761"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23#、27#风机基础钢筋已进场，施工一组和风机施工二组已进场施工，</w:t>
            </w:r>
          </w:p>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p>
        </w:tc>
        <w:tc>
          <w:tcPr>
            <w:tcW w:w="3560"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设备还没有进场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设计交付进度</w:t>
            </w:r>
          </w:p>
        </w:tc>
        <w:tc>
          <w:tcPr>
            <w:tcW w:w="3761"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风机基础图纸都已出来、集电线路图纸完成都已完成交付、还有升压站图纸少部分未出。</w:t>
            </w:r>
          </w:p>
        </w:tc>
        <w:tc>
          <w:tcPr>
            <w:tcW w:w="3560"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预计下月全部完成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质量体系运作情况</w:t>
            </w:r>
          </w:p>
        </w:tc>
        <w:tc>
          <w:tcPr>
            <w:tcW w:w="3761"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质量体系健全，运行良好</w:t>
            </w:r>
          </w:p>
        </w:tc>
        <w:tc>
          <w:tcPr>
            <w:tcW w:w="3560"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落实质量保证体系，并对运行情况进行检查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施工图会审</w:t>
            </w:r>
          </w:p>
        </w:tc>
        <w:tc>
          <w:tcPr>
            <w:tcW w:w="3761"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集电线路和风机基础施工图会审已完成</w:t>
            </w:r>
          </w:p>
        </w:tc>
        <w:tc>
          <w:tcPr>
            <w:tcW w:w="3560"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设计交底</w:t>
            </w:r>
          </w:p>
        </w:tc>
        <w:tc>
          <w:tcPr>
            <w:tcW w:w="3761"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集电线路和风机基础已完成设计交底工作。</w:t>
            </w:r>
          </w:p>
        </w:tc>
        <w:tc>
          <w:tcPr>
            <w:tcW w:w="3560"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方案审查</w:t>
            </w:r>
          </w:p>
        </w:tc>
        <w:tc>
          <w:tcPr>
            <w:tcW w:w="3761"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施工开工资料和部分施工方案未全部报审</w:t>
            </w:r>
          </w:p>
        </w:tc>
        <w:tc>
          <w:tcPr>
            <w:tcW w:w="3560"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技术交底</w:t>
            </w:r>
          </w:p>
        </w:tc>
        <w:tc>
          <w:tcPr>
            <w:tcW w:w="3761" w:type="dxa"/>
            <w:vAlign w:val="center"/>
          </w:tcPr>
          <w:p>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施工技术交底未</w:t>
            </w:r>
            <w:r>
              <w:rPr>
                <w:rFonts w:hint="eastAsia" w:ascii="宋体" w:hAnsi="宋体" w:eastAsia="宋体" w:cs="宋体"/>
                <w:color w:val="000000" w:themeColor="text1"/>
                <w:sz w:val="21"/>
                <w:szCs w:val="21"/>
                <w:lang w:eastAsia="zh-CN"/>
                <w14:textFill>
                  <w14:solidFill>
                    <w14:schemeClr w14:val="tx1"/>
                  </w14:solidFill>
                </w14:textFill>
              </w:rPr>
              <w:t>完成</w:t>
            </w:r>
          </w:p>
        </w:tc>
        <w:tc>
          <w:tcPr>
            <w:tcW w:w="3560"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FF0000"/>
                <w:sz w:val="21"/>
                <w:szCs w:val="21"/>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设计变更</w:t>
            </w:r>
          </w:p>
        </w:tc>
        <w:tc>
          <w:tcPr>
            <w:tcW w:w="3761" w:type="dxa"/>
            <w:vAlign w:val="center"/>
          </w:tcPr>
          <w:p>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无</w:t>
            </w:r>
          </w:p>
        </w:tc>
        <w:tc>
          <w:tcPr>
            <w:tcW w:w="3560"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w:t>
            </w:r>
          </w:p>
        </w:tc>
        <w:tc>
          <w:tcPr>
            <w:tcW w:w="1564" w:type="dxa"/>
            <w:vAlign w:val="center"/>
          </w:tcPr>
          <w:p>
            <w:pPr>
              <w:tabs>
                <w:tab w:val="left" w:pos="990"/>
              </w:tabs>
              <w:spacing w:line="240" w:lineRule="auto"/>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w:t>
            </w:r>
            <w:r>
              <w:rPr>
                <w:rFonts w:hint="eastAsia" w:ascii="宋体" w:hAnsi="宋体" w:eastAsia="宋体" w:cs="宋体"/>
                <w:color w:val="000000" w:themeColor="text1"/>
                <w:sz w:val="21"/>
                <w:szCs w:val="21"/>
                <w:lang w:val="en-US" w:eastAsia="zh-CN"/>
                <w14:textFill>
                  <w14:solidFill>
                    <w14:schemeClr w14:val="tx1"/>
                  </w14:solidFill>
                </w14:textFill>
              </w:rPr>
              <w:t>月活动开展情况</w:t>
            </w:r>
          </w:p>
        </w:tc>
        <w:tc>
          <w:tcPr>
            <w:tcW w:w="3761"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今年是国家第21个</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遵守安全生产法，当好第一责任人；本月6月1日项目部召开启动会，并形成会议纪要。</w:t>
            </w:r>
          </w:p>
        </w:tc>
        <w:tc>
          <w:tcPr>
            <w:tcW w:w="3560"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以安全月的思想为动力、积极开展基坑四周的临边防护，基坑上方落石防止措施，防署降温，防疫的工作。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培训情况</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安全交底情况</w:t>
            </w:r>
          </w:p>
        </w:tc>
        <w:tc>
          <w:tcPr>
            <w:tcW w:w="3761"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本月进行《安全监理例会》一期，并</w:t>
            </w:r>
            <w:r>
              <w:rPr>
                <w:rFonts w:hint="eastAsia" w:ascii="宋体" w:hAnsi="宋体" w:eastAsia="宋体" w:cs="宋体"/>
                <w:color w:val="000000" w:themeColor="text1"/>
                <w:sz w:val="21"/>
                <w:szCs w:val="21"/>
                <w14:textFill>
                  <w14:solidFill>
                    <w14:schemeClr w14:val="tx1"/>
                  </w14:solidFill>
                </w14:textFill>
              </w:rPr>
              <w:t>督促施工单位对危险作业点进行班前交底</w:t>
            </w:r>
          </w:p>
        </w:tc>
        <w:tc>
          <w:tcPr>
            <w:tcW w:w="3560"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继续督促施工单位进行班前交底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安全措施落实情况</w:t>
            </w:r>
          </w:p>
        </w:tc>
        <w:tc>
          <w:tcPr>
            <w:tcW w:w="3761"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场地防护栏杆安装要求施工方落实到位</w:t>
            </w:r>
          </w:p>
        </w:tc>
        <w:tc>
          <w:tcPr>
            <w:tcW w:w="3560"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防火、防高处坠落措施、安全警示加强管理。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安全文明施工情况</w:t>
            </w:r>
          </w:p>
        </w:tc>
        <w:tc>
          <w:tcPr>
            <w:tcW w:w="3761"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现场安全、文明</w:t>
            </w:r>
            <w:r>
              <w:rPr>
                <w:rFonts w:hint="eastAsia" w:ascii="宋体" w:hAnsi="宋体" w:eastAsia="宋体" w:cs="宋体"/>
                <w:color w:val="000000" w:themeColor="text1"/>
                <w:sz w:val="21"/>
                <w:szCs w:val="21"/>
                <w:lang w:val="en-US" w:eastAsia="zh-CN"/>
                <w14:textFill>
                  <w14:solidFill>
                    <w14:schemeClr w14:val="tx1"/>
                  </w14:solidFill>
                </w14:textFill>
              </w:rPr>
              <w:t>施工还不够到位。</w:t>
            </w:r>
          </w:p>
        </w:tc>
        <w:tc>
          <w:tcPr>
            <w:tcW w:w="3560"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加强现场安全管理力度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1" w:type="dxa"/>
            <w:vMerge w:val="restart"/>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w:t>
            </w: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主要工序质量</w:t>
            </w:r>
          </w:p>
        </w:tc>
        <w:tc>
          <w:tcPr>
            <w:tcW w:w="3761"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现阶段，要求质量严格按照业主要求监管。</w:t>
            </w:r>
          </w:p>
        </w:tc>
        <w:tc>
          <w:tcPr>
            <w:tcW w:w="3560"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强制性质量问题绝不放过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564"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w:t>
            </w:r>
            <w:r>
              <w:rPr>
                <w:rFonts w:hint="eastAsia" w:ascii="宋体" w:hAnsi="宋体" w:eastAsia="宋体" w:cs="宋体"/>
                <w:color w:val="000000" w:themeColor="text1"/>
                <w:sz w:val="21"/>
                <w:szCs w:val="21"/>
                <w:lang w:val="en-US" w:eastAsia="zh-CN"/>
                <w14:textFill>
                  <w14:solidFill>
                    <w14:schemeClr w14:val="tx1"/>
                  </w14:solidFill>
                </w14:textFill>
              </w:rPr>
              <w:t>钢筋</w:t>
            </w:r>
            <w:r>
              <w:rPr>
                <w:rFonts w:hint="eastAsia" w:ascii="宋体" w:hAnsi="宋体" w:eastAsia="宋体" w:cs="宋体"/>
                <w:color w:val="000000" w:themeColor="text1"/>
                <w:sz w:val="21"/>
                <w:szCs w:val="21"/>
                <w14:textFill>
                  <w14:solidFill>
                    <w14:schemeClr w14:val="tx1"/>
                  </w14:solidFill>
                </w14:textFill>
              </w:rPr>
              <w:t>原材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风机锚栓、高强度螺母见证取样送检。</w:t>
            </w:r>
          </w:p>
        </w:tc>
        <w:tc>
          <w:tcPr>
            <w:tcW w:w="3761"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本月对三批次的风机锚栓、高强度螺母进行见证取样送检。</w:t>
            </w:r>
          </w:p>
        </w:tc>
        <w:tc>
          <w:tcPr>
            <w:tcW w:w="3560" w:type="dxa"/>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下月对进场钢筋材料进场见证取样送检工作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构（配）件质量</w:t>
            </w:r>
          </w:p>
        </w:tc>
        <w:tc>
          <w:tcPr>
            <w:tcW w:w="3761"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把控好进场材料质量关</w:t>
            </w:r>
          </w:p>
        </w:tc>
        <w:tc>
          <w:tcPr>
            <w:tcW w:w="3560"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严抓构配件质量问题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81" w:type="dxa"/>
            <w:vMerge w:val="continue"/>
            <w:vAlign w:val="center"/>
          </w:tcPr>
          <w:p>
            <w:pPr>
              <w:spacing w:line="240" w:lineRule="auto"/>
              <w:rPr>
                <w:rFonts w:hint="eastAsia" w:ascii="宋体" w:hAnsi="宋体" w:eastAsia="宋体" w:cs="宋体"/>
                <w:color w:val="FF0000"/>
                <w:sz w:val="21"/>
                <w:szCs w:val="21"/>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设备质量</w:t>
            </w:r>
          </w:p>
        </w:tc>
        <w:tc>
          <w:tcPr>
            <w:tcW w:w="3761"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目前未进场</w:t>
            </w:r>
          </w:p>
        </w:tc>
        <w:tc>
          <w:tcPr>
            <w:tcW w:w="3560"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pPr>
              <w:spacing w:line="240" w:lineRule="auto"/>
              <w:rPr>
                <w:rFonts w:hint="eastAsia" w:ascii="宋体" w:hAnsi="宋体" w:eastAsia="宋体" w:cs="宋体"/>
                <w:color w:val="FF0000"/>
                <w:sz w:val="21"/>
                <w:szCs w:val="21"/>
              </w:rPr>
            </w:pPr>
          </w:p>
        </w:tc>
        <w:tc>
          <w:tcPr>
            <w:tcW w:w="1564"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质量验评情况</w:t>
            </w:r>
          </w:p>
        </w:tc>
        <w:tc>
          <w:tcPr>
            <w:tcW w:w="3761" w:type="dxa"/>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不符合设计要求的地方，要求施工方进行整改</w:t>
            </w:r>
          </w:p>
        </w:tc>
        <w:tc>
          <w:tcPr>
            <w:tcW w:w="3560" w:type="dxa"/>
            <w:vAlign w:val="center"/>
          </w:tcPr>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p>
        </w:tc>
      </w:tr>
    </w:tbl>
    <w:p>
      <w:pPr>
        <w:pStyle w:val="8"/>
        <w:widowControl w:val="0"/>
        <w:numPr>
          <w:ilvl w:val="0"/>
          <w:numId w:val="1"/>
        </w:numPr>
        <w:spacing w:before="156" w:beforeLines="50" w:after="156" w:afterLines="50" w:line="360" w:lineRule="auto"/>
        <w:ind w:left="612" w:leftChars="0" w:hanging="612"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工程存在的问题和建议</w:t>
      </w:r>
    </w:p>
    <w:p>
      <w:pPr>
        <w:pStyle w:val="8"/>
        <w:widowControl w:val="0"/>
        <w:numPr>
          <w:ilvl w:val="0"/>
          <w:numId w:val="4"/>
        </w:numPr>
        <w:spacing w:before="156" w:beforeLines="50" w:after="156" w:afterLines="50" w:line="360" w:lineRule="auto"/>
        <w:ind w:left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业主方赞皇蓝源风力发电有限公司和EPC总包中国电建集团湖北工程有限公司正在加快对影响工程进度各种手续和工程使用资金的协调工作；监理项目部要求总包单位现场项目部对现场存在的问题及时向相关的上级领导沟通汇报，能够及时解决问题；</w:t>
      </w:r>
    </w:p>
    <w:p>
      <w:pPr>
        <w:pStyle w:val="8"/>
        <w:widowControl w:val="0"/>
        <w:numPr>
          <w:ilvl w:val="0"/>
          <w:numId w:val="4"/>
        </w:numPr>
        <w:spacing w:before="156" w:beforeLines="50" w:after="156" w:afterLines="50" w:line="360" w:lineRule="auto"/>
        <w:ind w:left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《监理合同》还没有完全订立完成，预计下月完成。</w:t>
      </w:r>
    </w:p>
    <w:p>
      <w:pPr>
        <w:pStyle w:val="8"/>
        <w:widowControl w:val="0"/>
        <w:numPr>
          <w:ilvl w:val="0"/>
          <w:numId w:val="1"/>
        </w:numPr>
        <w:spacing w:before="156" w:beforeLines="50" w:after="156" w:afterLines="50" w:line="360" w:lineRule="auto"/>
        <w:ind w:left="612" w:leftChars="0" w:hanging="612"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下月监理工作重点</w:t>
      </w:r>
    </w:p>
    <w:p>
      <w:pPr>
        <w:pStyle w:val="8"/>
        <w:widowControl w:val="0"/>
        <w:numPr>
          <w:ilvl w:val="0"/>
          <w:numId w:val="5"/>
        </w:numPr>
        <w:spacing w:before="156" w:beforeLines="50" w:after="156" w:afterLines="50" w:line="360" w:lineRule="auto"/>
        <w:ind w:left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督促完成施工总包的施工方案报审工作；</w:t>
      </w:r>
    </w:p>
    <w:p>
      <w:pPr>
        <w:pStyle w:val="8"/>
        <w:widowControl w:val="0"/>
        <w:numPr>
          <w:ilvl w:val="0"/>
          <w:numId w:val="5"/>
        </w:numPr>
        <w:spacing w:before="156" w:beforeLines="50" w:after="156" w:afterLines="50" w:line="360" w:lineRule="auto"/>
        <w:ind w:left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本项目施工监理过程资料编制工作与项目施工进度同步；</w:t>
      </w:r>
    </w:p>
    <w:p>
      <w:pPr>
        <w:pStyle w:val="8"/>
        <w:widowControl w:val="0"/>
        <w:numPr>
          <w:ilvl w:val="0"/>
          <w:numId w:val="5"/>
        </w:numPr>
        <w:spacing w:before="156" w:beforeLines="50" w:after="156" w:afterLines="50" w:line="360" w:lineRule="auto"/>
        <w:ind w:left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督促施工单位对施工现场进行规范化管理；</w:t>
      </w:r>
    </w:p>
    <w:p>
      <w:pPr>
        <w:pStyle w:val="8"/>
        <w:widowControl w:val="0"/>
        <w:numPr>
          <w:ilvl w:val="0"/>
          <w:numId w:val="5"/>
        </w:numPr>
        <w:spacing w:before="156" w:beforeLines="50" w:after="156" w:afterLines="50" w:line="360" w:lineRule="auto"/>
        <w:ind w:left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项目监理人员要加强各种规范、制度的学习和自身监理技术水平的提高。</w:t>
      </w:r>
    </w:p>
    <w:p>
      <w:pPr>
        <w:pStyle w:val="8"/>
        <w:widowControl w:val="0"/>
        <w:numPr>
          <w:ilvl w:val="0"/>
          <w:numId w:val="5"/>
        </w:numPr>
        <w:spacing w:before="156" w:beforeLines="50" w:after="156" w:afterLines="50" w:line="240" w:lineRule="auto"/>
        <w:ind w:leftChars="0"/>
        <w:jc w:val="left"/>
        <w:rPr>
          <w:rFonts w:hint="default"/>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主持召开好《监理例会》和《安全监理例会》会议工作，工程上的问题能够在会上能够得到落实和处理。</w:t>
      </w:r>
    </w:p>
    <w:p>
      <w:pPr>
        <w:pStyle w:val="8"/>
        <w:widowControl w:val="0"/>
        <w:numPr>
          <w:ilvl w:val="0"/>
          <w:numId w:val="1"/>
        </w:numPr>
        <w:spacing w:before="156" w:beforeLines="50" w:after="156" w:afterLines="50" w:line="240" w:lineRule="auto"/>
        <w:ind w:left="612" w:leftChars="0" w:hanging="612" w:firstLineChars="0"/>
        <w:jc w:val="left"/>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现场图片</w:t>
      </w:r>
      <w:r>
        <w:rPr>
          <w:rFonts w:hint="eastAsia"/>
          <w:color w:val="000000" w:themeColor="text1"/>
          <w:sz w:val="24"/>
          <w:szCs w:val="24"/>
          <w:lang w:val="en-US" w:eastAsia="zh-CN"/>
          <w14:textFill>
            <w14:solidFill>
              <w14:schemeClr w14:val="tx1"/>
            </w14:solidFill>
          </w14:textFill>
        </w:rPr>
        <w:t xml:space="preserve">  </w:t>
      </w:r>
    </w:p>
    <w:p>
      <w:pPr>
        <w:pStyle w:val="8"/>
        <w:widowControl w:val="0"/>
        <w:numPr>
          <w:ilvl w:val="0"/>
          <w:numId w:val="0"/>
        </w:numPr>
        <w:spacing w:before="156" w:beforeLines="50" w:after="156" w:afterLines="50" w:line="240" w:lineRule="auto"/>
        <w:ind w:leftChars="0"/>
        <w:jc w:val="lef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p>
    <w:p>
      <w:pPr>
        <w:pStyle w:val="8"/>
        <w:widowControl w:val="0"/>
        <w:numPr>
          <w:ilvl w:val="0"/>
          <w:numId w:val="0"/>
        </w:numPr>
        <w:spacing w:before="156" w:beforeLines="50" w:after="156" w:afterLines="50" w:line="240" w:lineRule="auto"/>
        <w:ind w:leftChars="0" w:firstLine="720" w:firstLineChars="300"/>
        <w:jc w:val="left"/>
        <w:rPr>
          <w:rFonts w:hint="eastAsia"/>
          <w:color w:val="000000" w:themeColor="text1"/>
          <w:sz w:val="24"/>
          <w:szCs w:val="24"/>
          <w:lang w:val="en-US" w:eastAsia="zh-CN"/>
          <w14:textFill>
            <w14:solidFill>
              <w14:schemeClr w14:val="tx1"/>
            </w14:solidFill>
          </w14:textFill>
        </w:rPr>
      </w:pPr>
    </w:p>
    <w:p>
      <w:pPr>
        <w:pStyle w:val="8"/>
        <w:widowControl w:val="0"/>
        <w:numPr>
          <w:ilvl w:val="0"/>
          <w:numId w:val="0"/>
        </w:numPr>
        <w:spacing w:before="156" w:beforeLines="50" w:after="156" w:afterLines="50" w:line="240" w:lineRule="auto"/>
        <w:ind w:leftChars="0" w:firstLine="720" w:firstLineChars="300"/>
        <w:jc w:val="left"/>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1、安全月活动启动会</w:t>
      </w:r>
    </w:p>
    <w:p>
      <w:pPr>
        <w:spacing w:before="1092" w:beforeLines="350" w:line="240" w:lineRule="auto"/>
        <w:jc w:val="both"/>
        <w:rPr>
          <w:rFonts w:hint="default"/>
          <w:color w:val="000000" w:themeColor="text1"/>
          <w:sz w:val="24"/>
          <w:szCs w:val="24"/>
          <w:vertAlign w:val="baseline"/>
          <w:lang w:val="en-US" w:eastAsia="zh-CN"/>
          <w14:textFill>
            <w14:solidFill>
              <w14:schemeClr w14:val="tx1"/>
            </w14:solidFill>
          </w14:textFill>
        </w:rPr>
      </w:pPr>
      <w:r>
        <w:rPr>
          <w:rFonts w:hint="default"/>
          <w:color w:val="000000" w:themeColor="text1"/>
          <w:sz w:val="24"/>
          <w:szCs w:val="24"/>
          <w:vertAlign w:val="baseline"/>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422275</wp:posOffset>
            </wp:positionH>
            <wp:positionV relativeFrom="paragraph">
              <wp:posOffset>73660</wp:posOffset>
            </wp:positionV>
            <wp:extent cx="5473065" cy="3112770"/>
            <wp:effectExtent l="0" t="0" r="13335" b="11430"/>
            <wp:wrapTight wrapText="bothSides">
              <wp:wrapPolygon>
                <wp:start x="0" y="0"/>
                <wp:lineTo x="0" y="21415"/>
                <wp:lineTo x="21502" y="21415"/>
                <wp:lineTo x="21502" y="0"/>
                <wp:lineTo x="0" y="0"/>
              </wp:wrapPolygon>
            </wp:wrapTight>
            <wp:docPr id="8" name="图片 8" descr="8b5722fbdb563dc06a1c619bfdb41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b5722fbdb563dc06a1c619bfdb41c6"/>
                    <pic:cNvPicPr>
                      <a:picLocks noChangeAspect="1"/>
                    </pic:cNvPicPr>
                  </pic:nvPicPr>
                  <pic:blipFill>
                    <a:blip r:embed="rId8"/>
                    <a:stretch>
                      <a:fillRect/>
                    </a:stretch>
                  </pic:blipFill>
                  <pic:spPr>
                    <a:xfrm>
                      <a:off x="0" y="0"/>
                      <a:ext cx="5473065" cy="3112770"/>
                    </a:xfrm>
                    <a:prstGeom prst="rect">
                      <a:avLst/>
                    </a:prstGeom>
                  </pic:spPr>
                </pic:pic>
              </a:graphicData>
            </a:graphic>
          </wp:anchor>
        </w:drawing>
      </w:r>
    </w:p>
    <w:p>
      <w:pPr>
        <w:spacing w:before="1092" w:beforeLines="350" w:line="240" w:lineRule="auto"/>
        <w:jc w:val="both"/>
        <w:rPr>
          <w:rFonts w:hint="default"/>
          <w:color w:val="000000" w:themeColor="text1"/>
          <w:sz w:val="24"/>
          <w:szCs w:val="24"/>
          <w:vertAlign w:val="baseline"/>
          <w:lang w:val="en-US" w:eastAsia="zh-CN"/>
          <w14:textFill>
            <w14:solidFill>
              <w14:schemeClr w14:val="tx1"/>
            </w14:solidFill>
          </w14:textFill>
        </w:rPr>
      </w:pPr>
    </w:p>
    <w:p>
      <w:pPr>
        <w:spacing w:before="1092" w:beforeLines="350" w:line="240" w:lineRule="auto"/>
        <w:jc w:val="both"/>
        <w:rPr>
          <w:rFonts w:hint="default"/>
          <w:color w:val="000000" w:themeColor="text1"/>
          <w:sz w:val="24"/>
          <w:szCs w:val="24"/>
          <w:vertAlign w:val="baseline"/>
          <w:lang w:val="en-US" w:eastAsia="zh-CN"/>
          <w14:textFill>
            <w14:solidFill>
              <w14:schemeClr w14:val="tx1"/>
            </w14:solidFill>
          </w14:textFill>
        </w:rPr>
      </w:pPr>
    </w:p>
    <w:p>
      <w:pPr>
        <w:spacing w:before="1092" w:beforeLines="350" w:line="240" w:lineRule="auto"/>
        <w:ind w:firstLine="720" w:firstLineChars="300"/>
        <w:jc w:val="both"/>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2、第四期监理例会和安全监理例会召开</w:t>
      </w:r>
    </w:p>
    <w:p>
      <w:pPr>
        <w:spacing w:before="1092" w:beforeLines="350" w:line="240" w:lineRule="auto"/>
        <w:jc w:val="both"/>
        <w:rPr>
          <w:rFonts w:hint="eastAsia"/>
          <w:color w:val="000000" w:themeColor="text1"/>
          <w:sz w:val="24"/>
          <w:szCs w:val="24"/>
          <w:vertAlign w:val="baseline"/>
          <w:lang w:val="en-US" w:eastAsia="zh-CN"/>
          <w14:textFill>
            <w14:solidFill>
              <w14:schemeClr w14:val="tx1"/>
            </w14:solidFill>
          </w14:textFill>
        </w:rPr>
      </w:pPr>
      <w:r>
        <w:rPr>
          <w:rFonts w:hint="default"/>
          <w:color w:val="000000" w:themeColor="text1"/>
          <w:sz w:val="24"/>
          <w:szCs w:val="24"/>
          <w:vertAlign w:val="baseline"/>
          <w:lang w:val="en-US"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367665</wp:posOffset>
            </wp:positionH>
            <wp:positionV relativeFrom="paragraph">
              <wp:posOffset>226060</wp:posOffset>
            </wp:positionV>
            <wp:extent cx="5561330" cy="3288030"/>
            <wp:effectExtent l="0" t="0" r="0" b="7620"/>
            <wp:wrapTight wrapText="bothSides">
              <wp:wrapPolygon>
                <wp:start x="0" y="0"/>
                <wp:lineTo x="0" y="21525"/>
                <wp:lineTo x="21531" y="21525"/>
                <wp:lineTo x="21531" y="0"/>
                <wp:lineTo x="0" y="0"/>
              </wp:wrapPolygon>
            </wp:wrapTight>
            <wp:docPr id="3" name="图片 3" descr="057b94e772f34fe76eb83c2ad28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7b94e772f34fe76eb83c2ad286754"/>
                    <pic:cNvPicPr>
                      <a:picLocks noChangeAspect="1"/>
                    </pic:cNvPicPr>
                  </pic:nvPicPr>
                  <pic:blipFill>
                    <a:blip r:embed="rId9"/>
                    <a:stretch>
                      <a:fillRect/>
                    </a:stretch>
                  </pic:blipFill>
                  <pic:spPr>
                    <a:xfrm>
                      <a:off x="0" y="0"/>
                      <a:ext cx="5561330" cy="3288030"/>
                    </a:xfrm>
                    <a:prstGeom prst="rect">
                      <a:avLst/>
                    </a:prstGeom>
                  </pic:spPr>
                </pic:pic>
              </a:graphicData>
            </a:graphic>
          </wp:anchor>
        </w:drawing>
      </w:r>
    </w:p>
    <w:p>
      <w:pPr>
        <w:spacing w:before="1092" w:beforeLines="350" w:line="240" w:lineRule="auto"/>
        <w:jc w:val="both"/>
        <w:rPr>
          <w:rFonts w:hint="eastAsia"/>
          <w:b w:val="0"/>
          <w:bCs w:val="0"/>
          <w:color w:val="000000" w:themeColor="text1"/>
          <w:sz w:val="24"/>
          <w:szCs w:val="24"/>
          <w14:textFill>
            <w14:solidFill>
              <w14:schemeClr w14:val="tx1"/>
            </w14:solidFill>
          </w14:textFill>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jc w:val="both"/>
        <w:rPr>
          <w:rFonts w:hint="default"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 xml:space="preserve">    3、27#风机基础开挖现场检查</w:t>
      </w: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drawing>
          <wp:anchor distT="0" distB="0" distL="114300" distR="114300" simplePos="0" relativeHeight="251661312" behindDoc="1" locked="0" layoutInCell="1" allowOverlap="1">
            <wp:simplePos x="0" y="0"/>
            <wp:positionH relativeFrom="column">
              <wp:posOffset>243840</wp:posOffset>
            </wp:positionH>
            <wp:positionV relativeFrom="paragraph">
              <wp:posOffset>41275</wp:posOffset>
            </wp:positionV>
            <wp:extent cx="5556885" cy="3161665"/>
            <wp:effectExtent l="0" t="0" r="5715" b="635"/>
            <wp:wrapNone/>
            <wp:docPr id="4" name="图片 4" descr="5b13747a580d7dd8b55a3116a7cc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b13747a580d7dd8b55a3116a7cc531"/>
                    <pic:cNvPicPr>
                      <a:picLocks noChangeAspect="1"/>
                    </pic:cNvPicPr>
                  </pic:nvPicPr>
                  <pic:blipFill>
                    <a:blip r:embed="rId10"/>
                    <a:stretch>
                      <a:fillRect/>
                    </a:stretch>
                  </pic:blipFill>
                  <pic:spPr>
                    <a:xfrm>
                      <a:off x="0" y="0"/>
                      <a:ext cx="5556885" cy="3161665"/>
                    </a:xfrm>
                    <a:prstGeom prst="rect">
                      <a:avLst/>
                    </a:prstGeom>
                  </pic:spPr>
                </pic:pic>
              </a:graphicData>
            </a:graphic>
          </wp:anchor>
        </w:drawing>
      </w: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1" w:firstLineChars="100"/>
        <w:jc w:val="both"/>
        <w:rPr>
          <w:rFonts w:hint="default" w:ascii="宋体" w:hAnsi="宋体" w:eastAsia="宋体" w:cs="宋体"/>
          <w:b w:val="0"/>
          <w:bCs w:val="0"/>
          <w:i w:val="0"/>
          <w:iCs w:val="0"/>
          <w:sz w:val="24"/>
          <w:szCs w:val="24"/>
          <w:u w:val="none"/>
          <w:lang w:val="en-US" w:eastAsia="zh-CN"/>
        </w:rPr>
      </w:pPr>
      <w:r>
        <w:rPr>
          <w:rFonts w:hint="eastAsia"/>
          <w:color w:val="000000" w:themeColor="text1"/>
          <w:sz w:val="24"/>
          <w:szCs w:val="24"/>
          <w:vertAlign w:val="baseline"/>
          <w:lang w:val="en-US"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174625</wp:posOffset>
            </wp:positionH>
            <wp:positionV relativeFrom="paragraph">
              <wp:posOffset>295910</wp:posOffset>
            </wp:positionV>
            <wp:extent cx="5607050" cy="3405505"/>
            <wp:effectExtent l="0" t="0" r="12700" b="4445"/>
            <wp:wrapNone/>
            <wp:docPr id="1" name="图片 1" descr="ad4cc40cfdfe8b2123a920548613b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4cc40cfdfe8b2123a920548613bd6"/>
                    <pic:cNvPicPr>
                      <a:picLocks noChangeAspect="1"/>
                    </pic:cNvPicPr>
                  </pic:nvPicPr>
                  <pic:blipFill>
                    <a:blip r:embed="rId11"/>
                    <a:stretch>
                      <a:fillRect/>
                    </a:stretch>
                  </pic:blipFill>
                  <pic:spPr>
                    <a:xfrm>
                      <a:off x="0" y="0"/>
                      <a:ext cx="5607050" cy="3405505"/>
                    </a:xfrm>
                    <a:prstGeom prst="rect">
                      <a:avLst/>
                    </a:prstGeom>
                  </pic:spPr>
                </pic:pic>
              </a:graphicData>
            </a:graphic>
          </wp:anchor>
        </w:drawing>
      </w:r>
      <w:r>
        <w:rPr>
          <w:rFonts w:hint="eastAsia" w:ascii="宋体" w:hAnsi="宋体" w:eastAsia="宋体" w:cs="宋体"/>
          <w:b w:val="0"/>
          <w:bCs w:val="0"/>
          <w:i w:val="0"/>
          <w:iCs w:val="0"/>
          <w:sz w:val="24"/>
          <w:szCs w:val="24"/>
          <w:u w:val="none"/>
          <w:lang w:val="en-US" w:eastAsia="zh-CN"/>
        </w:rPr>
        <w:t xml:space="preserve"> 4、风机检查钢筋加工料场检查</w:t>
      </w:r>
    </w:p>
    <w:p>
      <w:pPr>
        <w:pStyle w:val="2"/>
        <w:spacing w:before="156" w:after="120"/>
        <w:jc w:val="both"/>
        <w:rPr>
          <w:rFonts w:hint="eastAsia" w:ascii="宋体" w:hAnsi="宋体" w:eastAsia="宋体" w:cs="宋体"/>
          <w:b w:val="0"/>
          <w:bCs w:val="0"/>
          <w:i w:val="0"/>
          <w:iCs w:val="0"/>
          <w:sz w:val="24"/>
          <w:szCs w:val="24"/>
          <w:u w:val="none"/>
          <w:lang w:val="en-US" w:eastAsia="zh-CN"/>
        </w:rPr>
      </w:pPr>
    </w:p>
    <w:p>
      <w:pPr>
        <w:pStyle w:val="2"/>
        <w:spacing w:before="156" w:after="120"/>
        <w:jc w:val="both"/>
        <w:rPr>
          <w:rFonts w:hint="default" w:ascii="宋体" w:hAnsi="宋体" w:eastAsia="宋体" w:cs="宋体"/>
          <w:b w:val="0"/>
          <w:bCs w:val="0"/>
          <w:i w:val="0"/>
          <w:iCs w:val="0"/>
          <w:sz w:val="24"/>
          <w:szCs w:val="24"/>
          <w:u w:val="none"/>
          <w:lang w:val="en-US" w:eastAsia="zh-CN"/>
        </w:rPr>
      </w:pPr>
    </w:p>
    <w:p>
      <w:pPr>
        <w:pStyle w:val="2"/>
        <w:spacing w:before="156" w:after="120"/>
        <w:jc w:val="both"/>
        <w:rPr>
          <w:rFonts w:hint="eastAsia" w:ascii="宋体" w:hAnsi="宋体" w:eastAsia="宋体" w:cs="宋体"/>
          <w:b w:val="0"/>
          <w:bCs w:val="0"/>
          <w:i w:val="0"/>
          <w:iCs w:val="0"/>
          <w:sz w:val="24"/>
          <w:szCs w:val="24"/>
          <w:u w:val="none"/>
          <w:lang w:val="en-US" w:eastAsia="zh-CN"/>
        </w:rPr>
      </w:pPr>
    </w:p>
    <w:p>
      <w:pPr>
        <w:pStyle w:val="2"/>
        <w:spacing w:before="156" w:after="120"/>
        <w:jc w:val="both"/>
        <w:rPr>
          <w:rFonts w:hint="eastAsia" w:ascii="宋体" w:hAnsi="宋体" w:eastAsia="宋体" w:cs="宋体"/>
          <w:b w:val="0"/>
          <w:bCs w:val="0"/>
          <w:i w:val="0"/>
          <w:iCs w:val="0"/>
          <w:sz w:val="24"/>
          <w:szCs w:val="24"/>
          <w:u w:val="none"/>
          <w:lang w:val="en-US" w:eastAsia="zh-CN"/>
        </w:rPr>
      </w:pPr>
    </w:p>
    <w:p>
      <w:pPr>
        <w:pStyle w:val="2"/>
        <w:spacing w:before="156" w:after="120"/>
        <w:jc w:val="both"/>
        <w:rPr>
          <w:rFonts w:hint="eastAsia" w:ascii="宋体" w:hAnsi="宋体" w:eastAsia="宋体" w:cs="宋体"/>
          <w:b w:val="0"/>
          <w:bCs w:val="0"/>
          <w:i w:val="0"/>
          <w:iCs w:val="0"/>
          <w:sz w:val="24"/>
          <w:szCs w:val="24"/>
          <w:u w:val="none"/>
          <w:lang w:val="en-US" w:eastAsia="zh-CN"/>
        </w:rPr>
      </w:pPr>
    </w:p>
    <w:p>
      <w:pPr>
        <w:pStyle w:val="2"/>
        <w:spacing w:before="156" w:after="120"/>
        <w:jc w:val="both"/>
        <w:rPr>
          <w:rFonts w:hint="eastAsia" w:ascii="宋体" w:hAnsi="宋体" w:eastAsia="宋体" w:cs="宋体"/>
          <w:b w:val="0"/>
          <w:bCs w:val="0"/>
          <w:i w:val="0"/>
          <w:iCs w:val="0"/>
          <w:sz w:val="24"/>
          <w:szCs w:val="24"/>
          <w:u w:val="none"/>
          <w:lang w:val="en-US" w:eastAsia="zh-CN"/>
        </w:rPr>
      </w:pPr>
    </w:p>
    <w:p>
      <w:pPr>
        <w:pStyle w:val="2"/>
        <w:spacing w:before="156" w:after="12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ind w:firstLine="2400" w:firstLineChars="1000"/>
        <w:jc w:val="both"/>
        <w:rPr>
          <w:rFonts w:hint="eastAsia" w:ascii="宋体" w:hAnsi="宋体" w:eastAsia="宋体" w:cs="宋体"/>
          <w:b w:val="0"/>
          <w:bCs w:val="0"/>
          <w:i w:val="0"/>
          <w:iCs w:val="0"/>
          <w:sz w:val="24"/>
          <w:szCs w:val="24"/>
          <w:u w:val="none"/>
          <w:lang w:val="en-US" w:eastAsia="zh-CN"/>
        </w:rPr>
      </w:pPr>
    </w:p>
    <w:p>
      <w:pPr>
        <w:pStyle w:val="2"/>
        <w:spacing w:before="156" w:after="120"/>
        <w:jc w:val="center"/>
        <w:rPr>
          <w:b w:val="0"/>
          <w:bCs w:val="0"/>
          <w:sz w:val="24"/>
          <w:szCs w:val="24"/>
          <w:lang w:val="en-US"/>
        </w:rPr>
      </w:pPr>
      <w:r>
        <w:rPr>
          <w:rFonts w:hint="eastAsia" w:ascii="宋体" w:hAnsi="宋体" w:eastAsia="宋体" w:cs="宋体"/>
          <w:b w:val="0"/>
          <w:bCs w:val="0"/>
          <w:i w:val="0"/>
          <w:iCs w:val="0"/>
          <w:sz w:val="24"/>
          <w:szCs w:val="24"/>
          <w:u w:val="none"/>
          <w:lang w:val="en-US" w:eastAsia="zh-CN"/>
        </w:rPr>
        <w:t xml:space="preserve"> 常州正衡电力工程监理有限公司赞皇40万千瓦一期20万千瓦风电项目 （本期10万千瓦）</w:t>
      </w:r>
    </w:p>
    <w:p>
      <w:pPr>
        <w:spacing w:before="312" w:beforeLines="100" w:after="468" w:afterLines="150" w:line="240" w:lineRule="auto"/>
        <w:jc w:val="center"/>
        <w:rPr>
          <w:rFonts w:hint="eastAsia" w:ascii="宋体" w:hAnsi="宋体" w:eastAsia="宋体" w:cs="宋体"/>
          <w:b w:val="0"/>
          <w:bCs w:val="0"/>
          <w:i w:val="0"/>
          <w:iCs w:val="0"/>
          <w:sz w:val="24"/>
          <w:szCs w:val="24"/>
          <w:u w:val="none"/>
          <w:lang w:val="en-US" w:eastAsia="zh-CN"/>
        </w:rPr>
      </w:pPr>
      <w:r>
        <w:rPr>
          <w:rFonts w:hint="eastAsia" w:asciiTheme="minorEastAsia" w:hAnsiTheme="minorEastAsia" w:eastAsiaTheme="minorEastAsia" w:cstheme="minorEastAsia"/>
          <w:b w:val="0"/>
          <w:bCs w:val="0"/>
          <w:i w:val="0"/>
          <w:iCs w:val="0"/>
          <w:sz w:val="24"/>
          <w:szCs w:val="24"/>
          <w:u w:val="none"/>
          <w:lang w:val="en-US" w:eastAsia="zh-CN"/>
        </w:rPr>
        <w:t>监理部</w:t>
      </w:r>
      <w:r>
        <w:rPr>
          <w:rFonts w:hint="eastAsia" w:asciiTheme="minorEastAsia" w:hAnsiTheme="minorEastAsia" w:cstheme="minorEastAsia"/>
          <w:b w:val="0"/>
          <w:bCs w:val="0"/>
          <w:i w:val="0"/>
          <w:iCs w:val="0"/>
          <w:sz w:val="24"/>
          <w:szCs w:val="24"/>
          <w:u w:val="none"/>
          <w:lang w:val="en-US" w:eastAsia="zh-CN"/>
        </w:rPr>
        <w:t xml:space="preserve">   </w:t>
      </w:r>
      <w:r>
        <w:rPr>
          <w:rFonts w:hint="eastAsia"/>
          <w:color w:val="000000" w:themeColor="text1"/>
          <w:sz w:val="28"/>
          <w:szCs w:val="28"/>
          <w14:textFill>
            <w14:solidFill>
              <w14:schemeClr w14:val="tx1"/>
            </w14:solidFill>
          </w14:textFill>
        </w:rPr>
        <w:t>20</w:t>
      </w:r>
      <w:r>
        <w:rPr>
          <w:rFonts w:hint="eastAsia"/>
          <w:color w:val="000000" w:themeColor="text1"/>
          <w:sz w:val="28"/>
          <w:szCs w:val="28"/>
          <w:lang w:val="en-US" w:eastAsia="zh-CN"/>
          <w14:textFill>
            <w14:solidFill>
              <w14:schemeClr w14:val="tx1"/>
            </w14:solidFill>
          </w14:textFill>
        </w:rPr>
        <w:t>22</w:t>
      </w:r>
      <w:r>
        <w:rPr>
          <w:rFonts w:hint="eastAsia"/>
          <w:color w:val="000000" w:themeColor="text1"/>
          <w:sz w:val="28"/>
          <w:szCs w:val="28"/>
          <w14:textFill>
            <w14:solidFill>
              <w14:schemeClr w14:val="tx1"/>
            </w14:solidFill>
          </w14:textFill>
        </w:rPr>
        <w:t>年</w:t>
      </w:r>
      <w:r>
        <w:rPr>
          <w:rFonts w:hint="eastAsia"/>
          <w:color w:val="000000" w:themeColor="text1"/>
          <w:sz w:val="28"/>
          <w:szCs w:val="28"/>
          <w:lang w:val="en-US" w:eastAsia="zh-CN"/>
          <w14:textFill>
            <w14:solidFill>
              <w14:schemeClr w14:val="tx1"/>
            </w14:solidFill>
          </w14:textFill>
        </w:rPr>
        <w:t>6</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30日</w:t>
      </w:r>
    </w:p>
    <w:sectPr>
      <w:headerReference r:id="rId4" w:type="first"/>
      <w:footerReference r:id="rId6" w:type="first"/>
      <w:headerReference r:id="rId3" w:type="default"/>
      <w:footerReference r:id="rId5" w:type="default"/>
      <w:pgSz w:w="11906" w:h="16838"/>
      <w:pgMar w:top="1134" w:right="850" w:bottom="1134" w:left="141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0521851"/>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ind w:firstLine="1681" w:firstLineChars="800"/>
      <w:jc w:val="both"/>
      <w:rPr>
        <w:rFonts w:hint="default"/>
        <w:lang w:val="en-US"/>
      </w:rPr>
    </w:pPr>
    <w:r>
      <w:rPr>
        <w:rFonts w:hint="eastAsia" w:ascii="微软雅黑" w:hAnsi="微软雅黑" w:eastAsia="微软雅黑" w:cs="微软雅黑"/>
        <w:b/>
        <w:bCs/>
        <w:sz w:val="21"/>
        <w:szCs w:val="21"/>
        <w:lang w:eastAsia="zh-CN"/>
      </w:rPr>
      <w:drawing>
        <wp:anchor distT="0" distB="0" distL="114300" distR="114300" simplePos="0" relativeHeight="251660288" behindDoc="1" locked="0" layoutInCell="1" allowOverlap="1">
          <wp:simplePos x="0" y="0"/>
          <wp:positionH relativeFrom="column">
            <wp:posOffset>19050</wp:posOffset>
          </wp:positionH>
          <wp:positionV relativeFrom="paragraph">
            <wp:posOffset>-128270</wp:posOffset>
          </wp:positionV>
          <wp:extent cx="537845" cy="509905"/>
          <wp:effectExtent l="0" t="0" r="8255" b="10795"/>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537845" cy="509905"/>
                  </a:xfrm>
                  <a:prstGeom prst="rect">
                    <a:avLst/>
                  </a:prstGeom>
                  <a:noFill/>
                  <a:ln>
                    <a:noFill/>
                  </a:ln>
                </pic:spPr>
              </pic:pic>
            </a:graphicData>
          </a:graphic>
        </wp:anchor>
      </w:drawing>
    </w:r>
    <w:r>
      <w:rPr>
        <w:rFonts w:hint="eastAsia" w:ascii="微软雅黑" w:hAnsi="微软雅黑" w:eastAsia="微软雅黑" w:cs="微软雅黑"/>
        <w:b w:val="0"/>
        <w:bCs w:val="0"/>
        <w:i w:val="0"/>
        <w:iCs w:val="0"/>
        <w:sz w:val="21"/>
        <w:szCs w:val="21"/>
        <w:u w:val="none"/>
        <w:lang w:val="en-US" w:eastAsia="zh-CN"/>
      </w:rPr>
      <w:t xml:space="preserve">                                                          监理月报第2期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lang w:val="en-US"/>
      </w:rPr>
    </w:pPr>
    <w:bookmarkStart w:id="0" w:name="_GoBack"/>
    <w:r>
      <w:rPr>
        <w:rFonts w:hint="eastAsia" w:ascii="微软雅黑" w:hAnsi="微软雅黑" w:eastAsia="微软雅黑" w:cs="微软雅黑"/>
        <w:b/>
        <w:bCs/>
        <w:sz w:val="21"/>
        <w:szCs w:val="21"/>
        <w:lang w:eastAsia="zh-CN"/>
      </w:rPr>
      <w:drawing>
        <wp:anchor distT="0" distB="0" distL="114300" distR="114300" simplePos="0" relativeHeight="251659264" behindDoc="1" locked="0" layoutInCell="1" allowOverlap="1">
          <wp:simplePos x="0" y="0"/>
          <wp:positionH relativeFrom="column">
            <wp:posOffset>-307975</wp:posOffset>
          </wp:positionH>
          <wp:positionV relativeFrom="paragraph">
            <wp:posOffset>-298450</wp:posOffset>
          </wp:positionV>
          <wp:extent cx="537845" cy="509905"/>
          <wp:effectExtent l="0" t="0" r="8255" b="10795"/>
          <wp:wrapNone/>
          <wp:docPr id="13" name="图片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ogo"/>
                  <pic:cNvPicPr>
                    <a:picLocks noChangeAspect="1"/>
                  </pic:cNvPicPr>
                </pic:nvPicPr>
                <pic:blipFill>
                  <a:blip r:embed="rId1"/>
                  <a:stretch>
                    <a:fillRect/>
                  </a:stretch>
                </pic:blipFill>
                <pic:spPr>
                  <a:xfrm>
                    <a:off x="0" y="0"/>
                    <a:ext cx="537845" cy="509905"/>
                  </a:xfrm>
                  <a:prstGeom prst="rect">
                    <a:avLst/>
                  </a:prstGeom>
                  <a:noFill/>
                  <a:ln>
                    <a:noFill/>
                  </a:ln>
                </pic:spPr>
              </pic:pic>
            </a:graphicData>
          </a:graphic>
        </wp:anchor>
      </w:drawing>
    </w:r>
    <w:bookmarkEnd w:id="0"/>
    <w:r>
      <w:rPr>
        <w:rFonts w:hint="eastAsia" w:ascii="微软雅黑" w:hAnsi="微软雅黑" w:eastAsia="微软雅黑" w:cs="微软雅黑"/>
        <w:b w:val="0"/>
        <w:bCs w:val="0"/>
        <w:i w:val="0"/>
        <w:iCs w:val="0"/>
        <w:sz w:val="21"/>
        <w:szCs w:val="21"/>
        <w:u w:val="none"/>
        <w:lang w:val="en-US" w:eastAsia="zh-CN"/>
      </w:rPr>
      <w:t>:监理月报第2期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4471C"/>
    <w:multiLevelType w:val="singleLevel"/>
    <w:tmpl w:val="9974471C"/>
    <w:lvl w:ilvl="0" w:tentative="0">
      <w:start w:val="1"/>
      <w:numFmt w:val="decimal"/>
      <w:suff w:val="nothing"/>
      <w:lvlText w:val="%1、"/>
      <w:lvlJc w:val="left"/>
    </w:lvl>
  </w:abstractNum>
  <w:abstractNum w:abstractNumId="1">
    <w:nsid w:val="C6600639"/>
    <w:multiLevelType w:val="singleLevel"/>
    <w:tmpl w:val="C6600639"/>
    <w:lvl w:ilvl="0" w:tentative="0">
      <w:start w:val="1"/>
      <w:numFmt w:val="decimal"/>
      <w:suff w:val="nothing"/>
      <w:lvlText w:val="%1、"/>
      <w:lvlJc w:val="left"/>
    </w:lvl>
  </w:abstractNum>
  <w:abstractNum w:abstractNumId="2">
    <w:nsid w:val="E8FAFD00"/>
    <w:multiLevelType w:val="singleLevel"/>
    <w:tmpl w:val="E8FAFD00"/>
    <w:lvl w:ilvl="0" w:tentative="0">
      <w:start w:val="1"/>
      <w:numFmt w:val="decimal"/>
      <w:suff w:val="nothing"/>
      <w:lvlText w:val="%1、"/>
      <w:lvlJc w:val="left"/>
    </w:lvl>
  </w:abstractNum>
  <w:abstractNum w:abstractNumId="3">
    <w:nsid w:val="25E74782"/>
    <w:multiLevelType w:val="multilevel"/>
    <w:tmpl w:val="25E74782"/>
    <w:lvl w:ilvl="0" w:tentative="0">
      <w:start w:val="1"/>
      <w:numFmt w:val="japaneseCounting"/>
      <w:lvlText w:val="%1、"/>
      <w:lvlJc w:val="left"/>
      <w:pPr>
        <w:ind w:left="462" w:hanging="360"/>
      </w:pPr>
      <w:rPr>
        <w:rFonts w:hint="default"/>
      </w:rPr>
    </w:lvl>
    <w:lvl w:ilvl="1" w:tentative="0">
      <w:start w:val="1"/>
      <w:numFmt w:val="lowerLetter"/>
      <w:lvlText w:val="%2)"/>
      <w:lvlJc w:val="left"/>
      <w:pPr>
        <w:ind w:left="942" w:hanging="420"/>
      </w:pPr>
    </w:lvl>
    <w:lvl w:ilvl="2" w:tentative="0">
      <w:start w:val="1"/>
      <w:numFmt w:val="lowerRoman"/>
      <w:lvlText w:val="%3."/>
      <w:lvlJc w:val="right"/>
      <w:pPr>
        <w:ind w:left="1362" w:hanging="420"/>
      </w:pPr>
    </w:lvl>
    <w:lvl w:ilvl="3" w:tentative="0">
      <w:start w:val="1"/>
      <w:numFmt w:val="decimal"/>
      <w:lvlText w:val="%4."/>
      <w:lvlJc w:val="left"/>
      <w:pPr>
        <w:ind w:left="1782" w:hanging="420"/>
      </w:pPr>
    </w:lvl>
    <w:lvl w:ilvl="4" w:tentative="0">
      <w:start w:val="1"/>
      <w:numFmt w:val="lowerLetter"/>
      <w:lvlText w:val="%5)"/>
      <w:lvlJc w:val="left"/>
      <w:pPr>
        <w:ind w:left="2202" w:hanging="420"/>
      </w:pPr>
    </w:lvl>
    <w:lvl w:ilvl="5" w:tentative="0">
      <w:start w:val="1"/>
      <w:numFmt w:val="lowerRoman"/>
      <w:lvlText w:val="%6."/>
      <w:lvlJc w:val="right"/>
      <w:pPr>
        <w:ind w:left="2622" w:hanging="420"/>
      </w:pPr>
    </w:lvl>
    <w:lvl w:ilvl="6" w:tentative="0">
      <w:start w:val="1"/>
      <w:numFmt w:val="decimal"/>
      <w:lvlText w:val="%7."/>
      <w:lvlJc w:val="left"/>
      <w:pPr>
        <w:ind w:left="3042" w:hanging="420"/>
      </w:pPr>
    </w:lvl>
    <w:lvl w:ilvl="7" w:tentative="0">
      <w:start w:val="1"/>
      <w:numFmt w:val="lowerLetter"/>
      <w:lvlText w:val="%8)"/>
      <w:lvlJc w:val="left"/>
      <w:pPr>
        <w:ind w:left="3462" w:hanging="420"/>
      </w:pPr>
    </w:lvl>
    <w:lvl w:ilvl="8" w:tentative="0">
      <w:start w:val="1"/>
      <w:numFmt w:val="lowerRoman"/>
      <w:lvlText w:val="%9."/>
      <w:lvlJc w:val="right"/>
      <w:pPr>
        <w:ind w:left="3882" w:hanging="420"/>
      </w:pPr>
    </w:lvl>
  </w:abstractNum>
  <w:abstractNum w:abstractNumId="4">
    <w:nsid w:val="5B052C12"/>
    <w:multiLevelType w:val="singleLevel"/>
    <w:tmpl w:val="5B052C12"/>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jE5YzcwZjc2MGE2NjY1MDUzMjdhZGE0MmI4NGEifQ=="/>
  </w:docVars>
  <w:rsids>
    <w:rsidRoot w:val="36AF38ED"/>
    <w:rsid w:val="025723F2"/>
    <w:rsid w:val="030036C1"/>
    <w:rsid w:val="0C751C8D"/>
    <w:rsid w:val="0E213D89"/>
    <w:rsid w:val="1C1C44D2"/>
    <w:rsid w:val="2A152C44"/>
    <w:rsid w:val="2CDA728E"/>
    <w:rsid w:val="36AF38ED"/>
    <w:rsid w:val="39C71E21"/>
    <w:rsid w:val="3BEF5CD9"/>
    <w:rsid w:val="3D19407B"/>
    <w:rsid w:val="3F44756A"/>
    <w:rsid w:val="42370B06"/>
    <w:rsid w:val="4443736B"/>
    <w:rsid w:val="4D726514"/>
    <w:rsid w:val="52C74BD6"/>
    <w:rsid w:val="592B2D38"/>
    <w:rsid w:val="642A3526"/>
    <w:rsid w:val="665E7980"/>
    <w:rsid w:val="70B71E11"/>
    <w:rsid w:val="741C55C4"/>
    <w:rsid w:val="7F75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adjustRightInd w:val="0"/>
      <w:spacing w:before="260" w:beforeLines="0" w:after="260" w:afterLines="0"/>
      <w:ind w:firstLine="0" w:firstLineChars="0"/>
      <w:textAlignment w:val="baseline"/>
      <w:outlineLvl w:val="1"/>
    </w:pPr>
    <w:rPr>
      <w:rFonts w:ascii="Arial" w:hAnsi="Arial"/>
      <w:b/>
      <w:bCs/>
      <w:kern w:val="0"/>
      <w:sz w:val="2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qFormat/>
    <w:uiPriority w:val="34"/>
    <w:pPr>
      <w:ind w:firstLine="420" w:firstLineChars="200"/>
    </w:pPr>
  </w:style>
  <w:style w:type="paragraph" w:customStyle="1" w:styleId="9">
    <w:name w:val="样式4"/>
    <w:basedOn w:val="1"/>
    <w:uiPriority w:val="0"/>
    <w:pPr>
      <w:tabs>
        <w:tab w:val="left" w:pos="366"/>
        <w:tab w:val="left" w:pos="720"/>
      </w:tabs>
      <w:topLinePunct/>
      <w:ind w:firstLine="425"/>
    </w:pPr>
    <w:rPr>
      <w:rFonts w:eastAsia="黑体"/>
      <w:bCs/>
      <w:caps/>
      <w:kern w:val="21"/>
      <w:szCs w:val="21"/>
    </w:rPr>
  </w:style>
  <w:style w:type="paragraph" w:customStyle="1" w:styleId="10">
    <w:name w:val="样式5"/>
    <w:basedOn w:val="1"/>
    <w:qFormat/>
    <w:uiPriority w:val="0"/>
    <w:pPr>
      <w:topLinePunct/>
      <w:adjustRightInd w:val="0"/>
      <w:spacing w:line="1200" w:lineRule="auto"/>
      <w:jc w:val="center"/>
    </w:pPr>
    <w:rPr>
      <w:rFonts w:ascii="宋体" w:hAnsi="宋体" w:eastAsia="黑体"/>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1389</Words>
  <Characters>1456</Characters>
  <Lines>0</Lines>
  <Paragraphs>0</Paragraphs>
  <TotalTime>1</TotalTime>
  <ScaleCrop>false</ScaleCrop>
  <LinksUpToDate>false</LinksUpToDate>
  <CharactersWithSpaces>1552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2021-08-02T23:49:00Z</dcterms:created>
  <dc:creator>光伏EPC</dc:creator>
  <cp:lastModifiedBy>5481</cp:lastModifiedBy>
  <cp:lastPrinted>2022-05-05T01:59:00Z</cp:lastPrinted>
  <dcterms:modified xsi:type="dcterms:W3CDTF">2022-07-11T02:00:26Z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122C3FDCB69148289999490493C333C0</vt:lpwstr>
  </property>
</Properties>
</file>