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编号：</w:t>
      </w:r>
      <w:r>
        <w:rPr>
          <w:rFonts w:hint="eastAsia"/>
          <w:color w:val="000000" w:themeColor="text1"/>
          <w:sz w:val="24"/>
          <w:szCs w:val="24"/>
          <w:lang w:val="en-US" w:eastAsia="zh-CN"/>
          <w14:textFill>
            <w14:solidFill>
              <w14:schemeClr w14:val="tx1"/>
            </w14:solidFill>
          </w14:textFill>
        </w:rPr>
        <w:t>ZHFD-ZHJL-YB-003</w:t>
      </w:r>
      <w:r>
        <w:rPr>
          <w:rFonts w:hint="eastAsia"/>
          <w:color w:val="000000" w:themeColor="text1"/>
          <w:sz w:val="24"/>
          <w:szCs w:val="24"/>
          <w:lang w:val="en-US" w:eastAsia="zh-CN"/>
          <w14:textFill>
            <w14:solidFill>
              <w14:schemeClr w14:val="tx1"/>
            </w14:solidFill>
          </w14:textFill>
        </w:rPr>
        <w:tab/>
      </w:r>
    </w:p>
    <w:p>
      <w:pPr>
        <w:rPr>
          <w:color w:val="000000" w:themeColor="text1"/>
          <w:sz w:val="24"/>
          <w:szCs w:val="24"/>
          <w14:textFill>
            <w14:solidFill>
              <w14:schemeClr w14:val="tx1"/>
            </w14:solidFill>
          </w14:textFill>
        </w:rPr>
      </w:pPr>
    </w:p>
    <w:p>
      <w:pPr>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    </w:t>
      </w:r>
    </w:p>
    <w:p>
      <w:pPr>
        <w:spacing w:before="1248" w:beforeLines="400" w:after="468" w:afterLines="150" w:line="480" w:lineRule="auto"/>
        <w:ind w:firstLine="3080" w:firstLineChars="700"/>
        <w:jc w:val="both"/>
        <w:rPr>
          <w:rFonts w:hint="eastAsia" w:ascii="黑体" w:hAnsi="黑体" w:eastAsia="黑体"/>
          <w:color w:val="000000" w:themeColor="text1"/>
          <w:sz w:val="44"/>
          <w:szCs w:val="44"/>
          <w14:textFill>
            <w14:solidFill>
              <w14:schemeClr w14:val="tx1"/>
            </w14:solidFill>
          </w14:textFill>
        </w:rPr>
      </w:pPr>
      <w:r>
        <w:rPr>
          <w:rFonts w:hint="eastAsia" w:ascii="黑体" w:hAnsi="黑体" w:eastAsia="黑体"/>
          <w:color w:val="000000" w:themeColor="text1"/>
          <w:sz w:val="44"/>
          <w:szCs w:val="44"/>
          <w14:textFill>
            <w14:solidFill>
              <w14:schemeClr w14:val="tx1"/>
            </w14:solidFill>
          </w14:textFill>
        </w:rPr>
        <w:t>监  理  月  报</w:t>
      </w:r>
    </w:p>
    <w:p>
      <w:pPr>
        <w:pStyle w:val="2"/>
        <w:spacing w:before="156" w:after="120"/>
        <w:jc w:val="center"/>
        <w:rPr>
          <w:rFonts w:hint="eastAsia" w:ascii="黑体" w:hAnsi="黑体" w:eastAsia="黑体"/>
          <w:color w:val="000000" w:themeColor="text1"/>
          <w:sz w:val="28"/>
          <w:szCs w:val="28"/>
          <w14:textFill>
            <w14:solidFill>
              <w14:schemeClr w14:val="tx1"/>
            </w14:solidFill>
          </w14:textFill>
        </w:rPr>
      </w:pPr>
      <w:r>
        <w:rPr>
          <w:rFonts w:hint="eastAsia" w:ascii="宋体" w:hAnsi="宋体" w:eastAsia="宋体" w:cs="宋体"/>
          <w:b/>
          <w:bCs/>
          <w:i w:val="0"/>
          <w:iCs w:val="0"/>
          <w:sz w:val="28"/>
          <w:szCs w:val="28"/>
          <w:u w:val="none"/>
          <w:lang w:val="en-US" w:eastAsia="zh-CN"/>
        </w:rPr>
        <w:t>工程名称： 赞皇40万千瓦一期20万千瓦风电项目 （本期10万千瓦）</w:t>
      </w:r>
    </w:p>
    <w:p>
      <w:pPr>
        <w:pStyle w:val="2"/>
        <w:spacing w:before="156" w:after="120"/>
        <w:jc w:val="center"/>
        <w:rPr>
          <w:rFonts w:hint="eastAsia" w:ascii="宋体" w:hAnsi="宋体" w:eastAsia="宋体" w:cs="宋体"/>
          <w:b/>
          <w:bCs/>
          <w:i w:val="0"/>
          <w:iCs w:val="0"/>
          <w:sz w:val="28"/>
          <w:szCs w:val="28"/>
          <w:u w:val="none"/>
          <w:lang w:val="en-US" w:eastAsia="zh-CN"/>
        </w:rPr>
      </w:pPr>
    </w:p>
    <w:p>
      <w:pPr>
        <w:rPr>
          <w:lang w:val="en-US"/>
        </w:rPr>
      </w:pPr>
    </w:p>
    <w:p>
      <w:pPr>
        <w:ind w:firstLine="3213" w:firstLineChars="1000"/>
        <w:jc w:val="both"/>
        <w:rPr>
          <w:rFonts w:hint="eastAsia"/>
          <w:color w:val="000000" w:themeColor="text1"/>
          <w:sz w:val="32"/>
          <w:szCs w:val="32"/>
          <w14:textFill>
            <w14:solidFill>
              <w14:schemeClr w14:val="tx1"/>
            </w14:solidFill>
          </w14:textFill>
        </w:rPr>
      </w:pPr>
      <w:r>
        <w:rPr>
          <w:rFonts w:hint="eastAsia" w:asciiTheme="majorEastAsia" w:hAnsiTheme="majorEastAsia" w:eastAsiaTheme="majorEastAsia" w:cstheme="majorEastAsia"/>
          <w:b/>
          <w:bCs/>
          <w:color w:val="000000" w:themeColor="text1"/>
          <w:sz w:val="32"/>
          <w:szCs w:val="32"/>
          <w14:textFill>
            <w14:solidFill>
              <w14:schemeClr w14:val="tx1"/>
            </w14:solidFill>
          </w14:textFill>
        </w:rPr>
        <w:t>20</w:t>
      </w:r>
      <w:r>
        <w:rPr>
          <w:rFonts w:hint="eastAsia" w:asciiTheme="majorEastAsia" w:hAnsiTheme="majorEastAsia" w:eastAsiaTheme="majorEastAsia" w:cstheme="majorEastAsia"/>
          <w:b/>
          <w:bCs/>
          <w:color w:val="000000" w:themeColor="text1"/>
          <w:sz w:val="32"/>
          <w:szCs w:val="32"/>
          <w:lang w:val="en-US" w:eastAsia="zh-CN"/>
          <w14:textFill>
            <w14:solidFill>
              <w14:schemeClr w14:val="tx1"/>
            </w14:solidFill>
          </w14:textFill>
        </w:rPr>
        <w:t>22</w:t>
      </w:r>
      <w:r>
        <w:rPr>
          <w:rFonts w:hint="eastAsia" w:asciiTheme="majorEastAsia" w:hAnsiTheme="majorEastAsia" w:eastAsiaTheme="majorEastAsia" w:cstheme="majorEastAsia"/>
          <w:b/>
          <w:bCs/>
          <w:color w:val="000000" w:themeColor="text1"/>
          <w:sz w:val="32"/>
          <w:szCs w:val="32"/>
          <w14:textFill>
            <w14:solidFill>
              <w14:schemeClr w14:val="tx1"/>
            </w14:solidFill>
          </w14:textFill>
        </w:rPr>
        <w:t>年</w:t>
      </w:r>
      <w:r>
        <w:rPr>
          <w:rFonts w:hint="eastAsia" w:asciiTheme="majorEastAsia" w:hAnsiTheme="majorEastAsia" w:eastAsiaTheme="majorEastAsia" w:cstheme="majorEastAsia"/>
          <w:b/>
          <w:bCs/>
          <w:color w:val="000000" w:themeColor="text1"/>
          <w:sz w:val="32"/>
          <w:szCs w:val="32"/>
          <w:lang w:val="en-US" w:eastAsia="zh-CN"/>
          <w14:textFill>
            <w14:solidFill>
              <w14:schemeClr w14:val="tx1"/>
            </w14:solidFill>
          </w14:textFill>
        </w:rPr>
        <w:t>7</w:t>
      </w:r>
      <w:r>
        <w:rPr>
          <w:rFonts w:hint="eastAsia" w:asciiTheme="majorEastAsia" w:hAnsiTheme="majorEastAsia" w:eastAsiaTheme="majorEastAsia" w:cstheme="majorEastAsia"/>
          <w:b/>
          <w:bCs/>
          <w:color w:val="000000" w:themeColor="text1"/>
          <w:sz w:val="32"/>
          <w:szCs w:val="32"/>
          <w14:textFill>
            <w14:solidFill>
              <w14:schemeClr w14:val="tx1"/>
            </w14:solidFill>
          </w14:textFill>
        </w:rPr>
        <w:t>月</w:t>
      </w:r>
      <w:r>
        <w:rPr>
          <w:rFonts w:hint="eastAsia" w:asciiTheme="majorEastAsia" w:hAnsiTheme="majorEastAsia" w:eastAsiaTheme="majorEastAsia" w:cstheme="majorEastAsia"/>
          <w:b/>
          <w:bCs/>
          <w:color w:val="000000" w:themeColor="text1"/>
          <w:sz w:val="32"/>
          <w:szCs w:val="32"/>
          <w:lang w:val="en-US" w:eastAsia="zh-CN"/>
          <w14:textFill>
            <w14:solidFill>
              <w14:schemeClr w14:val="tx1"/>
            </w14:solidFill>
          </w14:textFill>
        </w:rPr>
        <w:t xml:space="preserve"> </w:t>
      </w:r>
      <w:r>
        <w:rPr>
          <w:rFonts w:hint="eastAsia"/>
          <w:color w:val="000000" w:themeColor="text1"/>
          <w:sz w:val="32"/>
          <w:szCs w:val="32"/>
          <w:lang w:val="en-US" w:eastAsia="zh-CN"/>
          <w14:textFill>
            <w14:solidFill>
              <w14:schemeClr w14:val="tx1"/>
            </w14:solidFill>
          </w14:textFill>
        </w:rPr>
        <w:t xml:space="preserve">第3期 </w:t>
      </w:r>
    </w:p>
    <w:p>
      <w:pPr>
        <w:spacing w:before="156" w:beforeLines="50" w:after="156" w:afterLines="50"/>
        <w:jc w:val="both"/>
        <w:rPr>
          <w:rFonts w:hint="eastAsia" w:eastAsiaTheme="minorEastAsia"/>
          <w:color w:val="000000" w:themeColor="text1"/>
          <w:sz w:val="30"/>
          <w:szCs w:val="30"/>
          <w:lang w:val="en-US" w:eastAsia="zh-CN"/>
          <w14:textFill>
            <w14:solidFill>
              <w14:schemeClr w14:val="tx1"/>
            </w14:solidFill>
          </w14:textFill>
        </w:rPr>
      </w:pPr>
    </w:p>
    <w:p>
      <w:pPr>
        <w:spacing w:before="156" w:beforeLines="50" w:after="156" w:afterLines="50"/>
        <w:jc w:val="both"/>
        <w:rPr>
          <w:rFonts w:hint="eastAsia" w:eastAsiaTheme="minorEastAsia"/>
          <w:color w:val="000000" w:themeColor="text1"/>
          <w:sz w:val="30"/>
          <w:szCs w:val="30"/>
          <w:lang w:val="en-US" w:eastAsia="zh-CN"/>
          <w14:textFill>
            <w14:solidFill>
              <w14:schemeClr w14:val="tx1"/>
            </w14:solidFill>
          </w14:textFill>
        </w:rPr>
      </w:pPr>
    </w:p>
    <w:p>
      <w:pPr>
        <w:spacing w:before="156" w:beforeLines="50" w:after="156" w:afterLines="50"/>
        <w:jc w:val="center"/>
        <w:rPr>
          <w:rFonts w:hint="eastAsia"/>
          <w:color w:val="000000" w:themeColor="text1"/>
          <w:sz w:val="24"/>
          <w:szCs w:val="24"/>
          <w14:textFill>
            <w14:solidFill>
              <w14:schemeClr w14:val="tx1"/>
            </w14:solidFill>
          </w14:textFill>
        </w:rPr>
      </w:pPr>
    </w:p>
    <w:p>
      <w:pPr>
        <w:topLinePunct/>
        <w:ind w:firstLine="3534" w:firstLineChars="1100"/>
        <w:jc w:val="both"/>
        <w:rPr>
          <w:rFonts w:hint="eastAsia" w:eastAsiaTheme="minorEastAsia"/>
          <w:b/>
          <w:bCs/>
          <w:sz w:val="32"/>
          <w:szCs w:val="32"/>
          <w:u w:val="single"/>
          <w:lang w:eastAsia="zh-CN"/>
        </w:rPr>
      </w:pPr>
      <w:r>
        <w:rPr>
          <w:rFonts w:hint="eastAsia"/>
          <w:b/>
          <w:bCs/>
          <w:sz w:val="32"/>
          <w:szCs w:val="32"/>
        </w:rPr>
        <w:t>总监理工程师</w:t>
      </w:r>
    </w:p>
    <w:p>
      <w:pPr>
        <w:topLinePunct/>
        <w:ind w:firstLine="425"/>
        <w:rPr>
          <w:rFonts w:hint="eastAsia"/>
          <w:b/>
          <w:bCs/>
          <w:sz w:val="32"/>
          <w:szCs w:val="32"/>
          <w:u w:val="single"/>
        </w:rPr>
      </w:pPr>
    </w:p>
    <w:p>
      <w:pPr>
        <w:topLinePunct/>
        <w:ind w:firstLine="425"/>
        <w:rPr>
          <w:rFonts w:hint="eastAsia"/>
          <w:szCs w:val="21"/>
        </w:rPr>
      </w:pPr>
    </w:p>
    <w:p>
      <w:pPr>
        <w:topLinePunct/>
        <w:ind w:firstLine="425"/>
        <w:rPr>
          <w:rFonts w:hint="eastAsia"/>
          <w:szCs w:val="21"/>
        </w:rPr>
      </w:pPr>
    </w:p>
    <w:p>
      <w:pPr>
        <w:topLinePunct/>
        <w:ind w:firstLine="425"/>
        <w:rPr>
          <w:rFonts w:hint="eastAsia"/>
          <w:szCs w:val="21"/>
        </w:rPr>
      </w:pPr>
    </w:p>
    <w:p>
      <w:pPr>
        <w:topLinePunct/>
        <w:rPr>
          <w:rFonts w:hint="eastAsia"/>
          <w:b/>
          <w:bCs/>
          <w:sz w:val="32"/>
          <w:szCs w:val="32"/>
        </w:rPr>
      </w:pPr>
    </w:p>
    <w:p>
      <w:pPr>
        <w:topLinePunct/>
        <w:ind w:firstLine="3216" w:firstLineChars="1001"/>
        <w:jc w:val="both"/>
        <w:rPr>
          <w:rFonts w:hint="eastAsia"/>
          <w:b/>
          <w:bCs/>
          <w:sz w:val="32"/>
          <w:szCs w:val="32"/>
          <w:u w:val="single"/>
        </w:rPr>
      </w:pPr>
      <w:r>
        <w:rPr>
          <w:rFonts w:hint="eastAsia"/>
          <w:b/>
          <w:bCs/>
          <w:sz w:val="32"/>
          <w:szCs w:val="32"/>
        </w:rPr>
        <w:t>监理项目部（章）</w:t>
      </w:r>
    </w:p>
    <w:p>
      <w:pPr>
        <w:topLinePunct/>
        <w:ind w:firstLine="425"/>
        <w:jc w:val="center"/>
        <w:rPr>
          <w:rFonts w:hint="eastAsia"/>
          <w:b/>
          <w:bCs/>
          <w:sz w:val="32"/>
          <w:szCs w:val="32"/>
        </w:rPr>
      </w:pPr>
    </w:p>
    <w:p>
      <w:pPr>
        <w:topLinePunct/>
        <w:ind w:firstLine="2573" w:firstLineChars="801"/>
        <w:jc w:val="both"/>
        <w:rPr>
          <w:rFonts w:hint="eastAsia"/>
          <w:b/>
          <w:bCs/>
          <w:sz w:val="32"/>
          <w:szCs w:val="32"/>
        </w:rPr>
      </w:pPr>
      <w:r>
        <w:rPr>
          <w:rFonts w:hint="eastAsia"/>
          <w:b/>
          <w:bCs/>
          <w:sz w:val="32"/>
          <w:szCs w:val="32"/>
        </w:rPr>
        <w:t>报告日期：</w:t>
      </w:r>
      <w:r>
        <w:rPr>
          <w:rFonts w:hint="eastAsia"/>
          <w:b/>
          <w:bCs/>
          <w:sz w:val="32"/>
          <w:szCs w:val="32"/>
          <w:lang w:val="en-US" w:eastAsia="zh-CN"/>
        </w:rPr>
        <w:t>2022</w:t>
      </w:r>
      <w:r>
        <w:rPr>
          <w:rFonts w:hint="eastAsia"/>
          <w:b/>
          <w:bCs/>
          <w:sz w:val="32"/>
          <w:szCs w:val="32"/>
        </w:rPr>
        <w:t>年</w:t>
      </w:r>
      <w:r>
        <w:rPr>
          <w:rFonts w:hint="eastAsia"/>
          <w:b/>
          <w:bCs/>
          <w:sz w:val="32"/>
          <w:szCs w:val="32"/>
          <w:lang w:val="en-US" w:eastAsia="zh-CN"/>
        </w:rPr>
        <w:t>7</w:t>
      </w:r>
      <w:r>
        <w:rPr>
          <w:rFonts w:hint="eastAsia"/>
          <w:b/>
          <w:bCs/>
          <w:sz w:val="32"/>
          <w:szCs w:val="32"/>
        </w:rPr>
        <w:t>月</w:t>
      </w:r>
      <w:r>
        <w:rPr>
          <w:rFonts w:hint="eastAsia"/>
          <w:b/>
          <w:bCs/>
          <w:sz w:val="32"/>
          <w:szCs w:val="32"/>
          <w:lang w:val="en-US" w:eastAsia="zh-CN"/>
        </w:rPr>
        <w:t>31</w:t>
      </w:r>
      <w:r>
        <w:rPr>
          <w:rFonts w:hint="eastAsia"/>
          <w:b/>
          <w:bCs/>
          <w:sz w:val="32"/>
          <w:szCs w:val="32"/>
        </w:rPr>
        <w:t>日</w:t>
      </w:r>
    </w:p>
    <w:p>
      <w:pPr>
        <w:topLinePunct/>
        <w:ind w:firstLine="425"/>
        <w:rPr>
          <w:rFonts w:hint="eastAsia"/>
          <w:b/>
          <w:bCs/>
          <w:sz w:val="32"/>
          <w:szCs w:val="32"/>
        </w:rPr>
      </w:pPr>
    </w:p>
    <w:p>
      <w:pPr>
        <w:widowControl/>
        <w:jc w:val="left"/>
        <w:rPr>
          <w:color w:val="000000" w:themeColor="text1"/>
          <w:sz w:val="30"/>
          <w:szCs w:val="30"/>
          <w14:textFill>
            <w14:solidFill>
              <w14:schemeClr w14:val="tx1"/>
            </w14:solidFill>
          </w14:textFill>
        </w:rPr>
      </w:pPr>
    </w:p>
    <w:p>
      <w:pPr>
        <w:jc w:val="center"/>
        <w:rPr>
          <w:rFonts w:hint="default" w:asciiTheme="majorEastAsia" w:hAnsiTheme="majorEastAsia" w:eastAsiaTheme="majorEastAsia" w:cstheme="majorEastAsia"/>
          <w:color w:val="000000" w:themeColor="text1"/>
          <w:sz w:val="32"/>
          <w:szCs w:val="32"/>
          <w:u w:val="single"/>
          <w:lang w:val="en-US" w:eastAsia="zh-CN"/>
          <w14:textFill>
            <w14:solidFill>
              <w14:schemeClr w14:val="tx1"/>
            </w14:solidFill>
          </w14:textFill>
        </w:rPr>
      </w:pPr>
      <w:r>
        <w:rPr>
          <w:rFonts w:hint="eastAsia"/>
          <w:color w:val="000000" w:themeColor="text1"/>
          <w:sz w:val="32"/>
          <w:szCs w:val="32"/>
          <w14:textFill>
            <w14:solidFill>
              <w14:schemeClr w14:val="tx1"/>
            </w14:solidFill>
          </w14:textFill>
        </w:rPr>
        <w:t>监  理  月  报</w:t>
      </w:r>
    </w:p>
    <w:p>
      <w:pPr>
        <w:pStyle w:val="8"/>
        <w:numPr>
          <w:ilvl w:val="0"/>
          <w:numId w:val="1"/>
        </w:numPr>
        <w:spacing w:before="156" w:beforeLines="50" w:after="156" w:afterLines="50" w:line="360" w:lineRule="auto"/>
        <w:ind w:left="612" w:leftChars="0" w:hanging="612"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监理重点工作情况</w:t>
      </w:r>
    </w:p>
    <w:tbl>
      <w:tblPr>
        <w:tblStyle w:val="6"/>
        <w:tblW w:w="9566"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564"/>
        <w:gridCol w:w="3761"/>
        <w:gridCol w:w="3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81"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专业</w:t>
            </w: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事项</w:t>
            </w:r>
          </w:p>
        </w:tc>
        <w:tc>
          <w:tcPr>
            <w:tcW w:w="3761"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本月重点工作情况</w:t>
            </w:r>
          </w:p>
        </w:tc>
        <w:tc>
          <w:tcPr>
            <w:tcW w:w="3560"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下月重点工作计划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81"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协调</w:t>
            </w:r>
          </w:p>
        </w:tc>
        <w:tc>
          <w:tcPr>
            <w:tcW w:w="1564"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组织工作</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工地例会召开4期、安全工地例会召开4期，并形成会议纪要交业主方。</w:t>
            </w:r>
          </w:p>
        </w:tc>
        <w:tc>
          <w:tcPr>
            <w:tcW w:w="3560"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在协调方面进一步沟通业主、EPC总包沟通，各种资料报审签阅办理、对施工现场检查旁站，并现场旁站检查记录。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6" w:hRule="atLeast"/>
        </w:trPr>
        <w:tc>
          <w:tcPr>
            <w:tcW w:w="681" w:type="dxa"/>
            <w:vMerge w:val="restart"/>
            <w:vAlign w:val="center"/>
          </w:tcPr>
          <w:p>
            <w:pPr>
              <w:spacing w:line="360" w:lineRule="auto"/>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进度</w:t>
            </w:r>
          </w:p>
        </w:tc>
        <w:tc>
          <w:tcPr>
            <w:tcW w:w="1564" w:type="dxa"/>
            <w:vAlign w:val="center"/>
          </w:tcPr>
          <w:p>
            <w:pPr>
              <w:spacing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主要工序</w:t>
            </w:r>
          </w:p>
          <w:p>
            <w:pPr>
              <w:spacing w:line="360" w:lineRule="auto"/>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工    作</w:t>
            </w:r>
          </w:p>
        </w:tc>
        <w:tc>
          <w:tcPr>
            <w:tcW w:w="3761" w:type="dxa"/>
            <w:vAlign w:val="center"/>
          </w:tcPr>
          <w:p>
            <w:pPr>
              <w:numPr>
                <w:ilvl w:val="0"/>
                <w:numId w:val="2"/>
              </w:numPr>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2022年7月1日到2022年7月30日每天编写的监理工作日志；</w:t>
            </w:r>
          </w:p>
          <w:p>
            <w:pPr>
              <w:numPr>
                <w:ilvl w:val="0"/>
                <w:numId w:val="2"/>
              </w:numPr>
              <w:spacing w:line="360" w:lineRule="auto"/>
              <w:ind w:left="0" w:leftChars="0" w:firstLine="0" w:firstLineChars="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23#、27#、29#风机基础浇筑旁站；</w:t>
            </w:r>
          </w:p>
          <w:p>
            <w:pPr>
              <w:numPr>
                <w:ilvl w:val="0"/>
                <w:numId w:val="2"/>
              </w:numPr>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督促《监理合同》订立；</w:t>
            </w:r>
          </w:p>
          <w:p>
            <w:pPr>
              <w:numPr>
                <w:ilvl w:val="0"/>
                <w:numId w:val="2"/>
              </w:numPr>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风机基础二次灌浆料检查检查、试块制作旁站。</w:t>
            </w:r>
          </w:p>
          <w:p>
            <w:pPr>
              <w:numPr>
                <w:ilvl w:val="0"/>
                <w:numId w:val="2"/>
              </w:numPr>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风机道路和基础平台已完成。</w:t>
            </w:r>
          </w:p>
          <w:p>
            <w:pPr>
              <w:numPr>
                <w:ilvl w:val="0"/>
                <w:numId w:val="2"/>
              </w:numPr>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集电线路塔基浇筑8基；</w:t>
            </w:r>
          </w:p>
          <w:p>
            <w:pPr>
              <w:numPr>
                <w:ilvl w:val="0"/>
                <w:numId w:val="2"/>
              </w:numPr>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升压站主变基础浇筑完成，一次舱基础换填、垫层浇筑完成，目前一次舱基础已进行钢筋安装绑扎。</w:t>
            </w:r>
          </w:p>
        </w:tc>
        <w:tc>
          <w:tcPr>
            <w:tcW w:w="3560" w:type="dxa"/>
            <w:vAlign w:val="center"/>
          </w:tcPr>
          <w:p>
            <w:pPr>
              <w:numPr>
                <w:ilvl w:val="0"/>
                <w:numId w:val="3"/>
              </w:numPr>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督促《监理合同》和施工合同订立；</w:t>
            </w:r>
          </w:p>
          <w:p>
            <w:pPr>
              <w:numPr>
                <w:ilvl w:val="0"/>
                <w:numId w:val="3"/>
              </w:numPr>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正常开展监理工作。</w:t>
            </w:r>
          </w:p>
          <w:p>
            <w:pPr>
              <w:numPr>
                <w:ilvl w:val="0"/>
                <w:numId w:val="3"/>
              </w:numPr>
              <w:spacing w:line="360" w:lineRule="auto"/>
              <w:ind w:left="0" w:leftChars="0" w:firstLine="0" w:firstLineChars="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升压站主变及一次舱施工进度，一次舱基础浇筑完成；</w:t>
            </w:r>
          </w:p>
          <w:p>
            <w:pPr>
              <w:numPr>
                <w:ilvl w:val="0"/>
                <w:numId w:val="3"/>
              </w:numPr>
              <w:spacing w:line="360" w:lineRule="auto"/>
              <w:ind w:left="0" w:leftChars="0" w:firstLine="0" w:firstLineChars="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集电线路塔基基础施工进度8月20日2回路塔基全部完成，3、4回路8月底结束监督。</w:t>
            </w:r>
          </w:p>
          <w:p>
            <w:pPr>
              <w:numPr>
                <w:ilvl w:val="0"/>
                <w:numId w:val="3"/>
              </w:numPr>
              <w:spacing w:line="360" w:lineRule="auto"/>
              <w:ind w:left="0" w:leftChars="0" w:firstLine="0" w:firstLineChars="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项目计划9月30日首批并网；</w:t>
            </w:r>
          </w:p>
          <w:p>
            <w:pPr>
              <w:numPr>
                <w:ilvl w:val="0"/>
                <w:numId w:val="3"/>
              </w:numPr>
              <w:spacing w:line="360" w:lineRule="auto"/>
              <w:ind w:left="0" w:leftChars="0" w:firstLine="0" w:firstLineChars="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12月30日全容量并网。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1"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设备</w:t>
            </w:r>
            <w:r>
              <w:rPr>
                <w:rFonts w:hint="eastAsia" w:ascii="宋体" w:hAnsi="宋体" w:eastAsia="宋体" w:cs="宋体"/>
                <w:color w:val="000000" w:themeColor="text1"/>
                <w:sz w:val="21"/>
                <w:szCs w:val="21"/>
                <w:lang w:val="en-US" w:eastAsia="zh-CN"/>
                <w14:textFill>
                  <w14:solidFill>
                    <w14:schemeClr w14:val="tx1"/>
                  </w14:solidFill>
                </w14:textFill>
              </w:rPr>
              <w:t>材料进场情况</w:t>
            </w:r>
          </w:p>
        </w:tc>
        <w:tc>
          <w:tcPr>
            <w:tcW w:w="3761" w:type="dxa"/>
            <w:vAlign w:val="center"/>
          </w:tcPr>
          <w:p>
            <w:pPr>
              <w:spacing w:line="24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升压站设备合同已全部签订，计划8月10日主变设备进站，就位。进场道路已修筑完成。</w:t>
            </w:r>
          </w:p>
          <w:p>
            <w:pPr>
              <w:spacing w:line="240" w:lineRule="auto"/>
              <w:rPr>
                <w:rFonts w:hint="default" w:ascii="宋体" w:hAnsi="宋体" w:eastAsia="宋体" w:cs="宋体"/>
                <w:color w:val="000000" w:themeColor="text1"/>
                <w:sz w:val="21"/>
                <w:szCs w:val="21"/>
                <w:lang w:val="en-US" w:eastAsia="zh-CN"/>
                <w14:textFill>
                  <w14:solidFill>
                    <w14:schemeClr w14:val="tx1"/>
                  </w14:solidFill>
                </w14:textFill>
              </w:rPr>
            </w:pPr>
          </w:p>
        </w:tc>
        <w:tc>
          <w:tcPr>
            <w:tcW w:w="3560" w:type="dxa"/>
            <w:vAlign w:val="center"/>
          </w:tcPr>
          <w:p>
            <w:pPr>
              <w:spacing w:line="24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8月10日计划主变设备进场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81" w:type="dxa"/>
            <w:vMerge w:val="continue"/>
            <w:vAlign w:val="center"/>
          </w:tcPr>
          <w:p>
            <w:pPr>
              <w:spacing w:line="240" w:lineRule="auto"/>
              <w:rPr>
                <w:rFonts w:hint="eastAsia" w:ascii="宋体" w:hAnsi="宋体" w:eastAsia="宋体" w:cs="宋体"/>
                <w:color w:val="FF0000"/>
                <w:sz w:val="21"/>
                <w:szCs w:val="21"/>
              </w:rPr>
            </w:pPr>
          </w:p>
        </w:tc>
        <w:tc>
          <w:tcPr>
            <w:tcW w:w="1564"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设计交付进度</w:t>
            </w:r>
          </w:p>
        </w:tc>
        <w:tc>
          <w:tcPr>
            <w:tcW w:w="3761" w:type="dxa"/>
            <w:vAlign w:val="center"/>
          </w:tcPr>
          <w:p>
            <w:pPr>
              <w:spacing w:line="24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风机基础图纸都已出来、集电线路图纸完成都已完成交付、还有升压站图纸已出。</w:t>
            </w:r>
          </w:p>
        </w:tc>
        <w:tc>
          <w:tcPr>
            <w:tcW w:w="3560" w:type="dxa"/>
            <w:vAlign w:val="center"/>
          </w:tcPr>
          <w:p>
            <w:pPr>
              <w:spacing w:line="24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已全部交户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81" w:type="dxa"/>
            <w:vMerge w:val="continue"/>
            <w:vAlign w:val="center"/>
          </w:tcPr>
          <w:p>
            <w:pPr>
              <w:spacing w:line="240" w:lineRule="auto"/>
              <w:rPr>
                <w:rFonts w:hint="eastAsia" w:ascii="宋体" w:hAnsi="宋体" w:eastAsia="宋体" w:cs="宋体"/>
                <w:color w:val="FF0000"/>
                <w:sz w:val="21"/>
                <w:szCs w:val="21"/>
              </w:rPr>
            </w:pPr>
          </w:p>
        </w:tc>
        <w:tc>
          <w:tcPr>
            <w:tcW w:w="1564"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质量体系运作情况</w:t>
            </w:r>
          </w:p>
        </w:tc>
        <w:tc>
          <w:tcPr>
            <w:tcW w:w="3761"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质量体系健全，运行良好</w:t>
            </w:r>
          </w:p>
        </w:tc>
        <w:tc>
          <w:tcPr>
            <w:tcW w:w="3560"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落实质量保证体系，并对运行情况进行检查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81" w:type="dxa"/>
            <w:vMerge w:val="continue"/>
            <w:vAlign w:val="center"/>
          </w:tcPr>
          <w:p>
            <w:pPr>
              <w:spacing w:line="240" w:lineRule="auto"/>
              <w:rPr>
                <w:rFonts w:hint="eastAsia" w:ascii="宋体" w:hAnsi="宋体" w:eastAsia="宋体" w:cs="宋体"/>
                <w:color w:val="FF0000"/>
                <w:sz w:val="21"/>
                <w:szCs w:val="21"/>
              </w:rPr>
            </w:pPr>
          </w:p>
        </w:tc>
        <w:tc>
          <w:tcPr>
            <w:tcW w:w="1564"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施工图会审</w:t>
            </w:r>
          </w:p>
        </w:tc>
        <w:tc>
          <w:tcPr>
            <w:tcW w:w="3761" w:type="dxa"/>
            <w:vAlign w:val="center"/>
          </w:tcPr>
          <w:p>
            <w:pPr>
              <w:spacing w:line="24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集电线路和风机基础施工图会审已完成、升压站图纸会审已全部完成。</w:t>
            </w:r>
          </w:p>
        </w:tc>
        <w:tc>
          <w:tcPr>
            <w:tcW w:w="3560"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681" w:type="dxa"/>
            <w:vMerge w:val="continue"/>
            <w:vAlign w:val="center"/>
          </w:tcPr>
          <w:p>
            <w:pPr>
              <w:spacing w:line="240" w:lineRule="auto"/>
              <w:rPr>
                <w:rFonts w:hint="eastAsia" w:ascii="宋体" w:hAnsi="宋体" w:eastAsia="宋体" w:cs="宋体"/>
                <w:color w:val="FF0000"/>
                <w:sz w:val="21"/>
                <w:szCs w:val="21"/>
              </w:rPr>
            </w:pPr>
          </w:p>
        </w:tc>
        <w:tc>
          <w:tcPr>
            <w:tcW w:w="1564"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设计交底</w:t>
            </w:r>
          </w:p>
        </w:tc>
        <w:tc>
          <w:tcPr>
            <w:tcW w:w="3761" w:type="dxa"/>
            <w:vAlign w:val="center"/>
          </w:tcPr>
          <w:p>
            <w:pPr>
              <w:spacing w:line="24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集电线路和风机基础已完成设计交底工作。</w:t>
            </w:r>
          </w:p>
        </w:tc>
        <w:tc>
          <w:tcPr>
            <w:tcW w:w="3560"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681" w:type="dxa"/>
            <w:vMerge w:val="continue"/>
            <w:vAlign w:val="center"/>
          </w:tcPr>
          <w:p>
            <w:pPr>
              <w:spacing w:line="240" w:lineRule="auto"/>
              <w:rPr>
                <w:rFonts w:hint="eastAsia" w:ascii="宋体" w:hAnsi="宋体" w:eastAsia="宋体" w:cs="宋体"/>
                <w:color w:val="FF0000"/>
                <w:sz w:val="21"/>
                <w:szCs w:val="21"/>
              </w:rPr>
            </w:pPr>
          </w:p>
        </w:tc>
        <w:tc>
          <w:tcPr>
            <w:tcW w:w="1564"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方案审查</w:t>
            </w:r>
          </w:p>
        </w:tc>
        <w:tc>
          <w:tcPr>
            <w:tcW w:w="3761" w:type="dxa"/>
            <w:vAlign w:val="center"/>
          </w:tcPr>
          <w:p>
            <w:pPr>
              <w:spacing w:line="24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施工开工资料和部分施工方案未全部报审</w:t>
            </w:r>
          </w:p>
        </w:tc>
        <w:tc>
          <w:tcPr>
            <w:tcW w:w="3560" w:type="dxa"/>
            <w:vAlign w:val="center"/>
          </w:tcPr>
          <w:p>
            <w:pPr>
              <w:spacing w:line="24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81" w:type="dxa"/>
            <w:vMerge w:val="continue"/>
            <w:vAlign w:val="center"/>
          </w:tcPr>
          <w:p>
            <w:pPr>
              <w:spacing w:line="240" w:lineRule="auto"/>
              <w:rPr>
                <w:rFonts w:hint="eastAsia" w:ascii="宋体" w:hAnsi="宋体" w:eastAsia="宋体" w:cs="宋体"/>
                <w:color w:val="FF0000"/>
                <w:sz w:val="21"/>
                <w:szCs w:val="21"/>
              </w:rPr>
            </w:pPr>
          </w:p>
        </w:tc>
        <w:tc>
          <w:tcPr>
            <w:tcW w:w="1564"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技术交底</w:t>
            </w:r>
          </w:p>
        </w:tc>
        <w:tc>
          <w:tcPr>
            <w:tcW w:w="3761" w:type="dxa"/>
            <w:vAlign w:val="center"/>
          </w:tcPr>
          <w:p>
            <w:pPr>
              <w:spacing w:line="24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施工技术交底未</w:t>
            </w:r>
            <w:r>
              <w:rPr>
                <w:rFonts w:hint="eastAsia" w:ascii="宋体" w:hAnsi="宋体" w:eastAsia="宋体" w:cs="宋体"/>
                <w:color w:val="000000" w:themeColor="text1"/>
                <w:sz w:val="21"/>
                <w:szCs w:val="21"/>
                <w:lang w:eastAsia="zh-CN"/>
                <w14:textFill>
                  <w14:solidFill>
                    <w14:schemeClr w14:val="tx1"/>
                  </w14:solidFill>
                </w14:textFill>
              </w:rPr>
              <w:t>完成</w:t>
            </w:r>
          </w:p>
        </w:tc>
        <w:tc>
          <w:tcPr>
            <w:tcW w:w="3560"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spacing w:line="240" w:lineRule="auto"/>
              <w:rPr>
                <w:rFonts w:hint="eastAsia" w:ascii="宋体" w:hAnsi="宋体" w:eastAsia="宋体" w:cs="宋体"/>
                <w:color w:val="FF0000"/>
                <w:sz w:val="21"/>
                <w:szCs w:val="21"/>
              </w:rPr>
            </w:pPr>
          </w:p>
        </w:tc>
        <w:tc>
          <w:tcPr>
            <w:tcW w:w="1564"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设计变更</w:t>
            </w:r>
          </w:p>
        </w:tc>
        <w:tc>
          <w:tcPr>
            <w:tcW w:w="3761" w:type="dxa"/>
            <w:vAlign w:val="center"/>
          </w:tcPr>
          <w:p>
            <w:pPr>
              <w:spacing w:line="24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无</w:t>
            </w:r>
          </w:p>
        </w:tc>
        <w:tc>
          <w:tcPr>
            <w:tcW w:w="3560"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Merge w:val="restart"/>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w:t>
            </w:r>
          </w:p>
        </w:tc>
        <w:tc>
          <w:tcPr>
            <w:tcW w:w="1564" w:type="dxa"/>
            <w:vAlign w:val="center"/>
          </w:tcPr>
          <w:p>
            <w:pPr>
              <w:tabs>
                <w:tab w:val="left" w:pos="990"/>
              </w:tabs>
              <w:spacing w:line="240" w:lineRule="auto"/>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w:t>
            </w:r>
            <w:r>
              <w:rPr>
                <w:rFonts w:hint="eastAsia" w:ascii="宋体" w:hAnsi="宋体" w:eastAsia="宋体" w:cs="宋体"/>
                <w:color w:val="000000" w:themeColor="text1"/>
                <w:sz w:val="21"/>
                <w:szCs w:val="21"/>
                <w:lang w:val="en-US" w:eastAsia="zh-CN"/>
                <w14:textFill>
                  <w14:solidFill>
                    <w14:schemeClr w14:val="tx1"/>
                  </w14:solidFill>
                </w14:textFill>
              </w:rPr>
              <w:t>月活动开展情况</w:t>
            </w:r>
          </w:p>
        </w:tc>
        <w:tc>
          <w:tcPr>
            <w:tcW w:w="3761" w:type="dxa"/>
            <w:vAlign w:val="center"/>
          </w:tcPr>
          <w:p>
            <w:pPr>
              <w:spacing w:line="24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进一步宣传、遵守安全生产法，项目部每周召安全例会，并形成会议纪要。</w:t>
            </w:r>
          </w:p>
        </w:tc>
        <w:tc>
          <w:tcPr>
            <w:tcW w:w="3560" w:type="dxa"/>
            <w:vAlign w:val="center"/>
          </w:tcPr>
          <w:p>
            <w:pPr>
              <w:spacing w:line="24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以《安全法》的思想为动力、积极开展基坑四周的临边防护，基坑上方落石防止措施，防署降温，防疫的工作。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培训情况</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安全交底情况</w:t>
            </w:r>
          </w:p>
        </w:tc>
        <w:tc>
          <w:tcPr>
            <w:tcW w:w="3761"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本月进行《安全工地例会》四期，并</w:t>
            </w:r>
            <w:r>
              <w:rPr>
                <w:rFonts w:hint="eastAsia" w:ascii="宋体" w:hAnsi="宋体" w:eastAsia="宋体" w:cs="宋体"/>
                <w:color w:val="000000" w:themeColor="text1"/>
                <w:sz w:val="21"/>
                <w:szCs w:val="21"/>
                <w14:textFill>
                  <w14:solidFill>
                    <w14:schemeClr w14:val="tx1"/>
                  </w14:solidFill>
                </w14:textFill>
              </w:rPr>
              <w:t>督促施工单位对危险作业点进行班前交底</w:t>
            </w:r>
          </w:p>
        </w:tc>
        <w:tc>
          <w:tcPr>
            <w:tcW w:w="3560"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继续督促施工单位进行班前交底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安全措施落实情况</w:t>
            </w:r>
          </w:p>
        </w:tc>
        <w:tc>
          <w:tcPr>
            <w:tcW w:w="3761" w:type="dxa"/>
            <w:vAlign w:val="center"/>
          </w:tcPr>
          <w:p>
            <w:pPr>
              <w:spacing w:line="24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场地防护栏杆安装要求施工方落实到位</w:t>
            </w:r>
          </w:p>
        </w:tc>
        <w:tc>
          <w:tcPr>
            <w:tcW w:w="3560" w:type="dxa"/>
            <w:vAlign w:val="center"/>
          </w:tcPr>
          <w:p>
            <w:pPr>
              <w:spacing w:line="24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防火、防高处坠落措施、安全警示加强管理。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安全文明施工情况</w:t>
            </w:r>
          </w:p>
        </w:tc>
        <w:tc>
          <w:tcPr>
            <w:tcW w:w="3761" w:type="dxa"/>
            <w:vAlign w:val="center"/>
          </w:tcPr>
          <w:p>
            <w:pPr>
              <w:spacing w:line="24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现场安全、文明</w:t>
            </w:r>
            <w:r>
              <w:rPr>
                <w:rFonts w:hint="eastAsia" w:ascii="宋体" w:hAnsi="宋体" w:eastAsia="宋体" w:cs="宋体"/>
                <w:color w:val="000000" w:themeColor="text1"/>
                <w:sz w:val="21"/>
                <w:szCs w:val="21"/>
                <w:lang w:val="en-US" w:eastAsia="zh-CN"/>
                <w14:textFill>
                  <w14:solidFill>
                    <w14:schemeClr w14:val="tx1"/>
                  </w14:solidFill>
                </w14:textFill>
              </w:rPr>
              <w:t>施工还不够到位。</w:t>
            </w:r>
          </w:p>
        </w:tc>
        <w:tc>
          <w:tcPr>
            <w:tcW w:w="3560"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加强现场安全管理力度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681" w:type="dxa"/>
            <w:vMerge w:val="restart"/>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w:t>
            </w:r>
          </w:p>
        </w:tc>
        <w:tc>
          <w:tcPr>
            <w:tcW w:w="1564"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主要工序质量</w:t>
            </w:r>
          </w:p>
        </w:tc>
        <w:tc>
          <w:tcPr>
            <w:tcW w:w="3761" w:type="dxa"/>
            <w:vAlign w:val="center"/>
          </w:tcPr>
          <w:p>
            <w:pPr>
              <w:spacing w:line="24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现阶段，要求质量严格按照业主要求监管。</w:t>
            </w:r>
          </w:p>
        </w:tc>
        <w:tc>
          <w:tcPr>
            <w:tcW w:w="3560" w:type="dxa"/>
            <w:vAlign w:val="center"/>
          </w:tcPr>
          <w:p>
            <w:pPr>
              <w:spacing w:line="24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强制性质量问题绝不放过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24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w:t>
            </w:r>
            <w:r>
              <w:rPr>
                <w:rFonts w:hint="eastAsia" w:ascii="宋体" w:hAnsi="宋体" w:eastAsia="宋体" w:cs="宋体"/>
                <w:color w:val="000000" w:themeColor="text1"/>
                <w:sz w:val="21"/>
                <w:szCs w:val="21"/>
                <w:lang w:val="en-US" w:eastAsia="zh-CN"/>
                <w14:textFill>
                  <w14:solidFill>
                    <w14:schemeClr w14:val="tx1"/>
                  </w14:solidFill>
                </w14:textFill>
              </w:rPr>
              <w:t>钢筋</w:t>
            </w:r>
            <w:r>
              <w:rPr>
                <w:rFonts w:hint="eastAsia" w:ascii="宋体" w:hAnsi="宋体" w:eastAsia="宋体" w:cs="宋体"/>
                <w:color w:val="000000" w:themeColor="text1"/>
                <w:sz w:val="21"/>
                <w:szCs w:val="21"/>
                <w14:textFill>
                  <w14:solidFill>
                    <w14:schemeClr w14:val="tx1"/>
                  </w14:solidFill>
                </w14:textFill>
              </w:rPr>
              <w:t>原材</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风机锚栓、高强度螺母见证取样送检。</w:t>
            </w:r>
          </w:p>
        </w:tc>
        <w:tc>
          <w:tcPr>
            <w:tcW w:w="3761" w:type="dxa"/>
            <w:vAlign w:val="center"/>
          </w:tcPr>
          <w:p>
            <w:pPr>
              <w:spacing w:line="24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本月对三批次的风机锚栓、高强度螺母进行见证取样送检。</w:t>
            </w:r>
          </w:p>
        </w:tc>
        <w:tc>
          <w:tcPr>
            <w:tcW w:w="3560" w:type="dxa"/>
            <w:vAlign w:val="center"/>
          </w:tcPr>
          <w:p>
            <w:pPr>
              <w:spacing w:line="24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下月对进场钢筋材料进场见证取样送检工作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81" w:type="dxa"/>
            <w:vMerge w:val="continue"/>
            <w:vAlign w:val="center"/>
          </w:tcPr>
          <w:p>
            <w:pPr>
              <w:spacing w:line="240" w:lineRule="auto"/>
              <w:rPr>
                <w:rFonts w:hint="eastAsia" w:ascii="宋体" w:hAnsi="宋体" w:eastAsia="宋体" w:cs="宋体"/>
                <w:color w:val="FF0000"/>
                <w:sz w:val="21"/>
                <w:szCs w:val="21"/>
              </w:rPr>
            </w:pPr>
          </w:p>
        </w:tc>
        <w:tc>
          <w:tcPr>
            <w:tcW w:w="1564"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构（配）件质量</w:t>
            </w:r>
          </w:p>
        </w:tc>
        <w:tc>
          <w:tcPr>
            <w:tcW w:w="3761" w:type="dxa"/>
            <w:vAlign w:val="center"/>
          </w:tcPr>
          <w:p>
            <w:pPr>
              <w:spacing w:line="24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把控好进场材料质量关</w:t>
            </w:r>
          </w:p>
        </w:tc>
        <w:tc>
          <w:tcPr>
            <w:tcW w:w="3560" w:type="dxa"/>
            <w:vAlign w:val="center"/>
          </w:tcPr>
          <w:p>
            <w:pPr>
              <w:spacing w:line="24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严抓构配件质量问题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81" w:type="dxa"/>
            <w:vMerge w:val="continue"/>
            <w:vAlign w:val="center"/>
          </w:tcPr>
          <w:p>
            <w:pPr>
              <w:spacing w:line="240" w:lineRule="auto"/>
              <w:rPr>
                <w:rFonts w:hint="eastAsia" w:ascii="宋体" w:hAnsi="宋体" w:eastAsia="宋体" w:cs="宋体"/>
                <w:color w:val="FF0000"/>
                <w:sz w:val="21"/>
                <w:szCs w:val="21"/>
              </w:rPr>
            </w:pPr>
          </w:p>
        </w:tc>
        <w:tc>
          <w:tcPr>
            <w:tcW w:w="1564"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设备质量</w:t>
            </w:r>
          </w:p>
        </w:tc>
        <w:tc>
          <w:tcPr>
            <w:tcW w:w="3761" w:type="dxa"/>
            <w:vAlign w:val="center"/>
          </w:tcPr>
          <w:p>
            <w:pPr>
              <w:spacing w:line="24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目前未进场</w:t>
            </w:r>
          </w:p>
        </w:tc>
        <w:tc>
          <w:tcPr>
            <w:tcW w:w="3560"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spacing w:line="240" w:lineRule="auto"/>
              <w:rPr>
                <w:rFonts w:hint="eastAsia" w:ascii="宋体" w:hAnsi="宋体" w:eastAsia="宋体" w:cs="宋体"/>
                <w:color w:val="FF0000"/>
                <w:sz w:val="21"/>
                <w:szCs w:val="21"/>
              </w:rPr>
            </w:pPr>
          </w:p>
        </w:tc>
        <w:tc>
          <w:tcPr>
            <w:tcW w:w="1564"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质量验评情况</w:t>
            </w:r>
          </w:p>
        </w:tc>
        <w:tc>
          <w:tcPr>
            <w:tcW w:w="3761" w:type="dxa"/>
            <w:vAlign w:val="center"/>
          </w:tcPr>
          <w:p>
            <w:pPr>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不符合设计要求的地方，要求施工方进行整改</w:t>
            </w:r>
          </w:p>
        </w:tc>
        <w:tc>
          <w:tcPr>
            <w:tcW w:w="3560" w:type="dxa"/>
            <w:vAlign w:val="center"/>
          </w:tcPr>
          <w:p>
            <w:pPr>
              <w:spacing w:line="240" w:lineRule="auto"/>
              <w:rPr>
                <w:rFonts w:hint="eastAsia" w:ascii="宋体" w:hAnsi="宋体" w:eastAsia="宋体" w:cs="宋体"/>
                <w:color w:val="000000" w:themeColor="text1"/>
                <w:sz w:val="21"/>
                <w:szCs w:val="21"/>
                <w:lang w:val="en-US" w:eastAsia="zh-CN"/>
                <w14:textFill>
                  <w14:solidFill>
                    <w14:schemeClr w14:val="tx1"/>
                  </w14:solidFill>
                </w14:textFill>
              </w:rPr>
            </w:pPr>
          </w:p>
        </w:tc>
      </w:tr>
    </w:tbl>
    <w:p>
      <w:pPr>
        <w:pStyle w:val="8"/>
        <w:widowControl w:val="0"/>
        <w:numPr>
          <w:ilvl w:val="0"/>
          <w:numId w:val="1"/>
        </w:numPr>
        <w:spacing w:before="156" w:beforeLines="50" w:after="156" w:afterLines="50" w:line="360" w:lineRule="auto"/>
        <w:ind w:left="612" w:leftChars="0" w:hanging="612"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工程存在的问题和建议</w:t>
      </w:r>
    </w:p>
    <w:p>
      <w:pPr>
        <w:pStyle w:val="8"/>
        <w:widowControl w:val="0"/>
        <w:numPr>
          <w:ilvl w:val="0"/>
          <w:numId w:val="4"/>
        </w:numPr>
        <w:spacing w:before="156" w:beforeLines="50" w:after="156" w:afterLines="50" w:line="360" w:lineRule="auto"/>
        <w:ind w:left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业主方赞皇蓝源风力发电有限公司和EPC总包中国电建集团湖北工程有限公司正在加快对影响工程进度各种手续和工程使用资金的协调工作；监理项目部要求总包单位现场项目部对现场存在的问题及时向相关的上级领导沟通汇报，能够及时解决问题；</w:t>
      </w:r>
    </w:p>
    <w:p>
      <w:pPr>
        <w:pStyle w:val="8"/>
        <w:widowControl w:val="0"/>
        <w:numPr>
          <w:ilvl w:val="0"/>
          <w:numId w:val="4"/>
        </w:numPr>
        <w:spacing w:before="156" w:beforeLines="50" w:after="156" w:afterLines="50" w:line="360" w:lineRule="auto"/>
        <w:ind w:left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《监理合同》还没有订立完成，造成监理工作难以开展，目前监理工作量较大，监理人员由于没有合同难以安排工作。合同问题已经多次与赞皇蓝源风力发电有限公司现场项目经理进行交涉。但还是无果。</w:t>
      </w:r>
    </w:p>
    <w:p>
      <w:pPr>
        <w:pStyle w:val="8"/>
        <w:widowControl w:val="0"/>
        <w:numPr>
          <w:ilvl w:val="0"/>
          <w:numId w:val="1"/>
        </w:numPr>
        <w:spacing w:before="156" w:beforeLines="50" w:after="156" w:afterLines="50" w:line="360" w:lineRule="auto"/>
        <w:ind w:left="612" w:leftChars="0" w:hanging="612"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下月监理工作重点</w:t>
      </w:r>
    </w:p>
    <w:p>
      <w:pPr>
        <w:pStyle w:val="8"/>
        <w:widowControl w:val="0"/>
        <w:numPr>
          <w:ilvl w:val="0"/>
          <w:numId w:val="5"/>
        </w:numPr>
        <w:spacing w:before="156" w:beforeLines="50" w:after="156" w:afterLines="50" w:line="360" w:lineRule="auto"/>
        <w:ind w:left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督促完成施工总包单位对项目前期资料报审工作；</w:t>
      </w:r>
    </w:p>
    <w:p>
      <w:pPr>
        <w:pStyle w:val="8"/>
        <w:widowControl w:val="0"/>
        <w:numPr>
          <w:ilvl w:val="0"/>
          <w:numId w:val="5"/>
        </w:numPr>
        <w:spacing w:before="156" w:beforeLines="50" w:after="156" w:afterLines="50" w:line="360" w:lineRule="auto"/>
        <w:ind w:left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督促施工过程资料编制工作与项目施工进度同步；</w:t>
      </w:r>
    </w:p>
    <w:p>
      <w:pPr>
        <w:pStyle w:val="8"/>
        <w:widowControl w:val="0"/>
        <w:numPr>
          <w:ilvl w:val="0"/>
          <w:numId w:val="5"/>
        </w:numPr>
        <w:spacing w:before="156" w:beforeLines="50" w:after="156" w:afterLines="50" w:line="360" w:lineRule="auto"/>
        <w:ind w:left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督促施工单位对施工现场进行规范化管理；</w:t>
      </w:r>
    </w:p>
    <w:p>
      <w:pPr>
        <w:pStyle w:val="8"/>
        <w:widowControl w:val="0"/>
        <w:numPr>
          <w:ilvl w:val="0"/>
          <w:numId w:val="5"/>
        </w:numPr>
        <w:spacing w:before="156" w:beforeLines="50" w:after="156" w:afterLines="50" w:line="360" w:lineRule="auto"/>
        <w:ind w:left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项目监理人员要加强各种规范、制度的学习和自身监理技术水平的提高。</w:t>
      </w:r>
    </w:p>
    <w:p>
      <w:pPr>
        <w:pStyle w:val="8"/>
        <w:widowControl w:val="0"/>
        <w:numPr>
          <w:ilvl w:val="0"/>
          <w:numId w:val="5"/>
        </w:numPr>
        <w:spacing w:before="156" w:beforeLines="50" w:after="156" w:afterLines="50" w:line="240" w:lineRule="auto"/>
        <w:ind w:leftChars="0"/>
        <w:jc w:val="left"/>
        <w:rPr>
          <w:rFonts w:hint="default"/>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主持召开好《监理例会》和《安全监理例会》会议工作，工程上的问题能够在会上能够得到落实和处理。</w:t>
      </w:r>
    </w:p>
    <w:p>
      <w:pPr>
        <w:pStyle w:val="8"/>
        <w:widowControl w:val="0"/>
        <w:numPr>
          <w:ilvl w:val="0"/>
          <w:numId w:val="1"/>
        </w:numPr>
        <w:spacing w:before="156" w:beforeLines="50" w:after="156" w:afterLines="50" w:line="240" w:lineRule="auto"/>
        <w:ind w:left="612" w:leftChars="0" w:hanging="612" w:firstLineChars="0"/>
        <w:jc w:val="left"/>
        <w:rPr>
          <w:rFonts w:hint="eastAsia"/>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现场图片</w:t>
      </w:r>
      <w:r>
        <w:rPr>
          <w:rFonts w:hint="eastAsia"/>
          <w:color w:val="000000" w:themeColor="text1"/>
          <w:sz w:val="24"/>
          <w:szCs w:val="24"/>
          <w:lang w:val="en-US" w:eastAsia="zh-CN"/>
          <w14:textFill>
            <w14:solidFill>
              <w14:schemeClr w14:val="tx1"/>
            </w14:solidFill>
          </w14:textFill>
        </w:rPr>
        <w:t xml:space="preserve">  </w:t>
      </w:r>
    </w:p>
    <w:p>
      <w:pPr>
        <w:pStyle w:val="8"/>
        <w:widowControl w:val="0"/>
        <w:numPr>
          <w:ilvl w:val="0"/>
          <w:numId w:val="0"/>
        </w:numPr>
        <w:spacing w:before="156" w:beforeLines="50" w:after="156" w:afterLines="50" w:line="240" w:lineRule="auto"/>
        <w:ind w:leftChars="0"/>
        <w:jc w:val="left"/>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    集电线路2N7塔基浇筑混凝土塌落度测试检查</w:t>
      </w:r>
    </w:p>
    <w:p>
      <w:pPr>
        <w:pStyle w:val="8"/>
        <w:widowControl w:val="0"/>
        <w:numPr>
          <w:ilvl w:val="0"/>
          <w:numId w:val="0"/>
        </w:numPr>
        <w:spacing w:before="156" w:beforeLines="50" w:after="156" w:afterLines="50" w:line="240" w:lineRule="auto"/>
        <w:ind w:leftChars="0"/>
        <w:jc w:val="left"/>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drawing>
          <wp:inline distT="0" distB="0" distL="114300" distR="114300">
            <wp:extent cx="6094730" cy="2729865"/>
            <wp:effectExtent l="0" t="0" r="1270" b="13335"/>
            <wp:docPr id="5" name="图片 5" descr="89f31d882407e48d6fb432a9969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9f31d882407e48d6fb432a99695084"/>
                    <pic:cNvPicPr>
                      <a:picLocks noChangeAspect="1"/>
                    </pic:cNvPicPr>
                  </pic:nvPicPr>
                  <pic:blipFill>
                    <a:blip r:embed="rId7"/>
                    <a:stretch>
                      <a:fillRect/>
                    </a:stretch>
                  </pic:blipFill>
                  <pic:spPr>
                    <a:xfrm>
                      <a:off x="0" y="0"/>
                      <a:ext cx="6094730" cy="2729865"/>
                    </a:xfrm>
                    <a:prstGeom prst="rect">
                      <a:avLst/>
                    </a:prstGeom>
                  </pic:spPr>
                </pic:pic>
              </a:graphicData>
            </a:graphic>
          </wp:inline>
        </w:drawing>
      </w:r>
    </w:p>
    <w:p>
      <w:pPr>
        <w:pStyle w:val="8"/>
        <w:widowControl w:val="0"/>
        <w:numPr>
          <w:ilvl w:val="0"/>
          <w:numId w:val="0"/>
        </w:numPr>
        <w:spacing w:before="156" w:beforeLines="50" w:after="156" w:afterLines="50" w:line="240" w:lineRule="auto"/>
        <w:ind w:leftChars="0"/>
        <w:jc w:val="left"/>
        <w:rPr>
          <w:rFonts w:hint="default"/>
          <w:color w:val="000000" w:themeColor="text1"/>
          <w:sz w:val="24"/>
          <w:szCs w:val="24"/>
          <w:lang w:val="en-US" w:eastAsia="zh-CN"/>
          <w14:textFill>
            <w14:solidFill>
              <w14:schemeClr w14:val="tx1"/>
            </w14:solidFill>
          </w14:textFill>
        </w:rPr>
      </w:pPr>
    </w:p>
    <w:p>
      <w:pPr>
        <w:pStyle w:val="8"/>
        <w:widowControl w:val="0"/>
        <w:numPr>
          <w:ilvl w:val="0"/>
          <w:numId w:val="0"/>
        </w:numPr>
        <w:spacing w:before="156" w:beforeLines="50" w:after="156" w:afterLines="50" w:line="240" w:lineRule="auto"/>
        <w:ind w:leftChars="0"/>
        <w:jc w:val="left"/>
        <w:rPr>
          <w:rFonts w:hint="eastAsia" w:eastAsiaTheme="minorEastAsia"/>
          <w:b w:val="0"/>
          <w:bCs w:val="0"/>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vertAlign w:val="baseline"/>
          <w:lang w:val="en-US" w:eastAsia="zh-CN"/>
          <w14:textFill>
            <w14:solidFill>
              <w14:schemeClr w14:val="tx1"/>
            </w14:solidFill>
          </w14:textFill>
        </w:rPr>
        <w:t>、升压站一次舱基础换填</w:t>
      </w:r>
      <w:bookmarkStart w:id="0" w:name="_GoBack"/>
      <w:r>
        <w:rPr>
          <w:rFonts w:hint="eastAsia" w:eastAsiaTheme="minorEastAsia"/>
          <w:b w:val="0"/>
          <w:bCs w:val="0"/>
          <w:color w:val="000000" w:themeColor="text1"/>
          <w:sz w:val="24"/>
          <w:szCs w:val="24"/>
          <w:lang w:eastAsia="zh-CN"/>
          <w14:textFill>
            <w14:solidFill>
              <w14:schemeClr w14:val="tx1"/>
            </w14:solidFill>
          </w14:textFill>
        </w:rPr>
        <w:drawing>
          <wp:inline distT="0" distB="0" distL="114300" distR="114300">
            <wp:extent cx="6078855" cy="2736215"/>
            <wp:effectExtent l="0" t="0" r="17145" b="6985"/>
            <wp:docPr id="6" name="图片 6" descr="6b7b52eabe7f9d6f904e87ff5cedf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b7b52eabe7f9d6f904e87ff5cedf3b"/>
                    <pic:cNvPicPr>
                      <a:picLocks noChangeAspect="1"/>
                    </pic:cNvPicPr>
                  </pic:nvPicPr>
                  <pic:blipFill>
                    <a:blip r:embed="rId8"/>
                    <a:stretch>
                      <a:fillRect/>
                    </a:stretch>
                  </pic:blipFill>
                  <pic:spPr>
                    <a:xfrm>
                      <a:off x="0" y="0"/>
                      <a:ext cx="6078855" cy="2736215"/>
                    </a:xfrm>
                    <a:prstGeom prst="rect">
                      <a:avLst/>
                    </a:prstGeom>
                  </pic:spPr>
                </pic:pic>
              </a:graphicData>
            </a:graphic>
          </wp:inline>
        </w:drawing>
      </w:r>
      <w:bookmarkEnd w:id="0"/>
    </w:p>
    <w:p>
      <w:pPr>
        <w:pStyle w:val="2"/>
        <w:spacing w:before="156" w:after="120"/>
        <w:ind w:firstLine="2400" w:firstLineChars="1000"/>
        <w:jc w:val="both"/>
        <w:rPr>
          <w:rFonts w:hint="eastAsia" w:ascii="宋体" w:hAnsi="宋体" w:eastAsia="宋体" w:cs="宋体"/>
          <w:b w:val="0"/>
          <w:bCs w:val="0"/>
          <w:i w:val="0"/>
          <w:iCs w:val="0"/>
          <w:sz w:val="24"/>
          <w:szCs w:val="24"/>
          <w:u w:val="none"/>
          <w:lang w:val="en-US" w:eastAsia="zh-CN"/>
        </w:rPr>
      </w:pPr>
    </w:p>
    <w:p>
      <w:pPr>
        <w:pStyle w:val="2"/>
        <w:spacing w:before="156" w:after="120"/>
        <w:jc w:val="both"/>
        <w:rPr>
          <w:rFonts w:hint="default" w:ascii="宋体" w:hAnsi="宋体" w:eastAsia="宋体" w:cs="宋体"/>
          <w:b w:val="0"/>
          <w:bCs w:val="0"/>
          <w:i w:val="0"/>
          <w:iCs w:val="0"/>
          <w:sz w:val="24"/>
          <w:szCs w:val="24"/>
          <w:u w:val="none"/>
          <w:lang w:val="en-US" w:eastAsia="zh-CN"/>
        </w:rPr>
      </w:pPr>
      <w:r>
        <w:rPr>
          <w:rFonts w:hint="eastAsia" w:ascii="宋体" w:hAnsi="宋体" w:eastAsia="宋体" w:cs="宋体"/>
          <w:b w:val="0"/>
          <w:bCs w:val="0"/>
          <w:i w:val="0"/>
          <w:iCs w:val="0"/>
          <w:sz w:val="24"/>
          <w:szCs w:val="24"/>
          <w:u w:val="none"/>
          <w:lang w:val="en-US" w:eastAsia="zh-CN"/>
        </w:rPr>
        <w:t xml:space="preserve">    3、30#风机基础浇筑现场监理旁站</w:t>
      </w:r>
    </w:p>
    <w:p>
      <w:pPr>
        <w:pStyle w:val="2"/>
        <w:spacing w:before="156" w:after="120"/>
        <w:jc w:val="both"/>
        <w:rPr>
          <w:rFonts w:hint="eastAsia" w:ascii="宋体" w:hAnsi="宋体" w:eastAsia="宋体" w:cs="宋体"/>
          <w:b w:val="0"/>
          <w:bCs w:val="0"/>
          <w:i w:val="0"/>
          <w:iCs w:val="0"/>
          <w:sz w:val="24"/>
          <w:szCs w:val="24"/>
          <w:u w:val="none"/>
          <w:lang w:val="en-US" w:eastAsia="zh-CN"/>
        </w:rPr>
      </w:pPr>
      <w:r>
        <w:rPr>
          <w:rFonts w:hint="eastAsia" w:ascii="宋体" w:hAnsi="宋体" w:eastAsia="宋体" w:cs="宋体"/>
          <w:b w:val="0"/>
          <w:bCs w:val="0"/>
          <w:i w:val="0"/>
          <w:iCs w:val="0"/>
          <w:sz w:val="24"/>
          <w:szCs w:val="24"/>
          <w:u w:val="none"/>
          <w:lang w:val="en-US" w:eastAsia="zh-CN"/>
        </w:rPr>
        <w:drawing>
          <wp:inline distT="0" distB="0" distL="114300" distR="114300">
            <wp:extent cx="6210300" cy="2756535"/>
            <wp:effectExtent l="0" t="0" r="0" b="5715"/>
            <wp:docPr id="7" name="图片 7" descr="5fca38d6508fe1a4b627e1eb1a59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fca38d6508fe1a4b627e1eb1a597ed"/>
                    <pic:cNvPicPr>
                      <a:picLocks noChangeAspect="1"/>
                    </pic:cNvPicPr>
                  </pic:nvPicPr>
                  <pic:blipFill>
                    <a:blip r:embed="rId9"/>
                    <a:stretch>
                      <a:fillRect/>
                    </a:stretch>
                  </pic:blipFill>
                  <pic:spPr>
                    <a:xfrm>
                      <a:off x="0" y="0"/>
                      <a:ext cx="6210300" cy="2756535"/>
                    </a:xfrm>
                    <a:prstGeom prst="rect">
                      <a:avLst/>
                    </a:prstGeom>
                  </pic:spPr>
                </pic:pic>
              </a:graphicData>
            </a:graphic>
          </wp:inline>
        </w:drawing>
      </w:r>
    </w:p>
    <w:p>
      <w:pPr>
        <w:pStyle w:val="2"/>
        <w:spacing w:before="156" w:after="120"/>
        <w:jc w:val="both"/>
        <w:rPr>
          <w:rFonts w:hint="eastAsia" w:ascii="宋体" w:hAnsi="宋体" w:eastAsia="宋体" w:cs="宋体"/>
          <w:b w:val="0"/>
          <w:bCs w:val="0"/>
          <w:i w:val="0"/>
          <w:iCs w:val="0"/>
          <w:sz w:val="24"/>
          <w:szCs w:val="24"/>
          <w:u w:val="none"/>
          <w:lang w:val="en-US" w:eastAsia="zh-CN"/>
        </w:rPr>
      </w:pPr>
      <w:r>
        <w:rPr>
          <w:rFonts w:hint="eastAsia" w:ascii="宋体" w:hAnsi="宋体" w:eastAsia="宋体" w:cs="宋体"/>
          <w:b w:val="0"/>
          <w:bCs w:val="0"/>
          <w:i w:val="0"/>
          <w:iCs w:val="0"/>
          <w:sz w:val="24"/>
          <w:szCs w:val="24"/>
          <w:u w:val="none"/>
          <w:lang w:val="en-US" w:eastAsia="zh-CN"/>
        </w:rPr>
        <w:drawing>
          <wp:anchor distT="0" distB="0" distL="114300" distR="114300" simplePos="0" relativeHeight="251661312" behindDoc="1" locked="0" layoutInCell="1" allowOverlap="1">
            <wp:simplePos x="0" y="0"/>
            <wp:positionH relativeFrom="column">
              <wp:posOffset>-12700</wp:posOffset>
            </wp:positionH>
            <wp:positionV relativeFrom="paragraph">
              <wp:posOffset>224155</wp:posOffset>
            </wp:positionV>
            <wp:extent cx="6229985" cy="2769870"/>
            <wp:effectExtent l="0" t="0" r="18415" b="49530"/>
            <wp:wrapTight wrapText="bothSides">
              <wp:wrapPolygon>
                <wp:start x="0" y="0"/>
                <wp:lineTo x="0" y="21392"/>
                <wp:lineTo x="21532" y="21392"/>
                <wp:lineTo x="21532" y="0"/>
                <wp:lineTo x="0" y="0"/>
              </wp:wrapPolygon>
            </wp:wrapTight>
            <wp:docPr id="8" name="图片 8" descr="2aa7ad337a03271c88ee065bbf63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aa7ad337a03271c88ee065bbf63ee2"/>
                    <pic:cNvPicPr>
                      <a:picLocks noChangeAspect="1"/>
                    </pic:cNvPicPr>
                  </pic:nvPicPr>
                  <pic:blipFill>
                    <a:blip r:embed="rId10"/>
                    <a:stretch>
                      <a:fillRect/>
                    </a:stretch>
                  </pic:blipFill>
                  <pic:spPr>
                    <a:xfrm>
                      <a:off x="0" y="0"/>
                      <a:ext cx="6229985" cy="2769870"/>
                    </a:xfrm>
                    <a:prstGeom prst="rect">
                      <a:avLst/>
                    </a:prstGeom>
                  </pic:spPr>
                </pic:pic>
              </a:graphicData>
            </a:graphic>
          </wp:anchor>
        </w:drawing>
      </w:r>
      <w:r>
        <w:rPr>
          <w:rFonts w:hint="eastAsia" w:ascii="宋体" w:hAnsi="宋体" w:eastAsia="宋体" w:cs="宋体"/>
          <w:b w:val="0"/>
          <w:bCs w:val="0"/>
          <w:i w:val="0"/>
          <w:iCs w:val="0"/>
          <w:sz w:val="24"/>
          <w:szCs w:val="24"/>
          <w:u w:val="none"/>
          <w:lang w:val="en-US" w:eastAsia="zh-CN"/>
        </w:rPr>
        <w:t xml:space="preserve">  4、升压站一次舱基础钢筋绑扎</w:t>
      </w:r>
    </w:p>
    <w:p>
      <w:pPr>
        <w:pStyle w:val="2"/>
        <w:spacing w:before="156" w:after="120"/>
        <w:ind w:firstLine="2400" w:firstLineChars="1000"/>
        <w:jc w:val="both"/>
        <w:rPr>
          <w:rFonts w:hint="eastAsia" w:ascii="宋体" w:hAnsi="宋体" w:eastAsia="宋体" w:cs="宋体"/>
          <w:b w:val="0"/>
          <w:bCs w:val="0"/>
          <w:i w:val="0"/>
          <w:iCs w:val="0"/>
          <w:sz w:val="24"/>
          <w:szCs w:val="24"/>
          <w:u w:val="none"/>
          <w:lang w:val="en-US" w:eastAsia="zh-CN"/>
        </w:rPr>
      </w:pPr>
    </w:p>
    <w:p>
      <w:pPr>
        <w:pStyle w:val="2"/>
        <w:spacing w:before="156" w:after="120"/>
        <w:jc w:val="center"/>
        <w:rPr>
          <w:b w:val="0"/>
          <w:bCs w:val="0"/>
          <w:sz w:val="24"/>
          <w:szCs w:val="24"/>
          <w:lang w:val="en-US"/>
        </w:rPr>
      </w:pPr>
      <w:r>
        <w:rPr>
          <w:rFonts w:hint="eastAsia" w:ascii="宋体" w:hAnsi="宋体" w:eastAsia="宋体" w:cs="宋体"/>
          <w:b w:val="0"/>
          <w:bCs w:val="0"/>
          <w:i w:val="0"/>
          <w:iCs w:val="0"/>
          <w:sz w:val="24"/>
          <w:szCs w:val="24"/>
          <w:u w:val="none"/>
          <w:lang w:val="en-US" w:eastAsia="zh-CN"/>
        </w:rPr>
        <w:t xml:space="preserve"> 常州正衡电力工程监理有限公司赞皇40万千瓦一期20万千瓦风电项目 （本期10万千瓦）</w:t>
      </w:r>
    </w:p>
    <w:p>
      <w:pPr>
        <w:spacing w:before="312" w:beforeLines="100" w:after="468" w:afterLines="150" w:line="240" w:lineRule="auto"/>
        <w:jc w:val="center"/>
        <w:rPr>
          <w:rFonts w:hint="eastAsia" w:asciiTheme="minorEastAsia" w:hAnsiTheme="minorEastAsia" w:cstheme="minorEastAsia"/>
          <w:b w:val="0"/>
          <w:bCs w:val="0"/>
          <w:i w:val="0"/>
          <w:iCs w:val="0"/>
          <w:sz w:val="24"/>
          <w:szCs w:val="24"/>
          <w:u w:val="none"/>
          <w:lang w:val="en-US" w:eastAsia="zh-CN"/>
        </w:rPr>
      </w:pPr>
      <w:r>
        <w:rPr>
          <w:rFonts w:hint="eastAsia" w:asciiTheme="minorEastAsia" w:hAnsiTheme="minorEastAsia" w:eastAsiaTheme="minorEastAsia" w:cstheme="minorEastAsia"/>
          <w:b w:val="0"/>
          <w:bCs w:val="0"/>
          <w:i w:val="0"/>
          <w:iCs w:val="0"/>
          <w:sz w:val="24"/>
          <w:szCs w:val="24"/>
          <w:u w:val="none"/>
          <w:lang w:val="en-US" w:eastAsia="zh-CN"/>
        </w:rPr>
        <w:t>监理部</w:t>
      </w:r>
      <w:r>
        <w:rPr>
          <w:rFonts w:hint="eastAsia" w:asciiTheme="minorEastAsia" w:hAnsiTheme="minorEastAsia" w:cstheme="minorEastAsia"/>
          <w:b w:val="0"/>
          <w:bCs w:val="0"/>
          <w:i w:val="0"/>
          <w:iCs w:val="0"/>
          <w:sz w:val="24"/>
          <w:szCs w:val="24"/>
          <w:u w:val="none"/>
          <w:lang w:val="en-US" w:eastAsia="zh-CN"/>
        </w:rPr>
        <w:t xml:space="preserve">  </w:t>
      </w:r>
    </w:p>
    <w:p>
      <w:pPr>
        <w:spacing w:before="312" w:beforeLines="100" w:after="468" w:afterLines="150" w:line="240" w:lineRule="auto"/>
        <w:jc w:val="center"/>
        <w:rPr>
          <w:rFonts w:hint="eastAsia" w:ascii="宋体" w:hAnsi="宋体" w:eastAsia="宋体" w:cs="宋体"/>
          <w:b w:val="0"/>
          <w:bCs w:val="0"/>
          <w:i w:val="0"/>
          <w:iCs w:val="0"/>
          <w:sz w:val="24"/>
          <w:szCs w:val="24"/>
          <w:u w:val="none"/>
          <w:lang w:val="en-US" w:eastAsia="zh-CN"/>
        </w:rPr>
      </w:pPr>
      <w:r>
        <w:rPr>
          <w:rFonts w:hint="eastAsia" w:asciiTheme="minorEastAsia" w:hAnsiTheme="minorEastAsia" w:cstheme="minorEastAsia"/>
          <w:b w:val="0"/>
          <w:bCs w:val="0"/>
          <w:i w:val="0"/>
          <w:iCs w:val="0"/>
          <w:sz w:val="24"/>
          <w:szCs w:val="24"/>
          <w:u w:val="none"/>
          <w:lang w:val="en-US" w:eastAsia="zh-CN"/>
        </w:rPr>
        <w:t xml:space="preserve"> </w:t>
      </w:r>
      <w:r>
        <w:rPr>
          <w:rFonts w:hint="eastAsia"/>
          <w:color w:val="000000" w:themeColor="text1"/>
          <w:sz w:val="28"/>
          <w:szCs w:val="28"/>
          <w14:textFill>
            <w14:solidFill>
              <w14:schemeClr w14:val="tx1"/>
            </w14:solidFill>
          </w14:textFill>
        </w:rPr>
        <w:t>20</w:t>
      </w:r>
      <w:r>
        <w:rPr>
          <w:rFonts w:hint="eastAsia"/>
          <w:color w:val="000000" w:themeColor="text1"/>
          <w:sz w:val="28"/>
          <w:szCs w:val="28"/>
          <w:lang w:val="en-US" w:eastAsia="zh-CN"/>
          <w14:textFill>
            <w14:solidFill>
              <w14:schemeClr w14:val="tx1"/>
            </w14:solidFill>
          </w14:textFill>
        </w:rPr>
        <w:t>22</w:t>
      </w:r>
      <w:r>
        <w:rPr>
          <w:rFonts w:hint="eastAsia"/>
          <w:color w:val="000000" w:themeColor="text1"/>
          <w:sz w:val="28"/>
          <w:szCs w:val="28"/>
          <w14:textFill>
            <w14:solidFill>
              <w14:schemeClr w14:val="tx1"/>
            </w14:solidFill>
          </w14:textFill>
        </w:rPr>
        <w:t>年</w:t>
      </w:r>
      <w:r>
        <w:rPr>
          <w:rFonts w:hint="eastAsia"/>
          <w:color w:val="000000" w:themeColor="text1"/>
          <w:sz w:val="28"/>
          <w:szCs w:val="28"/>
          <w:lang w:val="en-US" w:eastAsia="zh-CN"/>
          <w14:textFill>
            <w14:solidFill>
              <w14:schemeClr w14:val="tx1"/>
            </w14:solidFill>
          </w14:textFill>
        </w:rPr>
        <w:t>7</w:t>
      </w:r>
      <w:r>
        <w:rPr>
          <w:rFonts w:hint="eastAsia"/>
          <w:color w:val="000000" w:themeColor="text1"/>
          <w:sz w:val="28"/>
          <w:szCs w:val="28"/>
          <w14:textFill>
            <w14:solidFill>
              <w14:schemeClr w14:val="tx1"/>
            </w14:solidFill>
          </w14:textFill>
        </w:rPr>
        <w:t>月</w:t>
      </w:r>
      <w:r>
        <w:rPr>
          <w:rFonts w:hint="eastAsia"/>
          <w:color w:val="000000" w:themeColor="text1"/>
          <w:sz w:val="28"/>
          <w:szCs w:val="28"/>
          <w:lang w:val="en-US" w:eastAsia="zh-CN"/>
          <w14:textFill>
            <w14:solidFill>
              <w14:schemeClr w14:val="tx1"/>
            </w14:solidFill>
          </w14:textFill>
        </w:rPr>
        <w:t>31日</w:t>
      </w:r>
    </w:p>
    <w:sectPr>
      <w:headerReference r:id="rId4" w:type="first"/>
      <w:headerReference r:id="rId3" w:type="default"/>
      <w:footerReference r:id="rId5" w:type="default"/>
      <w:pgSz w:w="11906" w:h="16838"/>
      <w:pgMar w:top="1134" w:right="850" w:bottom="1134" w:left="1417"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0521851"/>
    </w:sdtPr>
    <w:sdtContent>
      <w:p>
        <w:pPr>
          <w:pStyle w:val="3"/>
          <w:jc w:val="center"/>
        </w:pPr>
        <w:r>
          <w:fldChar w:fldCharType="begin"/>
        </w:r>
        <w:r>
          <w:instrText xml:space="preserve">PAGE   \* MERGEFORMAT</w:instrText>
        </w:r>
        <w:r>
          <w:fldChar w:fldCharType="separate"/>
        </w:r>
        <w:r>
          <w:rPr>
            <w:lang w:val="zh-CN"/>
          </w:rPr>
          <w:t>4</w:t>
        </w:r>
        <w:r>
          <w:fldChar w:fldCharType="end"/>
        </w:r>
      </w:p>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ind w:firstLine="1681" w:firstLineChars="800"/>
      <w:jc w:val="both"/>
      <w:rPr>
        <w:rFonts w:hint="default"/>
        <w:lang w:val="en-US"/>
      </w:rPr>
    </w:pPr>
    <w:r>
      <w:rPr>
        <w:rFonts w:hint="eastAsia" w:ascii="微软雅黑" w:hAnsi="微软雅黑" w:eastAsia="微软雅黑" w:cs="微软雅黑"/>
        <w:b/>
        <w:bCs/>
        <w:sz w:val="21"/>
        <w:szCs w:val="21"/>
        <w:lang w:eastAsia="zh-CN"/>
      </w:rPr>
      <w:drawing>
        <wp:anchor distT="0" distB="0" distL="114300" distR="114300" simplePos="0" relativeHeight="251660288" behindDoc="1" locked="0" layoutInCell="1" allowOverlap="1">
          <wp:simplePos x="0" y="0"/>
          <wp:positionH relativeFrom="column">
            <wp:posOffset>19050</wp:posOffset>
          </wp:positionH>
          <wp:positionV relativeFrom="paragraph">
            <wp:posOffset>-128270</wp:posOffset>
          </wp:positionV>
          <wp:extent cx="537845" cy="509905"/>
          <wp:effectExtent l="0" t="0" r="8255" b="10795"/>
          <wp:wrapNone/>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37845" cy="509905"/>
                  </a:xfrm>
                  <a:prstGeom prst="rect">
                    <a:avLst/>
                  </a:prstGeom>
                  <a:noFill/>
                  <a:ln>
                    <a:noFill/>
                  </a:ln>
                </pic:spPr>
              </pic:pic>
            </a:graphicData>
          </a:graphic>
        </wp:anchor>
      </w:drawing>
    </w:r>
    <w:r>
      <w:rPr>
        <w:rFonts w:hint="eastAsia" w:ascii="微软雅黑" w:hAnsi="微软雅黑" w:eastAsia="微软雅黑" w:cs="微软雅黑"/>
        <w:b w:val="0"/>
        <w:bCs w:val="0"/>
        <w:i w:val="0"/>
        <w:iCs w:val="0"/>
        <w:sz w:val="21"/>
        <w:szCs w:val="21"/>
        <w:u w:val="none"/>
        <w:lang w:val="en-US" w:eastAsia="zh-CN"/>
      </w:rPr>
      <w:t xml:space="preserve">                                                          监理月报第3期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center"/>
      <w:rPr>
        <w:rFonts w:hint="default"/>
        <w:lang w:val="en-US"/>
      </w:rPr>
    </w:pPr>
    <w:r>
      <w:rPr>
        <w:rFonts w:hint="eastAsia" w:ascii="微软雅黑" w:hAnsi="微软雅黑" w:eastAsia="微软雅黑" w:cs="微软雅黑"/>
        <w:b/>
        <w:bCs/>
        <w:sz w:val="21"/>
        <w:szCs w:val="21"/>
        <w:lang w:eastAsia="zh-CN"/>
      </w:rPr>
      <w:drawing>
        <wp:anchor distT="0" distB="0" distL="114300" distR="114300" simplePos="0" relativeHeight="251659264" behindDoc="1" locked="0" layoutInCell="1" allowOverlap="1">
          <wp:simplePos x="0" y="0"/>
          <wp:positionH relativeFrom="column">
            <wp:posOffset>-307975</wp:posOffset>
          </wp:positionH>
          <wp:positionV relativeFrom="paragraph">
            <wp:posOffset>-298450</wp:posOffset>
          </wp:positionV>
          <wp:extent cx="537845" cy="509905"/>
          <wp:effectExtent l="0" t="0" r="8255" b="10795"/>
          <wp:wrapNone/>
          <wp:docPr id="13" name="图片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logo"/>
                  <pic:cNvPicPr>
                    <a:picLocks noChangeAspect="1"/>
                  </pic:cNvPicPr>
                </pic:nvPicPr>
                <pic:blipFill>
                  <a:blip r:embed="rId1"/>
                  <a:stretch>
                    <a:fillRect/>
                  </a:stretch>
                </pic:blipFill>
                <pic:spPr>
                  <a:xfrm>
                    <a:off x="0" y="0"/>
                    <a:ext cx="537845" cy="509905"/>
                  </a:xfrm>
                  <a:prstGeom prst="rect">
                    <a:avLst/>
                  </a:prstGeom>
                  <a:noFill/>
                  <a:ln>
                    <a:noFill/>
                  </a:ln>
                </pic:spPr>
              </pic:pic>
            </a:graphicData>
          </a:graphic>
        </wp:anchor>
      </w:drawing>
    </w:r>
    <w:r>
      <w:rPr>
        <w:rFonts w:hint="eastAsia" w:ascii="微软雅黑" w:hAnsi="微软雅黑" w:eastAsia="微软雅黑" w:cs="微软雅黑"/>
        <w:b w:val="0"/>
        <w:bCs w:val="0"/>
        <w:i w:val="0"/>
        <w:iCs w:val="0"/>
        <w:sz w:val="21"/>
        <w:szCs w:val="21"/>
        <w:u w:val="none"/>
        <w:lang w:val="en-US" w:eastAsia="zh-CN"/>
      </w:rPr>
      <w:t>:监理月报第3期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74471C"/>
    <w:multiLevelType w:val="singleLevel"/>
    <w:tmpl w:val="9974471C"/>
    <w:lvl w:ilvl="0" w:tentative="0">
      <w:start w:val="1"/>
      <w:numFmt w:val="decimal"/>
      <w:suff w:val="nothing"/>
      <w:lvlText w:val="%1、"/>
      <w:lvlJc w:val="left"/>
    </w:lvl>
  </w:abstractNum>
  <w:abstractNum w:abstractNumId="1">
    <w:nsid w:val="C6600639"/>
    <w:multiLevelType w:val="singleLevel"/>
    <w:tmpl w:val="C6600639"/>
    <w:lvl w:ilvl="0" w:tentative="0">
      <w:start w:val="1"/>
      <w:numFmt w:val="decimal"/>
      <w:suff w:val="nothing"/>
      <w:lvlText w:val="%1、"/>
      <w:lvlJc w:val="left"/>
    </w:lvl>
  </w:abstractNum>
  <w:abstractNum w:abstractNumId="2">
    <w:nsid w:val="E8FAFD00"/>
    <w:multiLevelType w:val="singleLevel"/>
    <w:tmpl w:val="E8FAFD00"/>
    <w:lvl w:ilvl="0" w:tentative="0">
      <w:start w:val="1"/>
      <w:numFmt w:val="decimal"/>
      <w:suff w:val="nothing"/>
      <w:lvlText w:val="%1、"/>
      <w:lvlJc w:val="left"/>
    </w:lvl>
  </w:abstractNum>
  <w:abstractNum w:abstractNumId="3">
    <w:nsid w:val="25E74782"/>
    <w:multiLevelType w:val="multilevel"/>
    <w:tmpl w:val="25E74782"/>
    <w:lvl w:ilvl="0" w:tentative="0">
      <w:start w:val="1"/>
      <w:numFmt w:val="japaneseCounting"/>
      <w:lvlText w:val="%1、"/>
      <w:lvlJc w:val="left"/>
      <w:pPr>
        <w:ind w:left="462" w:hanging="360"/>
      </w:pPr>
      <w:rPr>
        <w:rFonts w:hint="default"/>
      </w:rPr>
    </w:lvl>
    <w:lvl w:ilvl="1" w:tentative="0">
      <w:start w:val="1"/>
      <w:numFmt w:val="lowerLetter"/>
      <w:lvlText w:val="%2)"/>
      <w:lvlJc w:val="left"/>
      <w:pPr>
        <w:ind w:left="942" w:hanging="420"/>
      </w:pPr>
    </w:lvl>
    <w:lvl w:ilvl="2" w:tentative="0">
      <w:start w:val="1"/>
      <w:numFmt w:val="lowerRoman"/>
      <w:lvlText w:val="%3."/>
      <w:lvlJc w:val="right"/>
      <w:pPr>
        <w:ind w:left="1362" w:hanging="420"/>
      </w:pPr>
    </w:lvl>
    <w:lvl w:ilvl="3" w:tentative="0">
      <w:start w:val="1"/>
      <w:numFmt w:val="decimal"/>
      <w:lvlText w:val="%4."/>
      <w:lvlJc w:val="left"/>
      <w:pPr>
        <w:ind w:left="1782" w:hanging="420"/>
      </w:pPr>
    </w:lvl>
    <w:lvl w:ilvl="4" w:tentative="0">
      <w:start w:val="1"/>
      <w:numFmt w:val="lowerLetter"/>
      <w:lvlText w:val="%5)"/>
      <w:lvlJc w:val="left"/>
      <w:pPr>
        <w:ind w:left="2202" w:hanging="420"/>
      </w:pPr>
    </w:lvl>
    <w:lvl w:ilvl="5" w:tentative="0">
      <w:start w:val="1"/>
      <w:numFmt w:val="lowerRoman"/>
      <w:lvlText w:val="%6."/>
      <w:lvlJc w:val="right"/>
      <w:pPr>
        <w:ind w:left="2622" w:hanging="420"/>
      </w:pPr>
    </w:lvl>
    <w:lvl w:ilvl="6" w:tentative="0">
      <w:start w:val="1"/>
      <w:numFmt w:val="decimal"/>
      <w:lvlText w:val="%7."/>
      <w:lvlJc w:val="left"/>
      <w:pPr>
        <w:ind w:left="3042" w:hanging="420"/>
      </w:pPr>
    </w:lvl>
    <w:lvl w:ilvl="7" w:tentative="0">
      <w:start w:val="1"/>
      <w:numFmt w:val="lowerLetter"/>
      <w:lvlText w:val="%8)"/>
      <w:lvlJc w:val="left"/>
      <w:pPr>
        <w:ind w:left="3462" w:hanging="420"/>
      </w:pPr>
    </w:lvl>
    <w:lvl w:ilvl="8" w:tentative="0">
      <w:start w:val="1"/>
      <w:numFmt w:val="lowerRoman"/>
      <w:lvlText w:val="%9."/>
      <w:lvlJc w:val="right"/>
      <w:pPr>
        <w:ind w:left="3882" w:hanging="420"/>
      </w:pPr>
    </w:lvl>
  </w:abstractNum>
  <w:abstractNum w:abstractNumId="4">
    <w:nsid w:val="5B052C12"/>
    <w:multiLevelType w:val="singleLevel"/>
    <w:tmpl w:val="5B052C12"/>
    <w:lvl w:ilvl="0" w:tentative="0">
      <w:start w:val="1"/>
      <w:numFmt w:val="decimal"/>
      <w:suff w:val="nothing"/>
      <w:lvlText w:val="%1、"/>
      <w:lvlJc w:val="left"/>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zZjE5YzcwZjc2MGE2NjY1MDUzMjdhZGE0MmI4NGEifQ=="/>
  </w:docVars>
  <w:rsids>
    <w:rsidRoot w:val="36AF38ED"/>
    <w:rsid w:val="025723F2"/>
    <w:rsid w:val="030036C1"/>
    <w:rsid w:val="0C751C8D"/>
    <w:rsid w:val="0E213D89"/>
    <w:rsid w:val="1C1C44D2"/>
    <w:rsid w:val="2A152C44"/>
    <w:rsid w:val="2CDA728E"/>
    <w:rsid w:val="36AF38ED"/>
    <w:rsid w:val="39C71E21"/>
    <w:rsid w:val="3BEF5CD9"/>
    <w:rsid w:val="3D19407B"/>
    <w:rsid w:val="3F44756A"/>
    <w:rsid w:val="42370B06"/>
    <w:rsid w:val="4443736B"/>
    <w:rsid w:val="4B3D592E"/>
    <w:rsid w:val="4D726514"/>
    <w:rsid w:val="52C74BD6"/>
    <w:rsid w:val="592B2D38"/>
    <w:rsid w:val="642A3526"/>
    <w:rsid w:val="665E7980"/>
    <w:rsid w:val="6DF73D06"/>
    <w:rsid w:val="6EDF1B8A"/>
    <w:rsid w:val="70B71E11"/>
    <w:rsid w:val="741C55C4"/>
    <w:rsid w:val="7F757E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9"/>
    <w:pPr>
      <w:keepNext/>
      <w:keepLines/>
      <w:adjustRightInd w:val="0"/>
      <w:spacing w:before="260" w:beforeLines="0" w:after="260" w:afterLines="0"/>
      <w:ind w:firstLine="0" w:firstLineChars="0"/>
      <w:textAlignment w:val="baseline"/>
      <w:outlineLvl w:val="1"/>
    </w:pPr>
    <w:rPr>
      <w:rFonts w:ascii="Arial" w:hAnsi="Arial"/>
      <w:b/>
      <w:bCs/>
      <w:kern w:val="0"/>
      <w:sz w:val="28"/>
      <w:szCs w:val="32"/>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
    <w:name w:val="List Paragraph"/>
    <w:basedOn w:val="1"/>
    <w:qFormat/>
    <w:uiPriority w:val="34"/>
    <w:pPr>
      <w:ind w:firstLine="420" w:firstLineChars="200"/>
    </w:pPr>
  </w:style>
  <w:style w:type="paragraph" w:customStyle="1" w:styleId="9">
    <w:name w:val="样式4"/>
    <w:basedOn w:val="1"/>
    <w:uiPriority w:val="0"/>
    <w:pPr>
      <w:tabs>
        <w:tab w:val="left" w:pos="366"/>
        <w:tab w:val="left" w:pos="720"/>
      </w:tabs>
      <w:topLinePunct/>
      <w:ind w:firstLine="425"/>
    </w:pPr>
    <w:rPr>
      <w:rFonts w:eastAsia="黑体"/>
      <w:bCs/>
      <w:caps/>
      <w:kern w:val="21"/>
      <w:szCs w:val="21"/>
    </w:rPr>
  </w:style>
  <w:style w:type="paragraph" w:customStyle="1" w:styleId="10">
    <w:name w:val="样式5"/>
    <w:basedOn w:val="1"/>
    <w:qFormat/>
    <w:uiPriority w:val="0"/>
    <w:pPr>
      <w:topLinePunct/>
      <w:adjustRightInd w:val="0"/>
      <w:spacing w:line="1200" w:lineRule="auto"/>
      <w:jc w:val="center"/>
    </w:pPr>
    <w:rPr>
      <w:rFonts w:ascii="宋体" w:hAnsi="宋体" w:eastAsia="黑体"/>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1389</Words>
  <Characters>1456</Characters>
  <Lines>0</Lines>
  <Paragraphs>0</Paragraphs>
  <TotalTime>4</TotalTime>
  <ScaleCrop>false</ScaleCrop>
  <LinksUpToDate>false</LinksUpToDate>
  <CharactersWithSpaces>1552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2021-08-02T23:49:00Z</dcterms:created>
  <dc:creator>光伏EPC</dc:creator>
  <cp:lastModifiedBy>5481</cp:lastModifiedBy>
  <cp:lastPrinted>2022-05-05T01:59:00Z</cp:lastPrinted>
  <dcterms:modified xsi:type="dcterms:W3CDTF">2022-08-02T01:04:31Z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122C3FDCB69148289999490493C333C0</vt:lpwstr>
  </property>
</Properties>
</file>