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海南联瑞分布式光伏发电项目+海南联生分布式光伏发电项目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23.06.30</w:t>
      </w:r>
      <w:r>
        <w:rPr>
          <w:rFonts w:hint="eastAsia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</w:rPr>
        <w:t>编号：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005</w:t>
      </w:r>
      <w:r>
        <w:rPr>
          <w:rFonts w:hint="eastAsia" w:asciiTheme="minorEastAsia" w:hAnsiTheme="minorEastAsia"/>
          <w:sz w:val="24"/>
          <w:u w:val="single"/>
        </w:rPr>
        <w:t xml:space="preserve">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海南联瑞分布式光伏发电项目+海南联生分布式光伏发电项目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265兆瓦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both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海南省儋州市、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临高县、昌江黎族自治县、东方市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乐东黎族自治县、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人员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严卫忠、谭皓天、胡景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23.02.08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40个月人次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建设单位：海南联瑞（联生）新能源有限公司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/>
              </w:rPr>
              <w:t xml:space="preserve">      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ind w:left="0" w:leftChars="0" w:firstLine="0" w:firstLineChars="0"/>
              <w:textAlignment w:val="baseline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>海南联瑞分布式光伏发电项目计划利用海南省儋州市、临高县、昌江黎族自治县、东方市共4个地区农户屋顶开发建设光伏并网发电系统。每户容量约18-40KWkWp,总计约5200户共130MW。其中儋州市约2800户共70.0MWp，临高县约800户共20.0MWp，昌江黎族自治县约800户共20.0MWp，东方市约800户共20MWp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海南联生分布式光伏发电项目计划利用海南省东方市、乐东黎族自治县、昌江黎族自治县、临高县、三亚市共5个地区农户屋顶开发建设光伏并网发电系统。每户容量约18-40kWp,总计约5400户共135MW。其中东方市约1400户共35MWp，乐东黎族自治县约1200户共30MWp,昌江黎族自治县约2000户共50MWp，临高县约400户共10.0MWp，三亚市约400户共10.0MWp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程海南联瑞（联生）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新能源有限公司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业主项目负责人：张爱民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对监理人员的要求较高，技术、资料、管理、服务、面面俱到。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设计单位：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电子版图纸全部出图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现场是否有设计代表，设计变更处理情况；现场无代表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，现阶段无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设计变更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主材料、设备到场百分比，是否影响施工进度</w:t>
            </w:r>
            <w:r>
              <w:rPr>
                <w:rFonts w:hint="eastAsia" w:asciiTheme="minorEastAsia" w:hAnsiTheme="minor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4"/>
                <w:lang w:val="en-US" w:eastAsia="zh-CN"/>
              </w:rPr>
              <w:t>主要设备、材料品牌与合同约定品牌不符，因此本月未有新增施工，目前新品牌组件已在陆续到货中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施工情况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施工单位及</w:t>
            </w: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施工情况</w:t>
            </w:r>
            <w:r>
              <w:rPr>
                <w:rFonts w:hint="eastAsia" w:asciiTheme="minorEastAsia" w:hAnsiTheme="minorEastAsia"/>
                <w:sz w:val="24"/>
              </w:rPr>
              <w:t>介绍；本工程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施工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宁波联兴能源科技有限公司</w:t>
            </w:r>
            <w:r>
              <w:rPr>
                <w:rFonts w:hint="eastAsia" w:asciiTheme="minorEastAsia" w:hAnsiTheme="minorEastAsia"/>
                <w:sz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Theme="minorEastAsia" w:hAnsiTheme="minorEastAsia"/>
                <w:sz w:val="24"/>
              </w:rPr>
              <w:t>综述</w:t>
            </w:r>
            <w:bookmarkEnd w:id="0"/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pStyle w:val="2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施工工作内容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pStyle w:val="22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联瑞公司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组件：累计到货容量为(16.97) MWp。逆变器：累计到货(490) 台。并网箱：累计到货(366) 台。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因现场无合同约定组件，需要采购符合合同约定的组件进行安装，本月未有新增施工。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联生公司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1、组件：到货容量为(7.87) MWp。逆变器：到货累计(401) 台。并网箱：到货累计(200) 台。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2、因现场无合同约定组件，需要采购符合合同约定的组件进行安装，本月未有新增施工。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下月施工工作计划：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联瑞公司：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 xml:space="preserve">1、组件到货（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 xml:space="preserve"> ）MW，逆变器到货（ 0 ）MW，并网箱到货（ 0 ）台。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2、完成施工136户，容量为3.4MW的工程施工。</w:t>
            </w:r>
          </w:p>
          <w:p>
            <w:pPr>
              <w:pStyle w:val="2"/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完成发电异常电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站消缺。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联生公司：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  <w:t>组件到货（ 0 ）MW，逆变器到货（ 0 ）MW，并网箱到货（ 0 ）台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完成施工68户，容量为1.7MW的工程施工。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完成发电异常电站消缺。</w:t>
            </w:r>
          </w:p>
          <w:p>
            <w:pPr>
              <w:pStyle w:val="2"/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办理接入方案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监理工作情况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审查总包单位提交的前期报审资料。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整理监理资料，现累计下发累计联系单12份组织安全质量检查，并开展安全活动。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开展施工安全应急预案演练活动，有针对性的进行消防演练、触电急救演练和夏季高温中暑急救演练。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审核联瑞和联生项目共计 20MWp 投料款、3MWp 安装款报审资料。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对项目现场安全施工事宜开出了监理联系单-010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对于后台显示电站异常及离线状态问题出具了监理联系单-011，要求总包单位限期处理完成并恢复正常运行。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对现场项目经理驻场事宜出具了监理联系单-012。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对项目因个别用户租金未支付，导致电站被拉闸及投诉事宜开出了监理联系单-013，要求总包单位立即进行处理并解决用户问题。</w:t>
            </w:r>
          </w:p>
          <w:p>
            <w:pPr>
              <w:pStyle w:val="25"/>
              <w:numPr>
                <w:ilvl w:val="0"/>
                <w:numId w:val="8"/>
              </w:numPr>
              <w:spacing w:line="3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与运维人员一同到现场处理逆变器停运问题。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海南联瑞分布式光伏发电项目+海南联生分布式光伏发电项目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</w:p>
    <w:p>
      <w:pPr>
        <w:spacing w:line="360" w:lineRule="auto"/>
        <w:ind w:right="480"/>
        <w:jc w:val="righ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06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01549"/>
    <w:multiLevelType w:val="singleLevel"/>
    <w:tmpl w:val="AFD01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670B2F46"/>
    <w:multiLevelType w:val="singleLevel"/>
    <w:tmpl w:val="670B2F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53f4372f-edc6-4228-8c59-412f50874fc8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BF3803"/>
    <w:rsid w:val="04117A75"/>
    <w:rsid w:val="059B7605"/>
    <w:rsid w:val="088842BD"/>
    <w:rsid w:val="089D6049"/>
    <w:rsid w:val="0B09073D"/>
    <w:rsid w:val="0BCD1C8E"/>
    <w:rsid w:val="0DB63446"/>
    <w:rsid w:val="0E986A2C"/>
    <w:rsid w:val="0F192281"/>
    <w:rsid w:val="0F242D61"/>
    <w:rsid w:val="0FF428EA"/>
    <w:rsid w:val="10A844E5"/>
    <w:rsid w:val="11273C87"/>
    <w:rsid w:val="13A80A06"/>
    <w:rsid w:val="13BE6D29"/>
    <w:rsid w:val="13EF7E85"/>
    <w:rsid w:val="14840AB9"/>
    <w:rsid w:val="17C901D9"/>
    <w:rsid w:val="17FF24FA"/>
    <w:rsid w:val="19031E94"/>
    <w:rsid w:val="1B5830E3"/>
    <w:rsid w:val="1B90347E"/>
    <w:rsid w:val="1C631DB5"/>
    <w:rsid w:val="1FD00F0C"/>
    <w:rsid w:val="204977FD"/>
    <w:rsid w:val="20B74515"/>
    <w:rsid w:val="227E6C8F"/>
    <w:rsid w:val="23685E63"/>
    <w:rsid w:val="23801023"/>
    <w:rsid w:val="2509091B"/>
    <w:rsid w:val="250E6321"/>
    <w:rsid w:val="25AF2627"/>
    <w:rsid w:val="2637437C"/>
    <w:rsid w:val="325A322E"/>
    <w:rsid w:val="327B5136"/>
    <w:rsid w:val="329B0E54"/>
    <w:rsid w:val="35395A74"/>
    <w:rsid w:val="3545434D"/>
    <w:rsid w:val="3748094B"/>
    <w:rsid w:val="3DBC6D6E"/>
    <w:rsid w:val="3EE0195F"/>
    <w:rsid w:val="3F8E7AA0"/>
    <w:rsid w:val="4005531F"/>
    <w:rsid w:val="40AB3B91"/>
    <w:rsid w:val="40FC719A"/>
    <w:rsid w:val="41056A12"/>
    <w:rsid w:val="410F0FC5"/>
    <w:rsid w:val="41210734"/>
    <w:rsid w:val="41A94DB4"/>
    <w:rsid w:val="46494BA1"/>
    <w:rsid w:val="474933DC"/>
    <w:rsid w:val="484C5695"/>
    <w:rsid w:val="497007BA"/>
    <w:rsid w:val="49881F29"/>
    <w:rsid w:val="4A193AF1"/>
    <w:rsid w:val="4A3C0BB2"/>
    <w:rsid w:val="4C161E78"/>
    <w:rsid w:val="4CD55551"/>
    <w:rsid w:val="4CFA5852"/>
    <w:rsid w:val="50FA2FA1"/>
    <w:rsid w:val="54CE6149"/>
    <w:rsid w:val="589C2293"/>
    <w:rsid w:val="58FC3F6D"/>
    <w:rsid w:val="5BAD2C57"/>
    <w:rsid w:val="5BFB61C8"/>
    <w:rsid w:val="5E8C07F3"/>
    <w:rsid w:val="5EBE13D7"/>
    <w:rsid w:val="5F6E3096"/>
    <w:rsid w:val="606207BB"/>
    <w:rsid w:val="61514771"/>
    <w:rsid w:val="62AF2188"/>
    <w:rsid w:val="661D0068"/>
    <w:rsid w:val="69DA00D8"/>
    <w:rsid w:val="6C8C39F0"/>
    <w:rsid w:val="6C9A1DBE"/>
    <w:rsid w:val="6F612A4D"/>
    <w:rsid w:val="6F760E5C"/>
    <w:rsid w:val="70EC2F08"/>
    <w:rsid w:val="72D61791"/>
    <w:rsid w:val="736215B0"/>
    <w:rsid w:val="741A5B4A"/>
    <w:rsid w:val="743345BA"/>
    <w:rsid w:val="74544B8C"/>
    <w:rsid w:val="756D6C79"/>
    <w:rsid w:val="75F35843"/>
    <w:rsid w:val="763E596C"/>
    <w:rsid w:val="771A013D"/>
    <w:rsid w:val="77F362FC"/>
    <w:rsid w:val="780C3D3B"/>
    <w:rsid w:val="781A7455"/>
    <w:rsid w:val="798C21F2"/>
    <w:rsid w:val="7BA2046B"/>
    <w:rsid w:val="7D3E0B54"/>
    <w:rsid w:val="7F6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BodyText1I"/>
    <w:basedOn w:val="14"/>
    <w:next w:val="15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14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character" w:customStyle="1" w:styleId="18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apple-converted-space"/>
    <w:basedOn w:val="11"/>
    <w:qFormat/>
    <w:uiPriority w:val="0"/>
  </w:style>
  <w:style w:type="paragraph" w:customStyle="1" w:styleId="21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2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3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02"/>
    <w:basedOn w:val="4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  <w:style w:type="paragraph" w:customStyle="1" w:styleId="25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1637</Characters>
  <Lines>29</Lines>
  <Paragraphs>8</Paragraphs>
  <TotalTime>2</TotalTime>
  <ScaleCrop>false</ScaleCrop>
  <LinksUpToDate>false</LinksUpToDate>
  <CharactersWithSpaces>1714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天</cp:lastModifiedBy>
  <dcterms:modified xsi:type="dcterms:W3CDTF">2023-06-30T08:45:12Z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2ADE99C49B7C49599908D847D7398528_13</vt:lpwstr>
  </property>
</Properties>
</file>