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海南联瑞分布式光伏发电项目+海南联生分布式光伏发电项目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23.05.30</w:t>
      </w:r>
      <w:r>
        <w:rPr>
          <w:rFonts w:hint="eastAsia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24"/>
        </w:rPr>
        <w:t>编号：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004</w:t>
      </w:r>
      <w:r>
        <w:rPr>
          <w:rFonts w:hint="eastAsia" w:asciiTheme="minorEastAsia" w:hAnsiTheme="minorEastAsia"/>
          <w:sz w:val="24"/>
          <w:u w:val="single"/>
        </w:rPr>
        <w:t xml:space="preserve">  </w:t>
      </w:r>
    </w:p>
    <w:tbl>
      <w:tblPr>
        <w:tblStyle w:val="10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46"/>
        <w:gridCol w:w="1514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46" w:type="dxa"/>
            <w:vAlign w:val="center"/>
          </w:tcPr>
          <w:p>
            <w:pPr>
              <w:wordWrap w:val="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海南联瑞分布式光伏发电项目+海南联生分布式光伏发电项目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海南联瑞（联生）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265兆瓦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项目地址</w:t>
            </w:r>
          </w:p>
        </w:tc>
        <w:tc>
          <w:tcPr>
            <w:tcW w:w="2917" w:type="dxa"/>
            <w:vAlign w:val="center"/>
          </w:tcPr>
          <w:p>
            <w:pPr>
              <w:jc w:val="both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海南省儋州市、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临高县、昌江黎族自治县、东方市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乐东黎族自治县、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监理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人员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谭皓天、胡景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23.02.08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40个月人次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377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建设单位：海南联瑞（联生）新能源有限公司</w:t>
            </w:r>
          </w:p>
          <w:p>
            <w:pPr>
              <w:rPr>
                <w:rFonts w:hint="eastAsia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施工单位：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宁波联兴能源科技有限公司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lang w:val="en-US"/>
              </w:rPr>
              <w:t xml:space="preserve">      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ind w:left="0" w:leftChars="0" w:firstLine="0" w:firstLineChars="0"/>
              <w:textAlignment w:val="baseline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海南联瑞分布式光伏发电项目计划利用海南省儋州市、临高县、昌江黎族自治县、东方市共4个地区农户屋顶开发建设光伏并网发电系统。每户容量约18-40KWkWp,总计约5200户共130MW。其中儋州市约2800户共70.0MWp，临高县约800户共20.0MWp，昌江黎族自治县约800户共20.0MWp，东方市约800户共20MWp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13"/>
              <w:rPr>
                <w:rFonts w:hint="default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海南联生分布式光伏发电项目计划利用海南省东方市、乐东黎族自治县、昌江黎族自治县、临高县、三亚市共5个地区农户屋顶开发建设光伏并网发电系统。每户容量约18-40kWp,总计约5400户共135MW。其中东方市约1400户共35MWp，乐东黎族自治县约1200户共30MWp,昌江黎族自治县约2000户共50MWp，临高县约400户共10.0MWp，三亚市约400户共10.0MWp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1、业主公司情况介绍；本工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程海南联瑞（联生）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新能源有限公司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业主项目负责人：张爱民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3、对项目实施和监理工作有哪些特殊要求。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对监理人员的要求较高，技术、资料、管理、服务、面面俱到。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设计单位：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施工图交付情况介绍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电子版图纸全部出图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现场是否有设计代表，设计变更处理情况；现场无代表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，现阶段无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设计变更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对项目现场设计问题、参与验收响应情况：暂无。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供应商材料、设备进场情况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主材料、设备到场百分比，是否影响施工进度</w:t>
            </w:r>
            <w:r>
              <w:rPr>
                <w:rFonts w:hint="eastAsia" w:asciiTheme="minorEastAsia" w:hAnsiTheme="minor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4"/>
                <w:lang w:val="en-US" w:eastAsia="zh-CN"/>
              </w:rPr>
              <w:t>主要设备、材料与工程情况同步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施工情况</w:t>
            </w:r>
          </w:p>
          <w:p>
            <w:pPr>
              <w:numPr>
                <w:ilvl w:val="0"/>
                <w:numId w:val="0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施工单位及</w:t>
            </w:r>
            <w:r>
              <w:rPr>
                <w:rFonts w:hint="eastAsia" w:asciiTheme="minorEastAsia" w:hAnsiTheme="minorEastAsia"/>
                <w:sz w:val="24"/>
              </w:rPr>
              <w:t>现场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施工情况</w:t>
            </w:r>
            <w:r>
              <w:rPr>
                <w:rFonts w:hint="eastAsia" w:asciiTheme="minorEastAsia" w:hAnsiTheme="minorEastAsia"/>
                <w:sz w:val="24"/>
              </w:rPr>
              <w:t>介绍；本工程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</w:t>
            </w:r>
            <w:r>
              <w:rPr>
                <w:rFonts w:hint="eastAsia" w:asciiTheme="minorEastAsia" w:hAnsiTheme="minorEastAsia"/>
                <w:sz w:val="24"/>
              </w:rPr>
              <w:t>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宁波联兴能源科技有限公司</w:t>
            </w:r>
            <w:r>
              <w:rPr>
                <w:rFonts w:hint="eastAsia" w:asciiTheme="minorEastAsia" w:hAnsiTheme="minorEastAsia"/>
                <w:sz w:val="24"/>
              </w:rPr>
              <w:t>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 w:asciiTheme="minorEastAsia" w:hAnsiTheme="minorEastAsia"/>
                <w:sz w:val="24"/>
              </w:rPr>
              <w:t>综述</w:t>
            </w:r>
            <w:bookmarkEnd w:id="0"/>
            <w:r>
              <w:rPr>
                <w:rFonts w:hint="eastAsia" w:asciiTheme="minorEastAsia" w:hAnsiTheme="minorEastAsia"/>
                <w:sz w:val="24"/>
              </w:rPr>
              <w:t>；</w:t>
            </w:r>
          </w:p>
          <w:p>
            <w:pPr>
              <w:pStyle w:val="2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施工工作内容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pStyle w:val="22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联瑞公司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组件：累计到货容量为(16.97) MWp。逆变器：累计到货(490) 台。并网箱：累计到货(366) 台。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支架完成（16）组，累计完成（301）组。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组件安装（651）块，容量为(0.56) MWp，累计完成（15611）块，容量为(8.86) MWp。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逆变器安装（2）台，累计完成（287）台。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并网箱安装（2）台，累计完成（287）台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本月共计取得接入批复（0）户，容量为（0）MWp，累计取得接入批复（594）户，容量为（17.37）MWp。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本月盖章屋顶租赁合同数量（  506 ）份，每户一式（4）份。本月签订（69）户。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并网合同签订（139）户，每户一式（2）份。本月签订（0）户。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本月共计并网（20）户，容量为（0.55）MWp，累计取得并网（139）户，容量为（3.85）MWp。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联生公司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1、组件：到货容量为(7.87) MWp。逆变器：到货累计(401) 台。并网箱：到货累计(200) 台。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2、本月因项目公司归属地原因未施工（因东方市当地政策，要求项目公司注册地址需在本地）。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3、本月共计取得接入批复（0）户，容量为（0）MWp，累计取得接入批复（111）户，容量为（3.40）MWp。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4、本月盖章租赁合同数量（ 400 ）份，每户一式（4）份，本月签订（0）户。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5、并网合同签订（52 ）份，每户一式（2）份，本月签订（0）户。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6、本月共计并网（0）户，容量为（0）MWp，累计取得并网（52）户，容量为（1.48）MWp。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下月施工工作计划：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联瑞公司：</w:t>
            </w:r>
          </w:p>
          <w:p>
            <w:pPr>
              <w:pStyle w:val="2"/>
              <w:ind w:left="0" w:leftChars="0" w:firstLine="0" w:firstLineChars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1、组件到货（ 0 ）MW，逆变器到货（ 0 ）MW，并网箱到货（ 0 ）台。</w:t>
            </w:r>
          </w:p>
          <w:p>
            <w:pPr>
              <w:pStyle w:val="2"/>
              <w:ind w:left="0" w:leftChars="0" w:firstLine="0" w:firstLineChars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2、完成施工50户，容量为1MW的工程施工。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联生公司：</w:t>
            </w:r>
          </w:p>
          <w:p>
            <w:pPr>
              <w:pStyle w:val="2"/>
              <w:numPr>
                <w:ilvl w:val="0"/>
                <w:numId w:val="6"/>
              </w:numPr>
              <w:ind w:left="0" w:leftChars="0" w:firstLine="0" w:firstLineChars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组件到货（ 0 ）MW，逆变器到货（ 0 ）MW，并网箱到货（ 0 ）台</w:t>
            </w:r>
          </w:p>
          <w:p>
            <w:pPr>
              <w:pStyle w:val="2"/>
              <w:numPr>
                <w:ilvl w:val="0"/>
                <w:numId w:val="6"/>
              </w:numPr>
              <w:ind w:left="0" w:leftChars="0" w:firstLine="0" w:firstLineChars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完成施工</w:t>
            </w: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户，容量为1MW的工程施工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60" w:type="dxa"/>
            <w:gridSpan w:val="4"/>
            <w:vAlign w:val="top"/>
          </w:tcPr>
          <w:p>
            <w:pPr>
              <w:numPr>
                <w:ilvl w:val="0"/>
                <w:numId w:val="7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监理工作情况</w:t>
            </w:r>
          </w:p>
          <w:p>
            <w:pPr>
              <w:pStyle w:val="25"/>
              <w:numPr>
                <w:ilvl w:val="0"/>
                <w:numId w:val="8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审查施工资料；进行签字盖章。</w:t>
            </w:r>
          </w:p>
          <w:p>
            <w:pPr>
              <w:pStyle w:val="25"/>
              <w:numPr>
                <w:ilvl w:val="0"/>
                <w:numId w:val="8"/>
              </w:numPr>
              <w:spacing w:line="360" w:lineRule="exact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整理监理资料，现累计下发累计联系单8份组织安全质量检查，并开展安全活动。</w:t>
            </w:r>
          </w:p>
          <w:p>
            <w:pPr>
              <w:pStyle w:val="25"/>
              <w:numPr>
                <w:ilvl w:val="0"/>
                <w:numId w:val="8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组织以满足条件的分部、分项工程验收。</w:t>
            </w:r>
          </w:p>
          <w:p>
            <w:pPr>
              <w:pStyle w:val="25"/>
              <w:numPr>
                <w:ilvl w:val="0"/>
                <w:numId w:val="8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审查20MWp投料、10MWp安装款报审资料。</w:t>
            </w:r>
          </w:p>
          <w:p>
            <w:pPr>
              <w:pStyle w:val="25"/>
              <w:numPr>
                <w:ilvl w:val="0"/>
                <w:numId w:val="8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现场确户报审的联生、联瑞安装名单中的实际容量。</w:t>
            </w:r>
          </w:p>
          <w:p>
            <w:pPr>
              <w:pStyle w:val="25"/>
              <w:numPr>
                <w:ilvl w:val="0"/>
                <w:numId w:val="8"/>
              </w:numPr>
              <w:spacing w:line="36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现场核查上次确户发现的问题整改情况</w:t>
            </w:r>
            <w:r>
              <w:rPr>
                <w:rFonts w:hint="eastAsia"/>
                <w:lang w:val="en-US" w:eastAsia="zh-CN"/>
              </w:rPr>
              <w:t>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海南联瑞分布式光伏发电项目+海南联生分布式光伏发电项目</w:t>
      </w:r>
    </w:p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 xml:space="preserve">日期： </w:t>
      </w:r>
    </w:p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202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05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30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962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01549"/>
    <w:multiLevelType w:val="singleLevel"/>
    <w:tmpl w:val="AFD015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4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6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abstractNum w:abstractNumId="7">
    <w:nsid w:val="670B2F46"/>
    <w:multiLevelType w:val="singleLevel"/>
    <w:tmpl w:val="670B2F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  <w:docVar w:name="KSO_WPS_MARK_KEY" w:val="53f4372f-edc6-4228-8c59-412f50874fc8"/>
  </w:docVars>
  <w:rsids>
    <w:rsidRoot w:val="001E3BD7"/>
    <w:rsid w:val="00025BF4"/>
    <w:rsid w:val="000963F5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A5611"/>
    <w:rsid w:val="002E1D70"/>
    <w:rsid w:val="003650DA"/>
    <w:rsid w:val="0038477B"/>
    <w:rsid w:val="00444E0F"/>
    <w:rsid w:val="004B1080"/>
    <w:rsid w:val="00594BA4"/>
    <w:rsid w:val="0060251C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9045B5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E736C"/>
    <w:rsid w:val="00A47438"/>
    <w:rsid w:val="00A500B3"/>
    <w:rsid w:val="00AE1B92"/>
    <w:rsid w:val="00B80F35"/>
    <w:rsid w:val="00BE78AA"/>
    <w:rsid w:val="00C329E0"/>
    <w:rsid w:val="00C43E2F"/>
    <w:rsid w:val="00C8579C"/>
    <w:rsid w:val="00CB7A76"/>
    <w:rsid w:val="00D038F6"/>
    <w:rsid w:val="00D55140"/>
    <w:rsid w:val="00D67611"/>
    <w:rsid w:val="00DA2A1E"/>
    <w:rsid w:val="00DD69FB"/>
    <w:rsid w:val="00DD7048"/>
    <w:rsid w:val="00DE4A06"/>
    <w:rsid w:val="00E54658"/>
    <w:rsid w:val="00EB5EFF"/>
    <w:rsid w:val="00EE1ED2"/>
    <w:rsid w:val="00EE4010"/>
    <w:rsid w:val="00EF37C4"/>
    <w:rsid w:val="00F04AAF"/>
    <w:rsid w:val="00F53BD3"/>
    <w:rsid w:val="00F67D7D"/>
    <w:rsid w:val="00FC7883"/>
    <w:rsid w:val="01BF3803"/>
    <w:rsid w:val="04117A75"/>
    <w:rsid w:val="059B7605"/>
    <w:rsid w:val="088842BD"/>
    <w:rsid w:val="089D6049"/>
    <w:rsid w:val="0B09073D"/>
    <w:rsid w:val="0BCD1C8E"/>
    <w:rsid w:val="0DB63446"/>
    <w:rsid w:val="0E986A2C"/>
    <w:rsid w:val="0F192281"/>
    <w:rsid w:val="0F242D61"/>
    <w:rsid w:val="0FF428EA"/>
    <w:rsid w:val="10A844E5"/>
    <w:rsid w:val="11273C87"/>
    <w:rsid w:val="13A80A06"/>
    <w:rsid w:val="13BE6D29"/>
    <w:rsid w:val="13EF7E85"/>
    <w:rsid w:val="14840AB9"/>
    <w:rsid w:val="17C901D9"/>
    <w:rsid w:val="17FF24FA"/>
    <w:rsid w:val="19031E94"/>
    <w:rsid w:val="1B5830E3"/>
    <w:rsid w:val="1B90347E"/>
    <w:rsid w:val="1C631DB5"/>
    <w:rsid w:val="1FD00F0C"/>
    <w:rsid w:val="204977FD"/>
    <w:rsid w:val="20B74515"/>
    <w:rsid w:val="227E6C8F"/>
    <w:rsid w:val="23685E63"/>
    <w:rsid w:val="23801023"/>
    <w:rsid w:val="2509091B"/>
    <w:rsid w:val="250E6321"/>
    <w:rsid w:val="25AF2627"/>
    <w:rsid w:val="2637437C"/>
    <w:rsid w:val="325A322E"/>
    <w:rsid w:val="327B5136"/>
    <w:rsid w:val="329B0E54"/>
    <w:rsid w:val="35395A74"/>
    <w:rsid w:val="3545434D"/>
    <w:rsid w:val="3748094B"/>
    <w:rsid w:val="3DBC6D6E"/>
    <w:rsid w:val="3EE0195F"/>
    <w:rsid w:val="3F8E7AA0"/>
    <w:rsid w:val="4005531F"/>
    <w:rsid w:val="40AB3B91"/>
    <w:rsid w:val="40FC719A"/>
    <w:rsid w:val="41056A12"/>
    <w:rsid w:val="410F0FC5"/>
    <w:rsid w:val="41210734"/>
    <w:rsid w:val="41A94DB4"/>
    <w:rsid w:val="46494BA1"/>
    <w:rsid w:val="474933DC"/>
    <w:rsid w:val="484C5695"/>
    <w:rsid w:val="497007BA"/>
    <w:rsid w:val="49881F29"/>
    <w:rsid w:val="4A193AF1"/>
    <w:rsid w:val="4A3C0BB2"/>
    <w:rsid w:val="4C161E78"/>
    <w:rsid w:val="4CD55551"/>
    <w:rsid w:val="4CFA5852"/>
    <w:rsid w:val="50FA2FA1"/>
    <w:rsid w:val="589C2293"/>
    <w:rsid w:val="58FC3F6D"/>
    <w:rsid w:val="5BAD2C57"/>
    <w:rsid w:val="5BFB61C8"/>
    <w:rsid w:val="5E8C07F3"/>
    <w:rsid w:val="5EBE13D7"/>
    <w:rsid w:val="5F6E3096"/>
    <w:rsid w:val="606207BB"/>
    <w:rsid w:val="61514771"/>
    <w:rsid w:val="62AF2188"/>
    <w:rsid w:val="661D0068"/>
    <w:rsid w:val="69DA00D8"/>
    <w:rsid w:val="6C8C39F0"/>
    <w:rsid w:val="6C9A1DBE"/>
    <w:rsid w:val="6F612A4D"/>
    <w:rsid w:val="6F760E5C"/>
    <w:rsid w:val="70EC2F08"/>
    <w:rsid w:val="72D61791"/>
    <w:rsid w:val="736215B0"/>
    <w:rsid w:val="741A5B4A"/>
    <w:rsid w:val="743345BA"/>
    <w:rsid w:val="74544B8C"/>
    <w:rsid w:val="756D6C79"/>
    <w:rsid w:val="75F35843"/>
    <w:rsid w:val="763E596C"/>
    <w:rsid w:val="771A013D"/>
    <w:rsid w:val="77F362FC"/>
    <w:rsid w:val="780C3D3B"/>
    <w:rsid w:val="781A7455"/>
    <w:rsid w:val="798C21F2"/>
    <w:rsid w:val="7BA2046B"/>
    <w:rsid w:val="7F6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BodyText1I"/>
    <w:basedOn w:val="14"/>
    <w:next w:val="15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14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 w:cs="Times New Roman"/>
      <w:kern w:val="2"/>
      <w:sz w:val="32"/>
    </w:rPr>
  </w:style>
  <w:style w:type="paragraph" w:customStyle="1" w:styleId="15">
    <w:name w:val="BodyText1I2"/>
    <w:basedOn w:val="16"/>
    <w:qFormat/>
    <w:uiPriority w:val="0"/>
    <w:pPr>
      <w:ind w:firstLine="420" w:firstLineChars="200"/>
    </w:pPr>
  </w:style>
  <w:style w:type="paragraph" w:customStyle="1" w:styleId="16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character" w:customStyle="1" w:styleId="18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apple-converted-space"/>
    <w:basedOn w:val="11"/>
    <w:qFormat/>
    <w:uiPriority w:val="0"/>
  </w:style>
  <w:style w:type="paragraph" w:customStyle="1" w:styleId="21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22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3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4">
    <w:name w:val="02"/>
    <w:basedOn w:val="4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  <w:lang w:val="en-BZ"/>
    </w:rPr>
  </w:style>
  <w:style w:type="paragraph" w:customStyle="1" w:styleId="25">
    <w:name w:val="No Spacing_da138b13-cc42-4488-824d-14d05b19ce4a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964</Characters>
  <Lines>29</Lines>
  <Paragraphs>8</Paragraphs>
  <TotalTime>6</TotalTime>
  <ScaleCrop>false</ScaleCrop>
  <LinksUpToDate>false</LinksUpToDate>
  <CharactersWithSpaces>1020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天</cp:lastModifiedBy>
  <dcterms:modified xsi:type="dcterms:W3CDTF">2023-05-30T07:06:41Z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4452000629E641F2BC25A0A3F0F08CBA_13</vt:lpwstr>
  </property>
</Properties>
</file>