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150"/>
        <w:jc w:val="both"/>
        <w:rPr>
          <w:rFonts w:hint="default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 xml:space="preserve">                         </w:t>
      </w:r>
      <w:r>
        <w:rPr>
          <w:rFonts w:hint="default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 xml:space="preserve"> 编号:YJYGF-ZHJL-JLYB-00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6</w:t>
      </w:r>
    </w:p>
    <w:p>
      <w:pPr>
        <w:ind w:firstLine="1800" w:firstLineChars="500"/>
        <w:jc w:val="both"/>
        <w:rPr>
          <w:rFonts w:hint="default" w:ascii="仿宋_GB2312" w:hAnsi="仿宋_GB2312" w:eastAsia="仿宋_GB2312" w:cs="仿宋_GB2312"/>
          <w:b w:val="0"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6"/>
          <w:szCs w:val="36"/>
          <w:lang w:eastAsia="zh-CN"/>
        </w:rPr>
        <w:t>永靖县“十四五"盐锅峡光伏发电项目</w:t>
      </w:r>
    </w:p>
    <w:p>
      <w:pPr>
        <w:rPr>
          <w:rFonts w:hint="default" w:ascii="仿宋_GB2312" w:hAnsi="仿宋_GB2312" w:eastAsia="仿宋_GB2312" w:cs="仿宋_GB2312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lang w:val="en-US" w:eastAsia="zh-CN"/>
        </w:rPr>
      </w:pPr>
    </w:p>
    <w:p>
      <w:pPr>
        <w:ind w:firstLine="3080" w:firstLineChars="1100"/>
        <w:jc w:val="both"/>
        <w:rPr>
          <w:rFonts w:hint="eastAsia" w:ascii="仿宋_GB2312" w:hAnsi="仿宋_GB2312" w:eastAsia="仿宋_GB2312" w:cs="仿宋_GB2312"/>
          <w:sz w:val="28"/>
          <w:szCs w:val="24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/>
        </w:rPr>
        <w:t>202</w:t>
      </w:r>
      <w:r>
        <w:rPr>
          <w:rFonts w:hint="default" w:ascii="仿宋_GB2312" w:hAnsi="仿宋_GB2312" w:eastAsia="仿宋_GB2312" w:cs="仿宋_GB2312"/>
          <w:sz w:val="28"/>
          <w:szCs w:val="24"/>
          <w:lang w:val="en-US"/>
        </w:rPr>
        <w:t>4</w:t>
      </w:r>
      <w:r>
        <w:rPr>
          <w:rFonts w:hint="eastAsia" w:ascii="仿宋_GB2312" w:hAnsi="仿宋_GB2312" w:eastAsia="仿宋_GB2312" w:cs="仿宋_GB2312"/>
          <w:sz w:val="28"/>
          <w:szCs w:val="24"/>
          <w:lang w:val="en-US"/>
        </w:rPr>
        <w:t>年</w:t>
      </w:r>
      <w:r>
        <w:rPr>
          <w:rFonts w:hint="eastAsia" w:ascii="仿宋_GB2312" w:hAnsi="仿宋_GB2312" w:eastAsia="仿宋_GB2312" w:cs="仿宋_GB2312"/>
          <w:sz w:val="28"/>
          <w:szCs w:val="24"/>
        </w:rPr>
        <w:t>第</w:t>
      </w: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28"/>
          <w:szCs w:val="24"/>
        </w:rPr>
        <w:t>期</w:t>
      </w:r>
      <w:r>
        <w:rPr>
          <w:rFonts w:hint="eastAsia" w:ascii="仿宋_GB2312" w:hAnsi="仿宋_GB2312" w:eastAsia="仿宋_GB2312" w:cs="仿宋_GB2312"/>
          <w:sz w:val="28"/>
          <w:szCs w:val="24"/>
          <w:lang w:val="en-US"/>
        </w:rPr>
        <w:t>(总</w:t>
      </w: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8"/>
          <w:szCs w:val="24"/>
          <w:lang w:val="en-US"/>
        </w:rPr>
        <w:t>期)</w:t>
      </w:r>
    </w:p>
    <w:p>
      <w:pPr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lang w:val="en-US"/>
        </w:rPr>
      </w:pPr>
      <w:r>
        <w:rPr>
          <w:rFonts w:hint="eastAsia" w:ascii="仿宋_GB2312" w:hAnsi="仿宋_GB2312" w:eastAsia="仿宋_GB2312" w:cs="仿宋_GB2312"/>
          <w:sz w:val="24"/>
          <w:lang w:val="en-US"/>
        </w:rPr>
        <w:t xml:space="preserve">                  </w:t>
      </w:r>
    </w:p>
    <w:p>
      <w:pPr>
        <w:ind w:firstLine="2160" w:firstLineChars="900"/>
        <w:jc w:val="left"/>
        <w:rPr>
          <w:rFonts w:hint="eastAsia" w:ascii="仿宋_GB2312" w:hAnsi="仿宋_GB2312" w:eastAsia="仿宋_GB2312" w:cs="仿宋_GB2312"/>
          <w:sz w:val="44"/>
          <w:szCs w:val="40"/>
          <w:lang w:val="en-US"/>
        </w:rPr>
      </w:pPr>
      <w:r>
        <w:rPr>
          <w:rFonts w:hint="eastAsia" w:ascii="仿宋_GB2312" w:hAnsi="仿宋_GB2312" w:eastAsia="仿宋_GB2312" w:cs="仿宋_GB2312"/>
          <w:sz w:val="24"/>
          <w:lang w:val="en-US"/>
        </w:rPr>
        <w:t xml:space="preserve"> 日期:(202</w:t>
      </w:r>
      <w:r>
        <w:rPr>
          <w:rFonts w:hint="default" w:ascii="仿宋_GB2312" w:hAnsi="仿宋_GB2312" w:eastAsia="仿宋_GB2312" w:cs="仿宋_GB2312"/>
          <w:sz w:val="24"/>
          <w:lang w:val="en-US"/>
        </w:rPr>
        <w:t>4</w:t>
      </w:r>
      <w:r>
        <w:rPr>
          <w:rFonts w:hint="eastAsia" w:ascii="仿宋_GB2312" w:hAnsi="仿宋_GB2312" w:eastAsia="仿宋_GB2312" w:cs="仿宋_GB2312"/>
          <w:sz w:val="24"/>
          <w:lang w:val="en-US"/>
        </w:rPr>
        <w:t>年</w:t>
      </w:r>
      <w:r>
        <w:rPr>
          <w:rFonts w:hint="default" w:ascii="仿宋_GB2312" w:hAnsi="仿宋_GB2312" w:eastAsia="仿宋_GB2312" w:cs="仿宋_GB2312"/>
          <w:sz w:val="24"/>
          <w:lang w:val="en-US"/>
        </w:rPr>
        <w:t>0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24"/>
          <w:lang w:val="en-US"/>
        </w:rPr>
        <w:t>月</w:t>
      </w:r>
      <w:r>
        <w:rPr>
          <w:rFonts w:hint="default" w:ascii="仿宋_GB2312" w:hAnsi="仿宋_GB2312" w:eastAsia="仿宋_GB2312" w:cs="仿宋_GB2312"/>
          <w:sz w:val="24"/>
          <w:lang w:val="en-US"/>
        </w:rPr>
        <w:t>26</w:t>
      </w:r>
      <w:r>
        <w:rPr>
          <w:rFonts w:hint="eastAsia" w:ascii="仿宋_GB2312" w:hAnsi="仿宋_GB2312" w:eastAsia="仿宋_GB2312" w:cs="仿宋_GB2312"/>
          <w:sz w:val="24"/>
          <w:lang w:val="en-US"/>
        </w:rPr>
        <w:t>日202</w:t>
      </w:r>
      <w:r>
        <w:rPr>
          <w:rFonts w:hint="default" w:ascii="仿宋_GB2312" w:hAnsi="仿宋_GB2312" w:eastAsia="仿宋_GB2312" w:cs="仿宋_GB2312"/>
          <w:sz w:val="24"/>
          <w:lang w:val="en-US"/>
        </w:rPr>
        <w:t>4</w:t>
      </w:r>
      <w:r>
        <w:rPr>
          <w:rFonts w:hint="eastAsia" w:ascii="仿宋_GB2312" w:hAnsi="仿宋_GB2312" w:eastAsia="仿宋_GB2312" w:cs="仿宋_GB2312"/>
          <w:sz w:val="24"/>
          <w:lang w:val="en-US"/>
        </w:rPr>
        <w:t>年</w:t>
      </w:r>
      <w:r>
        <w:rPr>
          <w:rFonts w:hint="default" w:ascii="仿宋_GB2312" w:hAnsi="仿宋_GB2312" w:eastAsia="仿宋_GB2312" w:cs="仿宋_GB2312"/>
          <w:sz w:val="24"/>
          <w:lang w:val="en-US"/>
        </w:rPr>
        <w:t>0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4"/>
          <w:lang w:val="en-US"/>
        </w:rPr>
        <w:t>月</w:t>
      </w:r>
      <w:r>
        <w:rPr>
          <w:rFonts w:hint="default" w:ascii="仿宋_GB2312" w:hAnsi="仿宋_GB2312" w:eastAsia="仿宋_GB2312" w:cs="仿宋_GB2312"/>
          <w:sz w:val="24"/>
          <w:lang w:val="en-US"/>
        </w:rPr>
        <w:t>25</w:t>
      </w:r>
      <w:r>
        <w:rPr>
          <w:rFonts w:hint="eastAsia" w:ascii="仿宋_GB2312" w:hAnsi="仿宋_GB2312" w:eastAsia="仿宋_GB2312" w:cs="仿宋_GB2312"/>
          <w:sz w:val="24"/>
          <w:lang w:val="en-US"/>
        </w:rPr>
        <w:t>日)</w:t>
      </w:r>
    </w:p>
    <w:p>
      <w:pPr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lang w:val="en-US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lang w:val="en-US"/>
        </w:rPr>
        <w:t xml:space="preserve">                             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lang w:val="en-US"/>
        </w:rPr>
      </w:pPr>
    </w:p>
    <w:p>
      <w:pPr>
        <w:spacing w:line="360" w:lineRule="auto"/>
        <w:ind w:firstLine="3720" w:firstLineChars="1550"/>
        <w:jc w:val="both"/>
        <w:rPr>
          <w:rFonts w:hint="eastAsia" w:ascii="仿宋_GB2312" w:hAnsi="仿宋_GB2312" w:eastAsia="仿宋_GB2312" w:cs="仿宋_GB2312"/>
          <w:b/>
          <w:sz w:val="96"/>
          <w:szCs w:val="96"/>
        </w:rPr>
      </w:pPr>
      <w:r>
        <w:rPr>
          <w:rFonts w:hint="eastAsia" w:ascii="仿宋_GB2312" w:hAnsi="仿宋_GB2312" w:eastAsia="仿宋_GB2312" w:cs="仿宋_GB2312"/>
          <w:sz w:val="24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96"/>
          <w:szCs w:val="96"/>
        </w:rPr>
        <w:t>监</w:t>
      </w:r>
    </w:p>
    <w:p>
      <w:pPr>
        <w:pStyle w:val="2"/>
        <w:rPr>
          <w:rFonts w:hint="eastAsia" w:ascii="仿宋_GB2312" w:hAnsi="仿宋_GB2312" w:eastAsia="仿宋_GB2312" w:cs="仿宋_GB2312"/>
        </w:rPr>
      </w:pP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96"/>
          <w:szCs w:val="96"/>
        </w:rPr>
      </w:pPr>
      <w:r>
        <w:rPr>
          <w:rFonts w:hint="eastAsia" w:ascii="仿宋_GB2312" w:hAnsi="仿宋_GB2312" w:eastAsia="仿宋_GB2312" w:cs="仿宋_GB2312"/>
          <w:b/>
          <w:sz w:val="96"/>
          <w:szCs w:val="96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96"/>
          <w:szCs w:val="96"/>
        </w:rPr>
        <w:t>理</w:t>
      </w:r>
    </w:p>
    <w:p>
      <w:pPr>
        <w:pStyle w:val="2"/>
        <w:rPr>
          <w:rFonts w:hint="eastAsia" w:ascii="仿宋_GB2312" w:hAnsi="仿宋_GB2312" w:eastAsia="仿宋_GB2312" w:cs="仿宋_GB2312"/>
        </w:rPr>
      </w:pP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96"/>
          <w:szCs w:val="96"/>
        </w:rPr>
      </w:pPr>
      <w:r>
        <w:rPr>
          <w:rFonts w:hint="eastAsia" w:ascii="仿宋_GB2312" w:hAnsi="仿宋_GB2312" w:eastAsia="仿宋_GB2312" w:cs="仿宋_GB2312"/>
          <w:b/>
          <w:sz w:val="96"/>
          <w:szCs w:val="96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96"/>
          <w:szCs w:val="96"/>
        </w:rPr>
        <w:t>月</w:t>
      </w:r>
    </w:p>
    <w:p>
      <w:pPr>
        <w:pStyle w:val="2"/>
        <w:rPr>
          <w:rFonts w:hint="eastAsia" w:ascii="仿宋_GB2312" w:hAnsi="仿宋_GB2312" w:eastAsia="仿宋_GB2312" w:cs="仿宋_GB2312"/>
        </w:rPr>
      </w:pP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96"/>
          <w:szCs w:val="96"/>
        </w:rPr>
      </w:pPr>
      <w:r>
        <w:rPr>
          <w:rFonts w:hint="eastAsia" w:ascii="仿宋_GB2312" w:hAnsi="仿宋_GB2312" w:eastAsia="仿宋_GB2312" w:cs="仿宋_GB2312"/>
          <w:b/>
          <w:sz w:val="96"/>
          <w:szCs w:val="96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96"/>
          <w:szCs w:val="96"/>
        </w:rPr>
        <w:t>报</w:t>
      </w:r>
    </w:p>
    <w:p>
      <w:pPr>
        <w:tabs>
          <w:tab w:val="left" w:pos="5821"/>
        </w:tabs>
        <w:spacing w:line="360" w:lineRule="auto"/>
        <w:jc w:val="left"/>
        <w:rPr>
          <w:rFonts w:hint="default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default" w:ascii="仿宋_GB2312" w:hAnsi="仿宋_GB2312" w:eastAsia="仿宋_GB2312" w:cs="仿宋_GB2312"/>
          <w:b/>
          <w:sz w:val="32"/>
          <w:szCs w:val="32"/>
          <w:lang w:val="en-US"/>
        </w:rPr>
        <w:t xml:space="preserve">             </w:t>
      </w:r>
    </w:p>
    <w:p>
      <w:pPr>
        <w:tabs>
          <w:tab w:val="left" w:pos="5821"/>
        </w:tabs>
        <w:spacing w:line="360" w:lineRule="auto"/>
        <w:ind w:firstLine="2240" w:firstLineChars="700"/>
        <w:jc w:val="left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 总监理工程师: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ab/>
      </w:r>
    </w:p>
    <w:p>
      <w:pPr>
        <w:pStyle w:val="21"/>
        <w:ind w:left="0" w:leftChars="0" w:firstLine="2240" w:firstLineChars="800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常州正衡电力工程监理有限公司</w:t>
      </w:r>
    </w:p>
    <w:p>
      <w:pPr>
        <w:ind w:firstLine="2100" w:firstLineChars="750"/>
        <w:jc w:val="both"/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eastAsia="zh-CN"/>
        </w:rPr>
        <w:t>永靖县“十四五"盐锅峡光伏发电项目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  <w:szCs w:val="28"/>
          <w:lang w:val="en-US"/>
        </w:rPr>
      </w:pPr>
      <w:r>
        <w:rPr>
          <w:rFonts w:hint="default" w:ascii="仿宋_GB2312" w:hAnsi="仿宋_GB2312" w:eastAsia="仿宋_GB2312" w:cs="仿宋_GB2312"/>
          <w:b/>
          <w:sz w:val="28"/>
          <w:szCs w:val="28"/>
          <w:lang w:val="en-US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日期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/>
        </w:rPr>
        <w:t>:202</w:t>
      </w:r>
      <w:r>
        <w:rPr>
          <w:rFonts w:hint="default" w:ascii="仿宋_GB2312" w:hAnsi="仿宋_GB2312" w:eastAsia="仿宋_GB2312" w:cs="仿宋_GB2312"/>
          <w:b/>
          <w:sz w:val="28"/>
          <w:szCs w:val="28"/>
          <w:lang w:val="en-US"/>
        </w:rPr>
        <w:t>4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/>
        </w:rPr>
        <w:t>年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/>
        </w:rPr>
        <w:t>月25日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24"/>
          <w:lang w:val="en-US"/>
        </w:rPr>
      </w:pPr>
      <w:r>
        <w:rPr>
          <w:rFonts w:hint="eastAsia" w:ascii="仿宋_GB2312" w:hAnsi="仿宋_GB2312" w:eastAsia="仿宋_GB2312" w:cs="仿宋_GB2312"/>
          <w:sz w:val="24"/>
          <w:lang w:val="en-US"/>
        </w:rPr>
        <w:t xml:space="preserve">           </w:t>
      </w:r>
    </w:p>
    <w:p>
      <w:pPr>
        <w:widowControl/>
        <w:ind w:firstLine="2891" w:firstLineChars="800"/>
        <w:jc w:val="left"/>
        <w:rPr>
          <w:rFonts w:hint="eastAsia" w:ascii="仿宋_GB2312" w:hAnsi="仿宋_GB2312" w:eastAsia="仿宋_GB2312" w:cs="仿宋_GB2312"/>
          <w:b/>
          <w:sz w:val="36"/>
          <w:szCs w:val="15"/>
        </w:rPr>
      </w:pPr>
      <w:r>
        <w:rPr>
          <w:rFonts w:hint="eastAsia" w:ascii="仿宋_GB2312" w:hAnsi="仿宋_GB2312" w:eastAsia="仿宋_GB2312" w:cs="仿宋_GB2312"/>
          <w:b/>
          <w:sz w:val="36"/>
          <w:szCs w:val="15"/>
        </w:rPr>
        <w:t>监  理  月  报</w:t>
      </w:r>
    </w:p>
    <w:tbl>
      <w:tblPr>
        <w:tblStyle w:val="12"/>
        <w:tblW w:w="9300" w:type="dxa"/>
        <w:tblInd w:w="-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8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</w:trPr>
        <w:tc>
          <w:tcPr>
            <w:tcW w:w="833" w:type="dxa"/>
            <w:noWrap w:val="0"/>
            <w:vAlign w:val="center"/>
          </w:tcPr>
          <w:p>
            <w:pPr>
              <w:pStyle w:val="29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4"/>
              </w:rPr>
              <w:t>一丶项目概况</w:t>
            </w:r>
          </w:p>
        </w:tc>
        <w:tc>
          <w:tcPr>
            <w:tcW w:w="8467" w:type="dxa"/>
            <w:noWrap w:val="0"/>
            <w:vAlign w:val="center"/>
          </w:tcPr>
          <w:p>
            <w:pPr>
              <w:spacing w:line="360" w:lineRule="auto"/>
              <w:ind w:firstLine="315" w:firstLineChars="150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</w:rPr>
              <w:t>丶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本项目位于甘肃省临夏回族自治州永靖县境内。属温带半干旱气候，冬无严寒，夏无酷暑，四季分明。年平均水平面太阳辐射总量 1591.7kWh/m2 ,年均气温 9.8℃。拟建项目地貌类型主要为高山地。本项目场址太阳能资源丰富，场地地形地貌条件属于复杂山地类型。项目地理位置经纬度坐标北纬 36.1°，东经 103.3°。新建一座 330kV 汇集站；本期以一回 330kV 线路送出接至 330kV 新庄变，线路长度约20 公里。</w:t>
            </w:r>
          </w:p>
          <w:p>
            <w:pPr>
              <w:spacing w:line="360" w:lineRule="auto"/>
              <w:ind w:firstLine="384" w:firstLineChars="183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本工程一期260MW光伏项目，交流侧容量260MW，直流侧容量320.0054MWp。共采用581828块550Wp单晶硅双面电池组件，包括光伏发电系统以及相应的配套并网设施。项目按照15%比例配置39MW/156MWh储能。最终通过一座330kV汇集站外送330kV 线路接入当地国家电网。据光伏方阵的布置情况，共设置119个发电单元。每个发电单元通过1台箱式升压变升压至35kV。各发电单元汇集后，通过9回35kV集电线路接至330kV汇集站35kV母线。 本工程推荐采用分块发电、集中并网方案。光伏组件排列主要采用竖向 2×13 矩阵， 光伏阵列采用固定倾角 25°。同时在场区内选取两块典型地形布置柔性支架及平单轴跟 踪支架。本工程新建一座 330kV 汇集站，通过一回 330kV 线路接入 330kV 新庄变。</w:t>
            </w:r>
          </w:p>
          <w:p>
            <w:pPr>
              <w:pStyle w:val="2"/>
              <w:ind w:left="0" w:leftChars="0" w:firstLine="315" w:firstLineChars="15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</w:rPr>
              <w:t>丶参建单位</w:t>
            </w:r>
          </w:p>
          <w:p>
            <w:pPr>
              <w:spacing w:line="360" w:lineRule="auto"/>
              <w:ind w:left="563" w:leftChars="268" w:firstLine="2" w:firstLineChars="1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建设单位：甘肃刘家峡浩博新能源有限公司  </w:t>
            </w:r>
          </w:p>
          <w:p>
            <w:pPr>
              <w:spacing w:line="360" w:lineRule="auto"/>
              <w:ind w:left="563" w:leftChars="268" w:firstLine="2" w:firstLineChars="1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设计单位：中机国能电力工程有限公司     </w:t>
            </w:r>
          </w:p>
          <w:p>
            <w:pPr>
              <w:spacing w:line="360" w:lineRule="auto"/>
              <w:ind w:left="563" w:leftChars="268" w:firstLine="2" w:firstLineChars="1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总包单位：上海电力建设有限责任公司 </w:t>
            </w:r>
          </w:p>
          <w:p>
            <w:pPr>
              <w:pStyle w:val="4"/>
              <w:ind w:firstLine="550" w:firstLineChars="25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监理单位：常州正衡工程监理有限公司</w:t>
            </w:r>
          </w:p>
        </w:tc>
      </w:tr>
    </w:tbl>
    <w:p>
      <w:pPr>
        <w:spacing w:line="360" w:lineRule="auto"/>
        <w:jc w:val="left"/>
        <w:rPr>
          <w:rFonts w:hint="eastAsia" w:ascii="仿宋_GB2312" w:hAnsi="仿宋_GB2312" w:eastAsia="仿宋_GB2312" w:cs="仿宋_GB2312"/>
          <w:b w:val="0"/>
          <w:bCs/>
          <w:sz w:val="22"/>
          <w:szCs w:val="22"/>
        </w:rPr>
      </w:pP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</w:rPr>
        <w:t>二、材料设备到货</w:t>
      </w:r>
    </w:p>
    <w:tbl>
      <w:tblPr>
        <w:tblStyle w:val="11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3"/>
        <w:gridCol w:w="1550"/>
        <w:gridCol w:w="1238"/>
        <w:gridCol w:w="1445"/>
        <w:gridCol w:w="1389"/>
        <w:gridCol w:w="1477"/>
        <w:gridCol w:w="13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73" w:type="dxa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</w:rPr>
              <w:t>序号</w:t>
            </w:r>
          </w:p>
        </w:tc>
        <w:tc>
          <w:tcPr>
            <w:tcW w:w="1550" w:type="dxa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  <w:lang w:val="en-US" w:eastAsia="zh-CN"/>
              </w:rPr>
              <w:t>设备名称</w:t>
            </w:r>
          </w:p>
        </w:tc>
        <w:tc>
          <w:tcPr>
            <w:tcW w:w="1238" w:type="dxa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  <w:lang w:val="en-US" w:eastAsia="zh-CN"/>
              </w:rPr>
              <w:t>总量</w:t>
            </w:r>
          </w:p>
        </w:tc>
        <w:tc>
          <w:tcPr>
            <w:tcW w:w="144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</w:rPr>
              <w:t>本月计划</w:t>
            </w:r>
          </w:p>
        </w:tc>
        <w:tc>
          <w:tcPr>
            <w:tcW w:w="138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</w:rPr>
              <w:t>本月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  <w:lang w:val="en-US" w:eastAsia="zh-CN"/>
              </w:rPr>
              <w:t>到货</w:t>
            </w:r>
          </w:p>
        </w:tc>
        <w:tc>
          <w:tcPr>
            <w:tcW w:w="1477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</w:rPr>
              <w:t>累计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  <w:lang w:val="en-US" w:eastAsia="zh-CN"/>
              </w:rPr>
              <w:t>到货</w:t>
            </w:r>
          </w:p>
        </w:tc>
        <w:tc>
          <w:tcPr>
            <w:tcW w:w="1378" w:type="dxa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2"/>
                <w:szCs w:val="22"/>
              </w:rPr>
              <w:t>下月计划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40"/>
                <w:szCs w:val="40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lang w:val="en-US"/>
              </w:rPr>
              <w:t>HPB直径8mmE钢筋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31.46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8"/>
                <w:szCs w:val="28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8"/>
                <w:szCs w:val="28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31.46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</w:rPr>
              <w:t>2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Cs/>
                <w:color w:val="auto"/>
                <w:sz w:val="28"/>
                <w:szCs w:val="28"/>
                <w:u w:val="single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lang w:val="en-US"/>
              </w:rPr>
              <w:t>HRB直径10mmE钢筋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0.2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0.2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03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28"/>
                <w:szCs w:val="28"/>
                <w:u w:val="singl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lang w:val="en-US"/>
              </w:rPr>
              <w:t>HPB直径12mmE钢筋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1"/>
                <w:szCs w:val="21"/>
                <w:u w:val="none"/>
                <w:lang w:val="en-US"/>
              </w:rPr>
              <w:t>0.34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1"/>
                <w:szCs w:val="21"/>
                <w:u w:val="none"/>
                <w:lang w:val="en-US"/>
              </w:rPr>
              <w:t>0.34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04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28"/>
                <w:szCs w:val="28"/>
                <w:u w:val="singl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lang w:val="en-US"/>
              </w:rPr>
              <w:t>HPB直径14mmE钢筋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0.83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0.83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05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28"/>
                <w:szCs w:val="28"/>
                <w:u w:val="singl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lang w:val="en-US"/>
              </w:rPr>
              <w:t>HPB直径16mmE钢筋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3.93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3.93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06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28"/>
                <w:szCs w:val="28"/>
                <w:u w:val="singl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lang w:val="en-US"/>
              </w:rPr>
              <w:t>HPB直径18mmE钢筋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7.99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7.99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07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28"/>
                <w:szCs w:val="28"/>
                <w:u w:val="singl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lang w:val="en-US"/>
              </w:rPr>
              <w:t>HRB直径18mmE钢筋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24.97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24.97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08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28"/>
                <w:szCs w:val="28"/>
                <w:u w:val="singl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lang w:val="en-US"/>
              </w:rPr>
              <w:t>HRB直径20mmE钢筋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12.01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12.01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09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Cs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lang w:val="en-US"/>
              </w:rPr>
              <w:t>HRB直径22mmE钢筋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/>
              </w:rPr>
              <w:t>11.59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/>
              </w:rPr>
              <w:t>11.59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10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1"/>
                <w:szCs w:val="21"/>
                <w:u w:val="none"/>
              </w:rPr>
              <w:t>镀锌扁铁</w:t>
            </w: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u w:val="none"/>
                <w:lang w:val="en-US"/>
              </w:rPr>
              <w:t>(吨)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/>
              </w:rPr>
              <w:t>124.7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10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11</w:t>
            </w:r>
          </w:p>
        </w:tc>
        <w:tc>
          <w:tcPr>
            <w:tcW w:w="155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1"/>
                <w:szCs w:val="21"/>
                <w:u w:val="none"/>
              </w:rPr>
              <w:t>地脚螺栓</w:t>
            </w:r>
            <w:r>
              <w:rPr>
                <w:rFonts w:hint="default" w:ascii="仿宋_GB2312" w:hAnsi="仿宋_GB2312" w:eastAsia="仿宋_GB2312" w:cs="仿宋_GB2312"/>
                <w:bCs/>
                <w:color w:val="auto"/>
                <w:sz w:val="21"/>
                <w:szCs w:val="21"/>
                <w:u w:val="none"/>
                <w:lang w:val="en-US"/>
              </w:rPr>
              <w:t>(套)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/>
              </w:rPr>
              <w:t>896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896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12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Cs/>
                <w:color w:val="auto"/>
                <w:kern w:val="2"/>
                <w:sz w:val="28"/>
                <w:szCs w:val="28"/>
                <w:u w:val="singl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2"/>
                <w:szCs w:val="22"/>
                <w:u w:val="none"/>
              </w:rPr>
              <w:t>光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1"/>
                <w:szCs w:val="21"/>
                <w:u w:val="none"/>
              </w:rPr>
              <w:t>伏区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2"/>
                <w:szCs w:val="22"/>
                <w:u w:val="none"/>
              </w:rPr>
              <w:t>支架</w:t>
            </w:r>
            <w:r>
              <w:rPr>
                <w:rFonts w:hint="default" w:ascii="仿宋_GB2312" w:hAnsi="仿宋_GB2312" w:eastAsia="仿宋_GB2312" w:cs="仿宋_GB2312"/>
                <w:bCs/>
                <w:color w:val="auto"/>
                <w:sz w:val="22"/>
                <w:szCs w:val="22"/>
                <w:u w:val="none"/>
                <w:lang w:val="en-US"/>
              </w:rPr>
              <w:t>(组)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8"/>
                <w:szCs w:val="28"/>
                <w:u w:val="singl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22114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  <w:t>2100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  <w:t>2100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13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Cs/>
                <w:color w:val="auto"/>
                <w:kern w:val="2"/>
                <w:sz w:val="28"/>
                <w:szCs w:val="28"/>
                <w:u w:val="singl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2"/>
                <w:szCs w:val="22"/>
                <w:u w:val="none"/>
              </w:rPr>
              <w:t>光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1"/>
                <w:szCs w:val="21"/>
                <w:u w:val="none"/>
              </w:rPr>
              <w:t>伏区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2"/>
                <w:szCs w:val="22"/>
                <w:u w:val="none"/>
              </w:rPr>
              <w:t>组件</w:t>
            </w:r>
            <w:r>
              <w:rPr>
                <w:rFonts w:hint="default" w:ascii="仿宋_GB2312" w:hAnsi="仿宋_GB2312" w:eastAsia="仿宋_GB2312" w:cs="仿宋_GB2312"/>
                <w:bCs/>
                <w:color w:val="auto"/>
                <w:sz w:val="22"/>
                <w:szCs w:val="22"/>
                <w:u w:val="none"/>
                <w:lang w:val="en-US"/>
              </w:rPr>
              <w:t>(块)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8"/>
                <w:szCs w:val="28"/>
                <w:u w:val="singl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/>
              </w:rPr>
              <w:t>581828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none"/>
                <w:lang w:val="en-US" w:eastAsia="zh-CN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14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/>
              </w:rPr>
              <w:t>石灰(吨)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1"/>
                <w:szCs w:val="21"/>
                <w:u w:val="none"/>
                <w:lang w:val="en-US"/>
              </w:rPr>
              <w:t>10350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1"/>
                <w:szCs w:val="21"/>
                <w:u w:val="none"/>
                <w:lang w:val="en-US"/>
              </w:rPr>
              <w:t>10350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singl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0000FF"/>
                <w:sz w:val="22"/>
                <w:szCs w:val="22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73" w:type="dxa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u w:val="none"/>
                <w:lang w:val="en-US"/>
              </w:rPr>
              <w:t>15</w:t>
            </w:r>
          </w:p>
        </w:tc>
        <w:tc>
          <w:tcPr>
            <w:tcW w:w="15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Cs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  <w:t>土木格栅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  <w:t>(</w:t>
            </w:r>
            <w:r>
              <w:rPr>
                <w:rFonts w:hint="default" w:ascii="仿宋_GB2312" w:hAnsi="仿宋_GB2312" w:eastAsia="仿宋_GB2312" w:cs="仿宋_GB2312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  <w:t>m</w:t>
            </w:r>
            <w:r>
              <w:rPr>
                <w:rFonts w:hint="default" w:ascii="仿宋_GB2312" w:hAnsi="仿宋_GB2312" w:eastAsia="仿宋_GB2312" w:cs="仿宋_GB2312"/>
                <w:bCs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  <w:t>)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1"/>
                <w:szCs w:val="21"/>
                <w:u w:val="none"/>
                <w:lang w:val="en-US"/>
              </w:rPr>
              <w:t>10500</w:t>
            </w:r>
          </w:p>
        </w:tc>
        <w:tc>
          <w:tcPr>
            <w:tcW w:w="14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 w:eastAsia="zh-CN"/>
              </w:rPr>
              <w:t>0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sz w:val="22"/>
                <w:szCs w:val="22"/>
                <w:u w:val="none"/>
                <w:lang w:val="en-US" w:eastAsia="zh-CN"/>
              </w:rPr>
              <w:t>0</w:t>
            </w:r>
          </w:p>
        </w:tc>
        <w:tc>
          <w:tcPr>
            <w:tcW w:w="147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0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0</w:t>
            </w:r>
          </w:p>
        </w:tc>
      </w:tr>
    </w:tbl>
    <w:tbl>
      <w:tblPr>
        <w:tblStyle w:val="11"/>
        <w:tblpPr w:leftFromText="180" w:rightFromText="180" w:vertAnchor="text" w:horzAnchor="page" w:tblpX="1805" w:tblpY="522"/>
        <w:tblOverlap w:val="never"/>
        <w:tblW w:w="928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1337"/>
        <w:gridCol w:w="1200"/>
        <w:gridCol w:w="1278"/>
        <w:gridCol w:w="1545"/>
        <w:gridCol w:w="1260"/>
        <w:gridCol w:w="1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38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68"/>
                <w:tab w:val="center" w:pos="1251"/>
              </w:tabs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ab/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ab/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工程名称</w:t>
            </w:r>
          </w:p>
        </w:tc>
        <w:tc>
          <w:tcPr>
            <w:tcW w:w="12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总工程量</w:t>
            </w:r>
          </w:p>
        </w:tc>
        <w:tc>
          <w:tcPr>
            <w:tcW w:w="1278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本月计划</w:t>
            </w:r>
          </w:p>
        </w:tc>
        <w:tc>
          <w:tcPr>
            <w:tcW w:w="154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本月完成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累计完成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下月计划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38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道路工程（公里）</w:t>
            </w:r>
          </w:p>
        </w:tc>
        <w:tc>
          <w:tcPr>
            <w:tcW w:w="12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65</w:t>
            </w:r>
          </w:p>
        </w:tc>
        <w:tc>
          <w:tcPr>
            <w:tcW w:w="1278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422" w:firstLineChars="200"/>
              <w:rPr>
                <w:rFonts w:hint="default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20</w:t>
            </w:r>
          </w:p>
        </w:tc>
        <w:tc>
          <w:tcPr>
            <w:tcW w:w="154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20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65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4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4"/>
              <w:ind w:firstLine="211" w:firstLineChars="100"/>
              <w:rPr>
                <w:rFonts w:hint="default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光伏区</w:t>
            </w:r>
          </w:p>
        </w:tc>
        <w:tc>
          <w:tcPr>
            <w:tcW w:w="1337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基础桩浇筑砼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(根)</w:t>
            </w:r>
          </w:p>
        </w:tc>
        <w:tc>
          <w:tcPr>
            <w:tcW w:w="120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221140</w:t>
            </w:r>
          </w:p>
        </w:tc>
        <w:tc>
          <w:tcPr>
            <w:tcW w:w="127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21140</w:t>
            </w:r>
          </w:p>
        </w:tc>
        <w:tc>
          <w:tcPr>
            <w:tcW w:w="154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21140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201" w:firstLineChars="1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221140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4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  <w:t>光伏区支架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  <w:t>(组)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22114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5%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1.37%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301" w:firstLineChars="150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2514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4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  <w:t>光伏区组件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  <w:t>(块)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581828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4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4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4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</w:tbl>
    <w:p>
      <w:pPr>
        <w:spacing w:line="360" w:lineRule="auto"/>
        <w:jc w:val="left"/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1"/>
          <w:szCs w:val="21"/>
          <w:u w:val="none"/>
        </w:rPr>
        <w:t>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</w:rPr>
        <w:t>、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24"/>
          <w:szCs w:val="24"/>
          <w:u w:val="none"/>
          <w:lang w:val="en-US" w:eastAsia="zh-CN"/>
        </w:rPr>
        <w:t>工程形象进度（根据工程进度表填写）</w:t>
      </w:r>
    </w:p>
    <w:tbl>
      <w:tblPr>
        <w:tblStyle w:val="11"/>
        <w:tblpPr w:leftFromText="180" w:rightFromText="180" w:vertAnchor="text" w:horzAnchor="page" w:tblpX="1825" w:tblpY="41"/>
        <w:tblOverlap w:val="never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"/>
        <w:gridCol w:w="1290"/>
        <w:gridCol w:w="1245"/>
        <w:gridCol w:w="1290"/>
        <w:gridCol w:w="1500"/>
        <w:gridCol w:w="1305"/>
        <w:gridCol w:w="16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4"/>
              <w:rPr>
                <w:rFonts w:hint="default"/>
                <w:lang w:val="en-US"/>
              </w:rPr>
            </w:pPr>
            <w:bookmarkStart w:id="0" w:name="_Toc112759662"/>
            <w:bookmarkStart w:id="1" w:name="_Toc41397247"/>
            <w:r>
              <w:rPr>
                <w:rFonts w:hint="eastAsia" w:ascii="仿宋_GB2312" w:hAnsi="仿宋_GB2312" w:eastAsia="仿宋_GB2312" w:cs="仿宋_GB2312"/>
                <w:b/>
                <w:bCs/>
                <w:lang w:val="en-US"/>
              </w:rPr>
              <w:t>33KV升压站</w:t>
            </w:r>
          </w:p>
        </w:tc>
        <w:tc>
          <w:tcPr>
            <w:tcW w:w="129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开挖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(m3)</w:t>
            </w:r>
          </w:p>
        </w:tc>
        <w:tc>
          <w:tcPr>
            <w:tcW w:w="124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225524</w:t>
            </w:r>
          </w:p>
        </w:tc>
        <w:tc>
          <w:tcPr>
            <w:tcW w:w="129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50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30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201" w:firstLineChars="100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225524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  <w:t>灰土挤密桩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  <w:t>(根)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35847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30%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18.89%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84.66%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7527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主控通信楼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垫层丶基础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1层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丶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2层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基础砼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基础砼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垫层丶基础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主体竣工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主変二次室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垫层丶基础丶墙身顶板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墙身顶板筋模板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墙身顶板筋模板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垫层丶基础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墙身顶板及回填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事故油池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垫层丶筏板剪力墙顶板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筏板砼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筏板砼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剪力墙顶板砼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配电及构架装置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垫层丶基础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垫层砼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垫层砼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垫层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基础钢筋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模板丶砼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  <w:t>挡墙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  <w:t>(m3)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890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890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土木格栅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(m2)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10500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10500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排水沟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(m)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490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0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490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4"/>
              <w:rPr>
                <w:rFonts w:hint="default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lang w:val="en-US"/>
              </w:rPr>
              <w:t>3</w:t>
            </w:r>
            <w:r>
              <w:rPr>
                <w:rFonts w:hint="eastAsia" w:ascii="仿宋_GB2312" w:hAnsi="仿宋_GB2312" w:eastAsia="仿宋_GB2312" w:cs="仿宋_GB2312"/>
                <w:b/>
                <w:bCs/>
                <w:lang w:val="en-US"/>
              </w:rPr>
              <w:t>30KV送出线路工程</w:t>
            </w:r>
          </w:p>
        </w:tc>
        <w:tc>
          <w:tcPr>
            <w:tcW w:w="129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塔基基础</w:t>
            </w: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(个)</w:t>
            </w:r>
          </w:p>
        </w:tc>
        <w:tc>
          <w:tcPr>
            <w:tcW w:w="124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57</w:t>
            </w:r>
          </w:p>
        </w:tc>
        <w:tc>
          <w:tcPr>
            <w:tcW w:w="129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30</w:t>
            </w:r>
          </w:p>
        </w:tc>
        <w:tc>
          <w:tcPr>
            <w:tcW w:w="150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</w:t>
            </w:r>
          </w:p>
        </w:tc>
        <w:tc>
          <w:tcPr>
            <w:tcW w:w="130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422" w:firstLineChars="200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2"/>
                <w:lang w:val="en-US" w:eastAsia="zh-CN" w:bidi="ar-SA"/>
              </w:rPr>
              <w:t>25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05" w:type="dxa"/>
            <w:vMerge w:val="continue"/>
            <w:tcBorders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</w:tbl>
    <w:p>
      <w:pPr>
        <w:widowControl/>
        <w:jc w:val="left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四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丶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监理重点工作情况</w:t>
      </w:r>
    </w:p>
    <w:tbl>
      <w:tblPr>
        <w:tblStyle w:val="12"/>
        <w:tblW w:w="974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"/>
        <w:gridCol w:w="1157"/>
        <w:gridCol w:w="3881"/>
        <w:gridCol w:w="37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97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专业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事项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本月重点工作情况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97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协调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ind w:firstLine="210" w:firstLineChars="100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组织工作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组织召开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监理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例会和工地安全例会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次，并形成会议纪要。</w:t>
            </w:r>
          </w:p>
          <w:p>
            <w:pPr>
              <w:pStyle w:val="2"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rPr>
                <w:rFonts w:hint="eastAsia" w:ascii="仿宋_GB2312" w:hAnsi="仿宋_GB2312" w:eastAsia="仿宋_GB2312" w:cs="仿宋_GB2312"/>
                <w:sz w:val="24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每周一组织对施工现场进行安全大检查。</w:t>
            </w:r>
          </w:p>
          <w:p>
            <w:pPr>
              <w:pStyle w:val="2"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rPr>
                <w:rFonts w:hint="eastAsia" w:ascii="仿宋_GB2312" w:hAnsi="仿宋_GB2312" w:eastAsia="仿宋_GB2312" w:cs="仿宋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2"/>
                <w:lang w:val="en-US" w:eastAsia="zh-CN" w:bidi="ar-SA"/>
              </w:rPr>
              <w:t>组织召开安全警示教育会议。</w:t>
            </w:r>
          </w:p>
          <w:p>
            <w:pPr>
              <w:pStyle w:val="2"/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</w:p>
        </w:tc>
        <w:tc>
          <w:tcPr>
            <w:tcW w:w="373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召开工地例会和安全工地例会，督促施工单位做好工程质量和安全自查工作，资料报验的问题，定期组织对施工现场进行安全大检查。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97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监理进度控制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ind w:firstLine="210" w:firstLineChars="100"/>
              <w:rPr>
                <w:rFonts w:hint="eastAsia" w:ascii="仿宋_GB2312" w:hAnsi="仿宋_GB2312" w:eastAsia="仿宋_GB2312" w:cs="仿宋_GB2312"/>
                <w:sz w:val="21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2"/>
              </w:rPr>
              <w:t>监理机构应督促承包人做好施工组织管理，确保施工资源的投入，并按批准的施工进度计划实施。监理机构应做好实际工程进度记录以及承包人每日的施工设备、人员、原材料的进场记录，并审核承包人的同期记录。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仿宋_GB2312"/>
                <w:sz w:val="21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2"/>
              </w:rPr>
              <w:t xml:space="preserve">  监理对施工进度计划的实施全过程，包括施工准备、施工条件和进度计划的实施情况，进行定期检查，对实际施工进度进行分析和评价，对关键节点的进度实施重点跟踪检查。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仿宋_GB2312"/>
                <w:sz w:val="21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2"/>
              </w:rPr>
              <w:t xml:space="preserve">  监理应根据施工进度计划，协调有关参建各方之间的关系，定期召开生产协调会议，及时发现、解决影响工程进度的干扰因素，促进施工项目的顺利进展。</w:t>
            </w:r>
          </w:p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</w:p>
        </w:tc>
        <w:tc>
          <w:tcPr>
            <w:tcW w:w="3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20" w:firstLineChars="200"/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人员分工明确,责任到人,层层把关,施工进度定周丶天,实行进度计划与实际相比较,出现偏差及时处理.解决好各工序交叉作业协调问题,合理利用各种资源.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restart"/>
            <w:noWrap w:val="0"/>
            <w:vAlign w:val="center"/>
          </w:tcPr>
          <w:p>
            <w:pPr>
              <w:spacing w:line="360" w:lineRule="auto"/>
              <w:ind w:firstLine="210" w:firstLineChars="100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质量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设备交付进度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支架、组件、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消防器材进场检查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基本满足工程进度。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做好材料进场验收工作，并做好开箱检查记录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下月需要到贷的设备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设计交付进度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图纸满足工程进度要求。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下月需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  <w:lang w:val="en-US" w:eastAsia="zh-CN"/>
              </w:rPr>
              <w:t>全部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  <w:lang w:eastAsia="zh-CN"/>
              </w:rPr>
              <w:t>交付文件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质量体系运作情况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质量体系健全运行良好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eastAsia="zh-CN"/>
              </w:rPr>
              <w:t>严把质量关，并认真做好每次质检记录，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并对运行情况进行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eastAsia="zh-CN"/>
              </w:rPr>
              <w:t>跟踪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检查落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实质量保证体系，并对运行情况进行检查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施工图会审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ind w:firstLine="630" w:firstLineChars="300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己会审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360" w:lineRule="auto"/>
              <w:ind w:firstLine="735" w:firstLineChars="350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已完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设计交底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ind w:firstLine="735" w:firstLineChars="350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己交底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360" w:lineRule="auto"/>
              <w:ind w:firstLine="945" w:firstLineChars="450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己完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方案审查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330kv升压站及线路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方案已审查完成，集电线路部分方案已审查完成。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监督施工单位完善工程资料，对施工单位的技术措施、大型机械、特殊工种、管理体系运转情况等进行审查。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(拟对重点工作方案审查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)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技术交底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新进场人员人员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进行技术交底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,检查是否按施工方案及技术交底施工,进场材料设备及时捉供厂家质检报告及资质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对关键工序及关键部位质量方面技术交底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,由施工方组织,业主及监理参加并签字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设计变更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ind w:firstLine="1470" w:firstLineChars="700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踉踪控制执行设计变更,并做好设计变更工程量统计。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restart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安全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tabs>
                <w:tab w:val="left" w:pos="990"/>
              </w:tabs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安全活动开展情况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监理项目部每周召安全工地例会和组织对施工现场进行安全大检查，宣传遵守安全生产法，每日光伏区升压站及线路现场进行安全巡查。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继续开展安全文明施工教育，监督做好用火、用电，组织安全活动等工作。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拟监理部组织安全培训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安全培训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安全交底情况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对新进场所有人员和特种作业人员进行了安全教育培训和安全技术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交底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继续督促施工单位进行班前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技术、安全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教育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交底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工作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拟对交全重点部位组织交底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安全措施落实情况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要求各施工区域五图一牌、防护栏杆、安全警示标志安装到位，施工现场灭火器等必须配备齐全。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安全措施基本可控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持续进行防火、防触电、消防等措施、杜绝意外发生。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监督施工单位认真落实安全措施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安全文明施工情况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现场安全文明施工检查，本项目施工现场安全文明措施已逐渐完善，施工现场安全警示标语及岗位职责牌已基本齐全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安全文明施工基本可控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加强现场安全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巡查，落实安全文明施工，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加强施工现场的监管力度，确保整个项目安全高效的进行。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restart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质量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主要工序质量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质量处于受控状态，原材料进场进行见证取样复检检测全部合格。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基本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可控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督促各单位做好自检工作和工序报验，把好质量关。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加强工序质量控制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主要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钢筋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原材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、混凝土试块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、高强度螺母等见证取样及送检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pStyle w:val="2"/>
              <w:numPr>
                <w:ilvl w:val="0"/>
                <w:numId w:val="3"/>
              </w:numPr>
              <w:spacing w:line="240" w:lineRule="auto"/>
              <w:ind w:left="0" w:leftChars="0" w:firstLine="0" w:firstLineChars="0"/>
              <w:rPr>
                <w:rFonts w:hint="eastAsia" w:ascii="仿宋_GB2312" w:hAnsi="仿宋_GB2312" w:eastAsia="仿宋_GB2312" w:cs="仿宋_GB2312"/>
                <w:sz w:val="21"/>
                <w:szCs w:val="2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0"/>
                <w:lang w:val="en-US" w:eastAsia="zh-CN"/>
              </w:rPr>
              <w:t>塔基基础桩混凝土试块见证并送检。</w:t>
            </w:r>
          </w:p>
          <w:p>
            <w:pPr>
              <w:pStyle w:val="2"/>
              <w:numPr>
                <w:ilvl w:val="0"/>
                <w:numId w:val="3"/>
              </w:numPr>
              <w:spacing w:line="240" w:lineRule="auto"/>
              <w:ind w:left="0" w:leftChars="0" w:firstLine="0" w:firstLineChars="0"/>
              <w:rPr>
                <w:rFonts w:hint="eastAsia" w:ascii="仿宋_GB2312" w:hAnsi="仿宋_GB2312" w:eastAsia="仿宋_GB2312" w:cs="仿宋_GB2312"/>
                <w:sz w:val="21"/>
                <w:szCs w:val="2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0"/>
                <w:lang w:val="en-US" w:eastAsia="zh-CN"/>
              </w:rPr>
              <w:t>塔基基础钢筋丶镀锌扁铁丶地脚螺栓等见证取样并送检。</w:t>
            </w:r>
          </w:p>
          <w:p>
            <w:pPr>
              <w:pStyle w:val="2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sz w:val="21"/>
                <w:szCs w:val="20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3丶对升压站灰土挤密桩进场石灰</w:t>
            </w:r>
            <w:r>
              <w:rPr>
                <w:rFonts w:hint="eastAsia" w:ascii="仿宋_GB2312" w:hAnsi="仿宋_GB2312" w:eastAsia="仿宋_GB2312" w:cs="仿宋_GB2312"/>
                <w:sz w:val="21"/>
                <w:szCs w:val="20"/>
                <w:lang w:val="en-US" w:eastAsia="zh-CN"/>
              </w:rPr>
              <w:t>见证取样并送检。</w:t>
            </w:r>
          </w:p>
          <w:p>
            <w:pPr>
              <w:pStyle w:val="2"/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加强对进场材料方面质量控制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构（配）件质量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ind w:firstLine="630" w:firstLineChars="300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质量合格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符合要求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加强对进场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  <w:t>构（配）件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质量控制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设备质量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val="en-US" w:eastAsia="zh-CN"/>
              </w:rPr>
              <w:t>所有进场设备质量符合设计规范要求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及时做好进场设备报验、开箱检查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质量验评情况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eastAsia="zh-CN"/>
              </w:rPr>
              <w:t>按施工单位验评划分进行检查、验收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对以完成检验批分项分部单位工程验收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restart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投资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资金情况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  <w:t xml:space="preserve">            /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  <w:t xml:space="preserve">             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款项支付情况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ind w:firstLine="1440" w:firstLineChars="600"/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2"/>
                <w:lang w:val="en-US" w:eastAsia="zh-CN"/>
              </w:rPr>
              <w:t>/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 xml:space="preserve">             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预算外签证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  <w:t xml:space="preserve">            /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 xml:space="preserve">              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restart"/>
            <w:noWrap w:val="0"/>
            <w:vAlign w:val="center"/>
          </w:tcPr>
          <w:p>
            <w:pPr>
              <w:spacing w:line="360" w:lineRule="auto"/>
              <w:rPr>
                <w:rFonts w:hint="default" w:ascii="仿宋_GB2312" w:hAnsi="仿宋_GB2312" w:eastAsia="仿宋_GB2312" w:cs="仿宋_GB2312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合同</w:t>
            </w:r>
            <w:r>
              <w:rPr>
                <w:rFonts w:hint="default" w:ascii="仿宋_GB2312" w:hAnsi="仿宋_GB2312" w:eastAsia="仿宋_GB2312" w:cs="仿宋_GB2312"/>
                <w:color w:val="000000"/>
                <w:szCs w:val="18"/>
                <w:lang w:val="en-US"/>
              </w:rPr>
              <w:t xml:space="preserve">    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合同签订情况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ind w:firstLine="525" w:firstLineChars="250"/>
              <w:rPr>
                <w:rFonts w:hint="eastAsia" w:ascii="仿宋_GB2312" w:hAnsi="仿宋_GB2312" w:eastAsia="仿宋_GB2312" w:cs="仿宋_GB2312"/>
                <w:color w:val="000000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施工合同已签订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color w:val="000000"/>
                <w:sz w:val="22"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0"/>
                <w:szCs w:val="20"/>
                <w:lang w:val="en-US"/>
              </w:rPr>
              <w:t xml:space="preserve">               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157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合同执行情况</w:t>
            </w:r>
          </w:p>
        </w:tc>
        <w:tc>
          <w:tcPr>
            <w:tcW w:w="3881" w:type="dxa"/>
            <w:noWrap w:val="0"/>
            <w:vAlign w:val="center"/>
          </w:tcPr>
          <w:p>
            <w:pPr>
              <w:ind w:firstLine="1050" w:firstLineChars="500"/>
              <w:rPr>
                <w:rFonts w:hint="eastAsia" w:ascii="仿宋_GB2312" w:hAnsi="仿宋_GB2312" w:eastAsia="仿宋_GB2312" w:cs="仿宋_GB2312"/>
                <w:color w:val="000000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0"/>
              </w:rPr>
              <w:t>良好</w:t>
            </w:r>
          </w:p>
        </w:tc>
        <w:tc>
          <w:tcPr>
            <w:tcW w:w="3732" w:type="dxa"/>
            <w:noWrap w:val="0"/>
            <w:vAlign w:val="center"/>
          </w:tcPr>
          <w:p>
            <w:pPr>
              <w:ind w:firstLine="660" w:firstLineChars="300"/>
              <w:rPr>
                <w:rFonts w:hint="default" w:ascii="仿宋_GB2312" w:hAnsi="仿宋_GB2312" w:eastAsia="仿宋_GB2312" w:cs="仿宋_GB2312"/>
                <w:color w:val="000000"/>
                <w:sz w:val="22"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2"/>
                <w:szCs w:val="21"/>
                <w:lang w:val="en-US"/>
              </w:rPr>
              <w:t xml:space="preserve">         /</w:t>
            </w:r>
          </w:p>
        </w:tc>
      </w:tr>
    </w:tbl>
    <w:p>
      <w:pPr>
        <w:pStyle w:val="31"/>
        <w:numPr>
          <w:ilvl w:val="0"/>
          <w:numId w:val="0"/>
        </w:numPr>
        <w:spacing w:before="156" w:beforeLines="50" w:after="156" w:afterLines="50" w:line="360" w:lineRule="auto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五、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安全文明施工情况</w:t>
      </w:r>
    </w:p>
    <w:tbl>
      <w:tblPr>
        <w:tblStyle w:val="12"/>
        <w:tblW w:w="9337" w:type="dxa"/>
        <w:tblInd w:w="-2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969"/>
        <w:gridCol w:w="969"/>
        <w:gridCol w:w="1245"/>
        <w:gridCol w:w="692"/>
        <w:gridCol w:w="980"/>
        <w:gridCol w:w="944"/>
        <w:gridCol w:w="1062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3153" w:type="dxa"/>
            <w:gridSpan w:val="3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事故（起）</w:t>
            </w:r>
          </w:p>
        </w:tc>
        <w:tc>
          <w:tcPr>
            <w:tcW w:w="1245" w:type="dxa"/>
            <w:vMerge w:val="restart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编制安全策划文件（份）</w:t>
            </w:r>
          </w:p>
        </w:tc>
        <w:tc>
          <w:tcPr>
            <w:tcW w:w="692" w:type="dxa"/>
            <w:vMerge w:val="restart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施工人数</w:t>
            </w:r>
          </w:p>
        </w:tc>
        <w:tc>
          <w:tcPr>
            <w:tcW w:w="4247" w:type="dxa"/>
            <w:gridSpan w:val="4"/>
            <w:noWrap w:val="0"/>
            <w:vAlign w:val="top"/>
          </w:tcPr>
          <w:p>
            <w:pPr>
              <w:spacing w:line="360" w:lineRule="auto"/>
              <w:ind w:firstLine="735" w:firstLineChars="350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安全分包情况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12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16"/>
              </w:rPr>
              <w:t>人身重伤</w:t>
            </w:r>
          </w:p>
        </w:tc>
        <w:tc>
          <w:tcPr>
            <w:tcW w:w="969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16"/>
              </w:rPr>
              <w:t>机械设备</w:t>
            </w:r>
          </w:p>
        </w:tc>
        <w:tc>
          <w:tcPr>
            <w:tcW w:w="969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16"/>
              </w:rPr>
              <w:t>电网事故</w:t>
            </w:r>
          </w:p>
        </w:tc>
        <w:tc>
          <w:tcPr>
            <w:tcW w:w="1245" w:type="dxa"/>
            <w:vMerge w:val="continue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</w:p>
        </w:tc>
        <w:tc>
          <w:tcPr>
            <w:tcW w:w="692" w:type="dxa"/>
            <w:vMerge w:val="continue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</w:p>
        </w:tc>
        <w:tc>
          <w:tcPr>
            <w:tcW w:w="980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16"/>
              </w:rPr>
              <w:t>分包队伍数量</w:t>
            </w:r>
          </w:p>
        </w:tc>
        <w:tc>
          <w:tcPr>
            <w:tcW w:w="944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16"/>
              </w:rPr>
              <w:t>分包队伍人数</w:t>
            </w:r>
          </w:p>
        </w:tc>
        <w:tc>
          <w:tcPr>
            <w:tcW w:w="1062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16"/>
              </w:rPr>
              <w:t>系统外包队伍数量</w:t>
            </w:r>
          </w:p>
        </w:tc>
        <w:tc>
          <w:tcPr>
            <w:tcW w:w="126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16"/>
              </w:rPr>
              <w:t>系统外队伍人数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215" w:type="dxa"/>
            <w:noWrap w:val="0"/>
            <w:vAlign w:val="top"/>
          </w:tcPr>
          <w:p>
            <w:pPr>
              <w:spacing w:line="360" w:lineRule="auto"/>
              <w:ind w:firstLine="525" w:firstLineChars="250"/>
              <w:jc w:val="both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/</w:t>
            </w:r>
          </w:p>
        </w:tc>
        <w:tc>
          <w:tcPr>
            <w:tcW w:w="969" w:type="dxa"/>
            <w:noWrap w:val="0"/>
            <w:vAlign w:val="top"/>
          </w:tcPr>
          <w:p>
            <w:pPr>
              <w:ind w:firstLine="360" w:firstLineChars="150"/>
              <w:jc w:val="both"/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  <w:t>/</w:t>
            </w:r>
          </w:p>
        </w:tc>
        <w:tc>
          <w:tcPr>
            <w:tcW w:w="969" w:type="dxa"/>
            <w:noWrap w:val="0"/>
            <w:vAlign w:val="top"/>
          </w:tcPr>
          <w:p>
            <w:pPr>
              <w:ind w:firstLine="240" w:firstLineChars="100"/>
              <w:jc w:val="center"/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  <w:t>/</w:t>
            </w:r>
          </w:p>
        </w:tc>
        <w:tc>
          <w:tcPr>
            <w:tcW w:w="1245" w:type="dxa"/>
            <w:noWrap w:val="0"/>
            <w:vAlign w:val="top"/>
          </w:tcPr>
          <w:p>
            <w:pPr>
              <w:spacing w:line="360" w:lineRule="auto"/>
              <w:ind w:firstLine="315" w:firstLineChars="150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0</w:t>
            </w:r>
          </w:p>
        </w:tc>
        <w:tc>
          <w:tcPr>
            <w:tcW w:w="692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80" w:type="dxa"/>
            <w:noWrap w:val="0"/>
            <w:vAlign w:val="top"/>
          </w:tcPr>
          <w:p>
            <w:pPr>
              <w:spacing w:line="360" w:lineRule="auto"/>
              <w:ind w:firstLine="315" w:firstLineChars="150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944" w:type="dxa"/>
            <w:noWrap w:val="0"/>
            <w:vAlign w:val="top"/>
          </w:tcPr>
          <w:p>
            <w:pPr>
              <w:spacing w:line="360" w:lineRule="auto"/>
              <w:ind w:firstLine="210" w:firstLineChars="100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120</w:t>
            </w:r>
          </w:p>
        </w:tc>
        <w:tc>
          <w:tcPr>
            <w:tcW w:w="1062" w:type="dxa"/>
            <w:noWrap w:val="0"/>
            <w:vAlign w:val="top"/>
          </w:tcPr>
          <w:p>
            <w:pP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4"/>
                <w:szCs w:val="22"/>
                <w:lang w:val="en-US"/>
              </w:rPr>
              <w:t xml:space="preserve">   0</w:t>
            </w:r>
          </w:p>
        </w:tc>
        <w:tc>
          <w:tcPr>
            <w:tcW w:w="1261" w:type="dxa"/>
            <w:noWrap w:val="0"/>
            <w:vAlign w:val="top"/>
          </w:tcPr>
          <w:p>
            <w:pPr>
              <w:ind w:firstLine="400" w:firstLineChars="200"/>
              <w:rPr>
                <w:rFonts w:hint="default"/>
                <w:b w:val="0"/>
                <w:bCs w:val="0"/>
                <w:sz w:val="20"/>
                <w:szCs w:val="21"/>
                <w:lang w:val="en-US"/>
              </w:rPr>
            </w:pPr>
            <w:r>
              <w:rPr>
                <w:rFonts w:hint="default"/>
                <w:b w:val="0"/>
                <w:bCs w:val="0"/>
                <w:sz w:val="20"/>
                <w:szCs w:val="21"/>
                <w:lang w:val="en-US"/>
              </w:rPr>
              <w:t>0</w:t>
            </w:r>
          </w:p>
          <w:p>
            <w:pPr>
              <w:pStyle w:val="2"/>
              <w:rPr>
                <w:rFonts w:hint="default"/>
                <w:lang w:val="en-US"/>
              </w:rPr>
            </w:pPr>
          </w:p>
        </w:tc>
      </w:tr>
    </w:tbl>
    <w:p>
      <w:pPr>
        <w:pStyle w:val="31"/>
        <w:numPr>
          <w:ilvl w:val="0"/>
          <w:numId w:val="0"/>
        </w:numPr>
        <w:spacing w:before="156" w:beforeLines="50" w:after="156" w:afterLines="50" w:line="360" w:lineRule="auto"/>
        <w:ind w:leftChars="-170" w:firstLine="480" w:firstLineChars="20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六、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施工重点工作情况</w:t>
      </w:r>
    </w:p>
    <w:tbl>
      <w:tblPr>
        <w:tblStyle w:val="12"/>
        <w:tblW w:w="9283" w:type="dxa"/>
        <w:tblInd w:w="-2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3402"/>
        <w:gridCol w:w="45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18"/>
              </w:rPr>
              <w:t>专业</w:t>
            </w:r>
          </w:p>
        </w:tc>
        <w:tc>
          <w:tcPr>
            <w:tcW w:w="340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18"/>
              </w:rPr>
              <w:t>本月重点工作情况</w:t>
            </w:r>
          </w:p>
        </w:tc>
        <w:tc>
          <w:tcPr>
            <w:tcW w:w="45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18"/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进度管理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组织业主单位及施工单位对现场工作量统计与进度计划比较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,并调整进度计划</w:t>
            </w:r>
          </w:p>
        </w:tc>
        <w:tc>
          <w:tcPr>
            <w:tcW w:w="4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根据进度调整计划时间,督促施工单位施工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安全管理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督促施工单位报审《安全文明施工管理制度》，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安委会要定期对现场进行安全检查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； 对施工人员进行安全培训、考试，提高作业人员安全防范意识，落实安全文明施工措施。</w:t>
            </w:r>
          </w:p>
        </w:tc>
        <w:tc>
          <w:tcPr>
            <w:tcW w:w="4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审查施工项目部&lt;&lt;安全文明措施&gt;&gt;及施工项目部施工安全管理人员、特殊工种、特殊作业人员资格证明文件，实施安全监理，发现问题及时提出整改要求并限期改正。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质量管理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设备及材料到场进行检查验收；单位工程重点部位施工进行旁站；督促施工单位质量通病防治措施；监督施工项目部落实强制性条文的执行计划。</w:t>
            </w:r>
          </w:p>
        </w:tc>
        <w:tc>
          <w:tcPr>
            <w:tcW w:w="4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督促施工单位按照施工工艺和设计要求及规范验标要求进行施工。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技术管理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针对当前工作任务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,认其查对施工图纸和规范,做到心中有数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。</w:t>
            </w:r>
          </w:p>
        </w:tc>
        <w:tc>
          <w:tcPr>
            <w:tcW w:w="4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参与过程中重要（关键）环节的施工技术交底会，监督检查执行情况。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造价管理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对施工单位工程预付款审核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。</w:t>
            </w:r>
          </w:p>
        </w:tc>
        <w:tc>
          <w:tcPr>
            <w:tcW w:w="4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按照现场实际工程量审核工程进度款。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18"/>
              </w:rPr>
              <w:t>物资供应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供用计划与施工进度一致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,库存教量满足现场施工要求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。</w:t>
            </w:r>
          </w:p>
        </w:tc>
        <w:tc>
          <w:tcPr>
            <w:tcW w:w="45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严格执行验收程序对进场物资试验验证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,严禁质量不合格物资进场,全面做好质量控制是关键环节和起点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7" w:hRule="atLeast"/>
        </w:trPr>
        <w:tc>
          <w:tcPr>
            <w:tcW w:w="1367" w:type="dxa"/>
            <w:noWrap w:val="0"/>
            <w:vAlign w:val="center"/>
          </w:tcPr>
          <w:p>
            <w:pPr>
              <w:pStyle w:val="29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1"/>
              </w:rPr>
              <w:t>七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eastAsia="zh-CN"/>
              </w:rPr>
              <w:t>强制性条文执行情况</w:t>
            </w:r>
          </w:p>
        </w:tc>
        <w:tc>
          <w:tcPr>
            <w:tcW w:w="7916" w:type="dxa"/>
            <w:gridSpan w:val="2"/>
            <w:noWrap w:val="0"/>
            <w:vAlign w:val="center"/>
          </w:tcPr>
          <w:p>
            <w:pPr>
              <w:pStyle w:val="30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0"/>
                <w:szCs w:val="20"/>
                <w:lang w:val="en-US" w:eastAsia="zh-CN"/>
              </w:rPr>
              <w:t>亓展质量强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制性条文管理检查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,对照</w:t>
            </w:r>
            <w:r>
              <w:rPr>
                <w:rFonts w:hint="default" w:ascii="仿宋_GB2312" w:hAnsi="仿宋_GB2312" w:eastAsia="仿宋_GB2312" w:cs="仿宋_GB2312"/>
                <w:color w:val="000000"/>
                <w:sz w:val="20"/>
                <w:szCs w:val="20"/>
                <w:lang w:val="en-US" w:eastAsia="zh-CN"/>
              </w:rPr>
              <w:t>强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制性条文执行计划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,及时梳理和更新问题库,做好</w:t>
            </w:r>
            <w:r>
              <w:rPr>
                <w:rFonts w:hint="default" w:ascii="仿宋_GB2312" w:hAnsi="仿宋_GB2312" w:eastAsia="仿宋_GB2312" w:cs="仿宋_GB2312"/>
                <w:color w:val="000000"/>
                <w:sz w:val="20"/>
                <w:szCs w:val="20"/>
                <w:lang w:val="en-US" w:eastAsia="zh-CN"/>
              </w:rPr>
              <w:t>强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制性条文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问题分析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、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整改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、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闭合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管理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工作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</w:trPr>
        <w:tc>
          <w:tcPr>
            <w:tcW w:w="1367" w:type="dxa"/>
            <w:noWrap w:val="0"/>
            <w:vAlign w:val="center"/>
          </w:tcPr>
          <w:p>
            <w:pPr>
              <w:pStyle w:val="29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八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0"/>
                <w:szCs w:val="21"/>
              </w:rPr>
              <w:t>需业主协调的问题</w:t>
            </w:r>
          </w:p>
        </w:tc>
        <w:tc>
          <w:tcPr>
            <w:tcW w:w="7916" w:type="dxa"/>
            <w:gridSpan w:val="2"/>
            <w:noWrap w:val="0"/>
            <w:vAlign w:val="center"/>
          </w:tcPr>
          <w:p>
            <w:pPr>
              <w:pStyle w:val="6"/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仿宋_GB2312" w:hAnsi="仿宋_GB2312" w:eastAsia="仿宋_GB2312" w:cs="仿宋_GB2312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/>
              </w:rPr>
              <w:t>(1)</w:t>
            </w:r>
            <w:r>
              <w:rPr>
                <w:rFonts w:hint="default" w:ascii="仿宋_GB2312" w:hAnsi="仿宋_GB2312" w:eastAsia="仿宋_GB2312" w:cs="仿宋_GB2312"/>
                <w:bCs/>
                <w:color w:val="0000FF"/>
                <w:sz w:val="21"/>
                <w:szCs w:val="22"/>
                <w:lang w:val="en-US" w:eastAsia="zh-CN"/>
              </w:rPr>
              <w:t>复垦方案盖章联系单,升压站大件运输方案未编</w:t>
            </w: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 w:eastAsia="zh-CN"/>
              </w:rPr>
              <w:t>制,</w:t>
            </w:r>
          </w:p>
          <w:p>
            <w:pPr>
              <w:pStyle w:val="30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(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)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对总包及分包人员素质、技术进行考核</w:t>
            </w: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  <w:t>,对不服从管理人员及时更换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2" w:hRule="atLeast"/>
        </w:trPr>
        <w:tc>
          <w:tcPr>
            <w:tcW w:w="1367" w:type="dxa"/>
            <w:noWrap w:val="0"/>
            <w:vAlign w:val="center"/>
          </w:tcPr>
          <w:p>
            <w:pPr>
              <w:pStyle w:val="29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  <w:lang w:eastAsia="zh-CN"/>
              </w:rPr>
              <w:t>九、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施工中存在</w:t>
            </w:r>
            <w:r>
              <w:rPr>
                <w:rFonts w:hint="eastAsia" w:ascii="仿宋_GB2312" w:hAnsi="仿宋_GB2312" w:eastAsia="仿宋_GB2312" w:cs="仿宋_GB2312"/>
                <w:sz w:val="20"/>
                <w:szCs w:val="21"/>
              </w:rPr>
              <w:t>的问题</w:t>
            </w:r>
          </w:p>
        </w:tc>
        <w:tc>
          <w:tcPr>
            <w:tcW w:w="7916" w:type="dxa"/>
            <w:gridSpan w:val="2"/>
            <w:noWrap w:val="0"/>
            <w:vAlign w:val="center"/>
          </w:tcPr>
          <w:p>
            <w:pPr>
              <w:pStyle w:val="6"/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仿宋_GB2312" w:hAnsi="仿宋_GB2312" w:eastAsia="仿宋_GB2312" w:cs="仿宋_GB2312"/>
                <w:bCs/>
                <w:sz w:val="21"/>
                <w:szCs w:val="22"/>
              </w:rPr>
            </w:pP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/>
              </w:rPr>
              <w:t>(1)</w:t>
            </w:r>
            <w:r>
              <w:rPr>
                <w:rFonts w:hint="eastAsia" w:ascii="仿宋_GB2312" w:hAnsi="仿宋_GB2312" w:eastAsia="仿宋_GB2312" w:cs="仿宋_GB2312"/>
                <w:bCs/>
                <w:sz w:val="21"/>
                <w:szCs w:val="22"/>
              </w:rPr>
              <w:t>升压站及线路施工进度计划上报不及时</w:t>
            </w: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/>
              </w:rPr>
              <w:t>整改要求:</w:t>
            </w:r>
            <w:r>
              <w:rPr>
                <w:rFonts w:hint="eastAsia" w:ascii="仿宋_GB2312" w:hAnsi="仿宋_GB2312" w:eastAsia="仿宋_GB2312" w:cs="仿宋_GB2312"/>
                <w:bCs/>
                <w:sz w:val="21"/>
                <w:szCs w:val="22"/>
              </w:rPr>
              <w:t>升压站及线路施工进度计划必须及时上报便于监理对进度控制</w:t>
            </w: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/>
              </w:rPr>
              <w:t>正在整改</w:t>
            </w:r>
            <w:r>
              <w:rPr>
                <w:rFonts w:hint="eastAsia" w:ascii="仿宋_GB2312" w:hAnsi="仿宋_GB2312" w:eastAsia="仿宋_GB2312" w:cs="仿宋_GB2312"/>
                <w:bCs/>
                <w:sz w:val="21"/>
                <w:szCs w:val="22"/>
              </w:rPr>
              <w:t>。</w:t>
            </w:r>
          </w:p>
          <w:p>
            <w:pPr>
              <w:pStyle w:val="6"/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仿宋_GB2312" w:hAnsi="仿宋_GB2312" w:eastAsia="仿宋_GB2312" w:cs="仿宋_GB2312"/>
                <w:bCs/>
                <w:sz w:val="22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Cs/>
                <w:sz w:val="22"/>
                <w:szCs w:val="24"/>
                <w:lang w:val="en-US" w:eastAsia="zh-CN"/>
              </w:rPr>
              <w:t>(2)送出线路塔基基础预埋螺栓未采取有效保护措施,</w:t>
            </w:r>
            <w:r>
              <w:rPr>
                <w:rFonts w:hint="default" w:ascii="仿宋_GB2312" w:hAnsi="仿宋_GB2312" w:eastAsia="仿宋_GB2312" w:cs="仿宋_GB2312"/>
                <w:bCs/>
                <w:sz w:val="22"/>
                <w:szCs w:val="24"/>
                <w:lang w:val="en-US"/>
              </w:rPr>
              <w:t>整改要求:</w:t>
            </w:r>
            <w:r>
              <w:rPr>
                <w:rFonts w:hint="default" w:ascii="仿宋_GB2312" w:hAnsi="仿宋_GB2312" w:eastAsia="仿宋_GB2312" w:cs="仿宋_GB2312"/>
                <w:bCs/>
                <w:sz w:val="22"/>
                <w:szCs w:val="24"/>
                <w:lang w:val="en-US" w:eastAsia="zh-CN"/>
              </w:rPr>
              <w:t>送出线路塔基基础预埋螺栓必须采取有效保护措施</w:t>
            </w:r>
            <w:r>
              <w:rPr>
                <w:rFonts w:hint="default" w:ascii="仿宋_GB2312" w:hAnsi="仿宋_GB2312" w:eastAsia="仿宋_GB2312" w:cs="仿宋_GB2312"/>
                <w:bCs/>
                <w:sz w:val="22"/>
                <w:szCs w:val="24"/>
                <w:lang w:val="en-US"/>
              </w:rPr>
              <w:t>正在整改</w:t>
            </w:r>
            <w:r>
              <w:rPr>
                <w:rFonts w:hint="eastAsia" w:ascii="仿宋_GB2312" w:hAnsi="仿宋_GB2312" w:eastAsia="仿宋_GB2312" w:cs="仿宋_GB2312"/>
                <w:bCs/>
                <w:sz w:val="22"/>
                <w:szCs w:val="24"/>
              </w:rPr>
              <w:t>。</w:t>
            </w:r>
          </w:p>
          <w:p>
            <w:pPr>
              <w:pStyle w:val="6"/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仿宋_GB2312" w:hAnsi="仿宋_GB2312" w:eastAsia="仿宋_GB2312" w:cs="仿宋_GB2312"/>
                <w:bCs/>
                <w:sz w:val="21"/>
                <w:szCs w:val="22"/>
              </w:rPr>
            </w:pPr>
            <w:r>
              <w:rPr>
                <w:rFonts w:hint="default" w:ascii="仿宋_GB2312" w:hAnsi="仿宋_GB2312" w:eastAsia="仿宋_GB2312" w:cs="仿宋_GB2312"/>
                <w:bCs/>
                <w:sz w:val="22"/>
                <w:szCs w:val="24"/>
                <w:lang w:val="en-US"/>
              </w:rPr>
              <w:t>(3</w:t>
            </w: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/>
              </w:rPr>
              <w:t>)</w:t>
            </w:r>
            <w:r>
              <w:rPr>
                <w:rFonts w:hint="eastAsia" w:ascii="仿宋_GB2312" w:hAnsi="仿宋_GB2312" w:eastAsia="仿宋_GB2312" w:cs="仿宋_GB2312"/>
                <w:bCs/>
                <w:sz w:val="21"/>
                <w:szCs w:val="22"/>
              </w:rPr>
              <w:t>升压站内业资料滞后</w:t>
            </w: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/>
              </w:rPr>
              <w:t>整改要求:内业资料必须及时便于后期竣工资料归档正在整改</w:t>
            </w:r>
            <w:r>
              <w:rPr>
                <w:rFonts w:hint="eastAsia" w:ascii="仿宋_GB2312" w:hAnsi="仿宋_GB2312" w:eastAsia="仿宋_GB2312" w:cs="仿宋_GB2312"/>
                <w:bCs/>
                <w:sz w:val="21"/>
                <w:szCs w:val="22"/>
              </w:rPr>
              <w:t>。</w:t>
            </w:r>
          </w:p>
          <w:p>
            <w:pPr>
              <w:pStyle w:val="30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 w:eastAsia="zh-CN"/>
              </w:rPr>
              <w:t>(4)进场材料有未检先用现象,</w:t>
            </w: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/>
              </w:rPr>
              <w:t>整改要求:</w:t>
            </w:r>
            <w:r>
              <w:rPr>
                <w:rFonts w:hint="default" w:ascii="仿宋_GB2312" w:hAnsi="仿宋_GB2312" w:eastAsia="仿宋_GB2312" w:cs="仿宋_GB2312"/>
                <w:bCs/>
                <w:sz w:val="21"/>
                <w:szCs w:val="22"/>
                <w:lang w:val="en-US" w:eastAsia="zh-CN"/>
              </w:rPr>
              <w:t>进场材料必须先检后用有利于工程质量安全.</w:t>
            </w:r>
          </w:p>
          <w:p>
            <w:pPr>
              <w:pStyle w:val="30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1367" w:type="dxa"/>
            <w:noWrap w:val="0"/>
            <w:vAlign w:val="center"/>
          </w:tcPr>
          <w:p>
            <w:pPr>
              <w:pStyle w:val="29"/>
              <w:spacing w:line="300" w:lineRule="exact"/>
              <w:ind w:firstLine="100" w:firstLineChars="50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eastAsia="zh-CN"/>
              </w:rPr>
              <w:t>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本月大事件</w:t>
            </w:r>
          </w:p>
        </w:tc>
        <w:tc>
          <w:tcPr>
            <w:tcW w:w="7916" w:type="dxa"/>
            <w:gridSpan w:val="2"/>
            <w:noWrap w:val="0"/>
            <w:vAlign w:val="center"/>
          </w:tcPr>
          <w:p>
            <w:pPr>
              <w:pStyle w:val="30"/>
              <w:widowControl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仿宋_GB2312" w:hAnsi="仿宋_GB2312" w:eastAsia="仿宋_GB2312" w:cs="仿宋_GB2312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2"/>
                <w:szCs w:val="16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、</w:t>
            </w:r>
            <w:r>
              <w:rPr>
                <w:rFonts w:hint="default" w:ascii="仿宋_GB2312" w:hAnsi="仿宋_GB2312" w:eastAsia="仿宋_GB2312" w:cs="仿宋_GB2312"/>
                <w:color w:val="0000FF"/>
                <w:sz w:val="21"/>
                <w:szCs w:val="21"/>
                <w:lang w:val="en-US"/>
              </w:rPr>
              <w:t>2024年</w:t>
            </w:r>
            <w:r>
              <w:rPr>
                <w:rFonts w:hint="eastAsia" w:ascii="仿宋_GB2312" w:hAnsi="仿宋_GB2312" w:eastAsia="仿宋_GB2312" w:cs="仿宋_GB2312"/>
                <w:color w:val="0000FF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仿宋_GB2312" w:hAnsi="仿宋_GB2312" w:eastAsia="仿宋_GB2312" w:cs="仿宋_GB2312"/>
                <w:color w:val="0000FF"/>
                <w:sz w:val="21"/>
                <w:szCs w:val="21"/>
                <w:lang w:val="en-US"/>
              </w:rPr>
              <w:t>月</w:t>
            </w:r>
            <w:r>
              <w:rPr>
                <w:rFonts w:hint="eastAsia" w:ascii="仿宋_GB2312" w:hAnsi="仿宋_GB2312" w:eastAsia="仿宋_GB2312" w:cs="仿宋_GB2312"/>
                <w:color w:val="0000FF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仿宋_GB2312" w:hAnsi="仿宋_GB2312" w:eastAsia="仿宋_GB2312" w:cs="仿宋_GB2312"/>
                <w:color w:val="0000FF"/>
                <w:sz w:val="21"/>
                <w:szCs w:val="21"/>
                <w:lang w:val="en-US"/>
              </w:rPr>
              <w:t>日</w:t>
            </w:r>
            <w:r>
              <w:rPr>
                <w:rFonts w:hint="eastAsia" w:ascii="仿宋_GB2312" w:hAnsi="仿宋_GB2312" w:eastAsia="仿宋_GB2312" w:cs="仿宋_GB2312"/>
                <w:color w:val="0000FF"/>
                <w:sz w:val="21"/>
                <w:szCs w:val="21"/>
                <w:lang w:val="en-US" w:eastAsia="zh-CN"/>
              </w:rPr>
              <w:t>安全生产月主题活动</w:t>
            </w:r>
          </w:p>
          <w:p>
            <w:pPr>
              <w:pStyle w:val="30"/>
              <w:widowControl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仿宋_GB2312" w:hAnsi="仿宋_GB2312" w:eastAsia="仿宋_GB2312" w:cs="仿宋_GB2312"/>
                <w:color w:val="0000FF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FF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0000FF"/>
                <w:sz w:val="21"/>
                <w:szCs w:val="21"/>
              </w:rPr>
              <w:t>、</w:t>
            </w:r>
            <w:r>
              <w:rPr>
                <w:rFonts w:hint="default" w:ascii="仿宋_GB2312" w:hAnsi="仿宋_GB2312" w:eastAsia="仿宋_GB2312" w:cs="仿宋_GB2312"/>
                <w:color w:val="0000FF"/>
                <w:sz w:val="21"/>
                <w:szCs w:val="21"/>
                <w:lang w:val="en-US"/>
              </w:rPr>
              <w:t>2024年</w:t>
            </w:r>
            <w:r>
              <w:rPr>
                <w:rFonts w:hint="eastAsia" w:ascii="仿宋_GB2312" w:hAnsi="仿宋_GB2312" w:eastAsia="仿宋_GB2312" w:cs="仿宋_GB2312"/>
                <w:color w:val="0000FF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仿宋_GB2312" w:hAnsi="仿宋_GB2312" w:eastAsia="仿宋_GB2312" w:cs="仿宋_GB2312"/>
                <w:color w:val="0000FF"/>
                <w:sz w:val="21"/>
                <w:szCs w:val="21"/>
                <w:lang w:val="en-US"/>
              </w:rPr>
              <w:t>月19日专家组对升压站事故油池基坑开挓专项方案论证</w:t>
            </w:r>
            <w:r>
              <w:rPr>
                <w:rFonts w:hint="eastAsia" w:ascii="仿宋_GB2312" w:hAnsi="仿宋_GB2312" w:eastAsia="仿宋_GB2312" w:cs="仿宋_GB2312"/>
                <w:color w:val="0000FF"/>
                <w:sz w:val="21"/>
                <w:szCs w:val="21"/>
              </w:rPr>
              <w:t>。</w:t>
            </w:r>
          </w:p>
          <w:p>
            <w:pPr>
              <w:pStyle w:val="30"/>
              <w:widowControl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</w:p>
        </w:tc>
      </w:tr>
    </w:tbl>
    <w:p>
      <w:pPr>
        <w:pStyle w:val="31"/>
        <w:numPr>
          <w:ilvl w:val="0"/>
          <w:numId w:val="0"/>
        </w:numPr>
        <w:spacing w:before="156" w:beforeLines="50" w:after="156" w:afterLines="50" w:line="360" w:lineRule="auto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1"/>
          <w:szCs w:val="21"/>
          <w:lang w:eastAsia="zh-CN"/>
        </w:rPr>
        <w:t>十一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、通知单及联系单下发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情况</w:t>
      </w:r>
    </w:p>
    <w:tbl>
      <w:tblPr>
        <w:tblStyle w:val="11"/>
        <w:tblW w:w="933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3"/>
        <w:gridCol w:w="1183"/>
        <w:gridCol w:w="1317"/>
        <w:gridCol w:w="1785"/>
        <w:gridCol w:w="3225"/>
        <w:gridCol w:w="1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  <w:t>序号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  <w:t>监理指令名称编号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  <w:t>指令时间</w:t>
            </w:r>
          </w:p>
        </w:tc>
        <w:tc>
          <w:tcPr>
            <w:tcW w:w="1785" w:type="dxa"/>
            <w:noWrap w:val="0"/>
            <w:vAlign w:val="center"/>
          </w:tcPr>
          <w:p>
            <w:pPr>
              <w:ind w:firstLine="315" w:firstLineChars="150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  <w:t>发往单位</w:t>
            </w:r>
          </w:p>
        </w:tc>
        <w:tc>
          <w:tcPr>
            <w:tcW w:w="3225" w:type="dxa"/>
            <w:noWrap w:val="0"/>
            <w:vAlign w:val="center"/>
          </w:tcPr>
          <w:p>
            <w:pPr>
              <w:ind w:firstLine="1050" w:firstLineChars="500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  <w:t>指令主要内容</w:t>
            </w:r>
          </w:p>
        </w:tc>
        <w:tc>
          <w:tcPr>
            <w:tcW w:w="1256" w:type="dxa"/>
            <w:noWrap w:val="0"/>
            <w:vAlign w:val="center"/>
          </w:tcPr>
          <w:p>
            <w:pPr>
              <w:ind w:firstLine="315" w:firstLineChars="150"/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en-US"/>
              </w:rPr>
              <w:t>1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 w:val="18"/>
                <w:szCs w:val="18"/>
                <w:lang w:val="en-US"/>
              </w:rPr>
              <w:t>YJYGX-ZHJL-JLDZ-006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  <w:t>2024.05.09</w:t>
            </w:r>
          </w:p>
        </w:tc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/>
              </w:rPr>
              <w:t>上海电力建设有限责任公司</w:t>
            </w:r>
          </w:p>
        </w:tc>
        <w:tc>
          <w:tcPr>
            <w:tcW w:w="322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/>
              </w:rPr>
              <w:t>关于光伏支架进场存在问题通知</w:t>
            </w:r>
          </w:p>
        </w:tc>
        <w:tc>
          <w:tcPr>
            <w:tcW w:w="125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en-US"/>
              </w:rPr>
              <w:t>2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 w:val="18"/>
                <w:szCs w:val="18"/>
                <w:lang w:val="en-US"/>
              </w:rPr>
              <w:t>YJYGX-ZHJL-JLDZ-007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  <w:t>2023.05.10</w:t>
            </w:r>
          </w:p>
        </w:tc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/>
              </w:rPr>
              <w:t>上海电力建设有限责任公司</w:t>
            </w:r>
          </w:p>
        </w:tc>
        <w:tc>
          <w:tcPr>
            <w:tcW w:w="3225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关于升压站主控楼基础钢筋</w:t>
            </w:r>
            <w:r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/>
              </w:rPr>
              <w:t>存在问题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的通知: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</w:p>
        </w:tc>
        <w:tc>
          <w:tcPr>
            <w:tcW w:w="125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  <w:t>3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 w:val="18"/>
                <w:szCs w:val="18"/>
                <w:lang w:val="en-US"/>
              </w:rPr>
              <w:t>YJYGX-ZHJL-JLDZ-008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  <w:t>2024.05.24</w:t>
            </w:r>
          </w:p>
        </w:tc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/>
              </w:rPr>
              <w:t>上海电力建设有限责任公司</w:t>
            </w:r>
          </w:p>
        </w:tc>
        <w:tc>
          <w:tcPr>
            <w:tcW w:w="3225" w:type="dxa"/>
            <w:noWrap w:val="0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关于升压站基坑开挖及脚手架及线路挖孔桩无方案巳施工</w:t>
            </w:r>
            <w:r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/>
              </w:rPr>
              <w:t>存在问题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的通知:</w:t>
            </w:r>
          </w:p>
        </w:tc>
        <w:tc>
          <w:tcPr>
            <w:tcW w:w="1256" w:type="dxa"/>
            <w:noWrap w:val="0"/>
            <w:vAlign w:val="center"/>
          </w:tcPr>
          <w:p>
            <w:pPr>
              <w:ind w:firstLine="105" w:firstLineChars="50"/>
              <w:jc w:val="both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  <w:t>4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  <w:t>SHB-C.0.3-ZH-006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  <w:t>2024.05.22</w:t>
            </w:r>
          </w:p>
        </w:tc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/>
              </w:rPr>
              <w:t>上海电力建设有限责任公司</w:t>
            </w:r>
          </w:p>
        </w:tc>
        <w:tc>
          <w:tcPr>
            <w:tcW w:w="322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  <w:t>关于尽快组织图纸会审设计交底以及升压站初设收囗问题</w:t>
            </w:r>
          </w:p>
        </w:tc>
        <w:tc>
          <w:tcPr>
            <w:tcW w:w="125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  <w:t>5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  <w:t>SHDZ-0.3-ZH-001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  <w:t>2024.05.11</w:t>
            </w:r>
          </w:p>
        </w:tc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/>
              </w:rPr>
              <w:t>上海电力建设有限责任公司</w:t>
            </w:r>
          </w:p>
        </w:tc>
        <w:tc>
          <w:tcPr>
            <w:tcW w:w="322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  <w:t>资料版本确认</w:t>
            </w:r>
          </w:p>
        </w:tc>
        <w:tc>
          <w:tcPr>
            <w:tcW w:w="125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  <w:t>6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  <w:t>SHDJ-C.0.3-SH-002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  <w:t>2024.05.10</w:t>
            </w:r>
          </w:p>
        </w:tc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0"/>
                <w:szCs w:val="20"/>
                <w:lang w:val="zh-CN"/>
              </w:rPr>
              <w:t>上海电力建设有限责任公司</w:t>
            </w:r>
          </w:p>
        </w:tc>
        <w:tc>
          <w:tcPr>
            <w:tcW w:w="3225" w:type="dxa"/>
            <w:noWrap w:val="0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  <w:t>线路工程道路大门方向及汇集站边坡存在问题</w:t>
            </w:r>
          </w:p>
        </w:tc>
        <w:tc>
          <w:tcPr>
            <w:tcW w:w="125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bCs/>
                <w:szCs w:val="21"/>
                <w:lang w:val="en-US"/>
              </w:rPr>
              <w:t>7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17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</w:p>
        </w:tc>
        <w:tc>
          <w:tcPr>
            <w:tcW w:w="322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Cs w:val="21"/>
                <w:lang w:val="zh-CN"/>
              </w:rPr>
            </w:pPr>
          </w:p>
        </w:tc>
        <w:tc>
          <w:tcPr>
            <w:tcW w:w="125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kern w:val="2"/>
                <w:sz w:val="21"/>
                <w:szCs w:val="21"/>
                <w:lang w:val="zh-CN" w:eastAsia="zh-CN" w:bidi="ar-SA"/>
              </w:rPr>
            </w:pPr>
          </w:p>
        </w:tc>
      </w:tr>
    </w:tbl>
    <w:tbl>
      <w:tblPr>
        <w:tblStyle w:val="12"/>
        <w:tblW w:w="9311" w:type="dxa"/>
        <w:tblInd w:w="-4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"/>
        <w:gridCol w:w="8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341" w:type="dxa"/>
            <w:noWrap w:val="0"/>
            <w:vAlign w:val="center"/>
          </w:tcPr>
          <w:p>
            <w:pPr>
              <w:pStyle w:val="29"/>
              <w:spacing w:line="36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  <w:lang w:val="en-US" w:eastAsia="zh-CN"/>
              </w:rPr>
              <w:t>十二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下月监理工作重点</w:t>
            </w:r>
          </w:p>
        </w:tc>
        <w:tc>
          <w:tcPr>
            <w:tcW w:w="8970" w:type="dxa"/>
            <w:noWrap w:val="0"/>
            <w:vAlign w:val="center"/>
          </w:tcPr>
          <w:tbl>
            <w:tblPr>
              <w:tblStyle w:val="11"/>
              <w:tblW w:w="9107" w:type="dxa"/>
              <w:tblInd w:w="-295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10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71" w:hRule="atLeast"/>
              </w:trPr>
              <w:tc>
                <w:tcPr>
                  <w:tcW w:w="9107" w:type="dxa"/>
                  <w:noWrap w:val="0"/>
                  <w:vAlign w:val="top"/>
                </w:tcPr>
                <w:p>
                  <w:pPr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_GB2312" w:hAnsi="仿宋_GB2312" w:eastAsia="仿宋_GB2312" w:cs="仿宋_GB2312"/>
                      <w:sz w:val="22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4"/>
                      <w:szCs w:val="28"/>
                      <w:lang w:val="en-US" w:eastAsia="zh-CN"/>
                    </w:rPr>
                    <w:t xml:space="preserve">1 </w:t>
                  </w:r>
                  <w:r>
                    <w:rPr>
                      <w:rFonts w:hint="default" w:ascii="仿宋_GB2312" w:hAnsi="仿宋_GB2312" w:eastAsia="仿宋_GB2312" w:cs="仿宋_GB2312"/>
                      <w:sz w:val="24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_GB2312" w:hAnsi="仿宋_GB2312" w:eastAsia="仿宋_GB2312" w:cs="仿宋_GB2312"/>
                      <w:sz w:val="22"/>
                      <w:szCs w:val="24"/>
                      <w:lang w:val="en-US" w:eastAsia="zh-CN"/>
                    </w:rPr>
                    <w:t>1、</w:t>
                  </w:r>
                  <w:r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  <w:lang w:val="en-US" w:eastAsia="zh-CN"/>
                    </w:rPr>
                    <w:t>安全文明施工常态化管理。</w:t>
                  </w:r>
                </w:p>
                <w:p>
                  <w:pPr>
                    <w:spacing w:line="360" w:lineRule="auto"/>
                    <w:jc w:val="left"/>
                    <w:rPr>
                      <w:rFonts w:hint="eastAsia" w:ascii="仿宋_GB2312" w:hAnsi="仿宋_GB2312" w:eastAsia="仿宋_GB2312" w:cs="仿宋_GB2312"/>
                      <w:sz w:val="22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2"/>
                      <w:szCs w:val="24"/>
                      <w:lang w:val="en-US" w:eastAsia="zh-CN"/>
                    </w:rPr>
                    <w:t xml:space="preserve">2 </w:t>
                  </w:r>
                  <w:r>
                    <w:rPr>
                      <w:rFonts w:hint="default" w:ascii="仿宋_GB2312" w:hAnsi="仿宋_GB2312" w:eastAsia="仿宋_GB2312" w:cs="仿宋_GB2312"/>
                      <w:sz w:val="22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_GB2312" w:hAnsi="仿宋_GB2312" w:eastAsia="仿宋_GB2312" w:cs="仿宋_GB2312"/>
                      <w:sz w:val="22"/>
                      <w:szCs w:val="24"/>
                      <w:lang w:val="en-US" w:eastAsia="zh-CN"/>
                    </w:rPr>
                    <w:t>2 、加强施工现场质量、安全巡视检查工作。</w:t>
                  </w:r>
                </w:p>
                <w:p>
                  <w:pPr>
                    <w:pStyle w:val="5"/>
                    <w:spacing w:line="360" w:lineRule="auto"/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4"/>
                      <w:szCs w:val="28"/>
                      <w:lang w:val="en-US" w:eastAsia="zh-CN"/>
                    </w:rPr>
                    <w:t xml:space="preserve">3 </w:t>
                  </w:r>
                  <w:r>
                    <w:rPr>
                      <w:rFonts w:hint="default" w:ascii="仿宋_GB2312" w:hAnsi="仿宋_GB2312" w:eastAsia="仿宋_GB2312" w:cs="仿宋_GB2312"/>
                      <w:sz w:val="22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_GB2312" w:hAnsi="仿宋_GB2312" w:eastAsia="仿宋_GB2312" w:cs="仿宋_GB2312"/>
                      <w:sz w:val="22"/>
                      <w:szCs w:val="24"/>
                      <w:lang w:val="en-US" w:eastAsia="zh-CN"/>
                    </w:rPr>
                    <w:t>3、对进场材料见证取样送检</w:t>
                  </w:r>
                  <w:r>
                    <w:rPr>
                      <w:rFonts w:hint="default" w:ascii="仿宋_GB2312" w:hAnsi="仿宋_GB2312" w:eastAsia="仿宋_GB2312" w:cs="仿宋_GB2312"/>
                      <w:sz w:val="22"/>
                      <w:szCs w:val="24"/>
                      <w:lang w:val="en-US" w:eastAsia="zh-CN"/>
                    </w:rPr>
                    <w:t>,对进场材料及设备开箱验收</w:t>
                  </w:r>
                  <w:r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  <w:lang w:val="en-US" w:eastAsia="zh-CN"/>
                    </w:rPr>
                    <w:t>。</w:t>
                  </w:r>
                </w:p>
                <w:p>
                  <w:pPr>
                    <w:spacing w:line="360" w:lineRule="auto"/>
                    <w:ind w:left="360" w:hanging="330" w:hangingChars="150"/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2"/>
                      <w:szCs w:val="24"/>
                      <w:lang w:val="en-US"/>
                    </w:rPr>
                    <w:t>4</w:t>
                  </w:r>
                  <w:r>
                    <w:rPr>
                      <w:rFonts w:hint="eastAsia" w:ascii="仿宋_GB2312" w:hAnsi="仿宋_GB2312" w:eastAsia="仿宋_GB2312" w:cs="仿宋_GB2312"/>
                      <w:sz w:val="24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hint="default" w:ascii="仿宋_GB2312" w:hAnsi="仿宋_GB2312" w:eastAsia="仿宋_GB2312" w:cs="仿宋_GB2312"/>
                      <w:sz w:val="24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hint="eastAsia" w:ascii="仿宋_GB2312" w:hAnsi="仿宋_GB2312" w:eastAsia="仿宋_GB2312" w:cs="仿宋_GB2312"/>
                      <w:sz w:val="22"/>
                      <w:szCs w:val="24"/>
                      <w:lang w:val="en-US"/>
                    </w:rPr>
                    <w:t>4</w:t>
                  </w:r>
                  <w:r>
                    <w:rPr>
                      <w:rFonts w:hint="eastAsia" w:ascii="仿宋_GB2312" w:hAnsi="仿宋_GB2312" w:eastAsia="仿宋_GB2312" w:cs="仿宋_GB2312"/>
                      <w:sz w:val="24"/>
                      <w:szCs w:val="28"/>
                      <w:lang w:val="en-US" w:eastAsia="zh-CN"/>
                    </w:rPr>
                    <w:t>、</w:t>
                  </w:r>
                  <w:r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</w:rPr>
                    <w:t>加强隐蔽工程检查验收,认真落实影像资料留存管理,确保质量合格,使工程质量过程具有可追溯性。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ind w:left="360" w:hanging="330" w:hangingChars="150"/>
                    <w:textAlignment w:val="auto"/>
                    <w:rPr>
                      <w:rFonts w:hint="eastAsia" w:ascii="仿宋_GB2312" w:hAnsi="仿宋_GB2312" w:eastAsia="仿宋_GB2312" w:cs="仿宋_GB2312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b w:val="0"/>
                      <w:bCs/>
                      <w:sz w:val="22"/>
                      <w:szCs w:val="22"/>
                      <w:lang w:val="en-US" w:eastAsia="zh-CN"/>
                    </w:rPr>
                    <w:t xml:space="preserve">5 </w:t>
                  </w:r>
                  <w:r>
                    <w:rPr>
                      <w:rFonts w:hint="default" w:ascii="仿宋_GB2312" w:hAnsi="仿宋_GB2312" w:eastAsia="仿宋_GB2312" w:cs="仿宋_GB2312"/>
                      <w:b w:val="0"/>
                      <w:bCs/>
                      <w:sz w:val="22"/>
                      <w:szCs w:val="22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_GB2312" w:hAnsi="仿宋_GB2312" w:eastAsia="仿宋_GB2312" w:cs="仿宋_GB2312"/>
                      <w:b w:val="0"/>
                      <w:bCs/>
                      <w:sz w:val="20"/>
                      <w:szCs w:val="20"/>
                      <w:lang w:val="en-US" w:eastAsia="zh-CN"/>
                    </w:rPr>
                    <w:t>5</w:t>
                  </w:r>
                  <w:r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  <w:lang w:val="en-US" w:eastAsia="zh-CN"/>
                    </w:rPr>
                    <w:t>、</w:t>
                  </w:r>
                  <w:r>
                    <w:rPr>
                      <w:rFonts w:hint="eastAsia" w:ascii="仿宋_GB2312" w:hAnsi="仿宋_GB2312" w:eastAsia="仿宋_GB2312" w:cs="仿宋_GB2312"/>
                      <w:b w:val="0"/>
                      <w:bCs/>
                      <w:sz w:val="21"/>
                      <w:szCs w:val="21"/>
                      <w:lang w:val="en-US" w:eastAsia="zh-CN"/>
                    </w:rPr>
                    <w:t>文明施工和扬尘整治：按绿色施工的标准、“四节一环保”的要求，美化、亮化</w:t>
                  </w:r>
                  <w:r>
                    <w:rPr>
                      <w:rFonts w:hint="default" w:ascii="仿宋_GB2312" w:hAnsi="仿宋_GB2312" w:eastAsia="仿宋_GB2312" w:cs="仿宋_GB2312"/>
                      <w:b w:val="0"/>
                      <w:bCs/>
                      <w:sz w:val="21"/>
                      <w:szCs w:val="21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_GB2312" w:hAnsi="仿宋_GB2312" w:eastAsia="仿宋_GB2312" w:cs="仿宋_GB2312"/>
                      <w:b w:val="0"/>
                      <w:bCs/>
                      <w:sz w:val="21"/>
                      <w:szCs w:val="21"/>
                      <w:lang w:val="en-US" w:eastAsia="zh-CN"/>
                    </w:rPr>
                    <w:t>、净化施工区域，保留过程记录，填写洒水、冲洗、观测、检查等相关记录表格，使扬尘治理工作落到实处。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ind w:left="210" w:leftChars="100" w:firstLine="200" w:firstLineChars="100"/>
                    <w:textAlignment w:val="auto"/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</w:rPr>
                  </w:pPr>
                  <w:r>
                    <w:rPr>
                      <w:rFonts w:hint="default" w:ascii="仿宋_GB2312" w:hAnsi="仿宋_GB2312" w:eastAsia="仿宋_GB2312" w:cs="仿宋_GB2312"/>
                      <w:sz w:val="20"/>
                      <w:szCs w:val="21"/>
                      <w:lang w:val="en-US"/>
                    </w:rPr>
                    <w:t>6</w:t>
                  </w:r>
                  <w:r>
                    <w:rPr>
                      <w:rFonts w:hint="eastAsia" w:ascii="仿宋_GB2312" w:hAnsi="仿宋_GB2312" w:eastAsia="仿宋_GB2312" w:cs="仿宋_GB2312"/>
                      <w:sz w:val="20"/>
                      <w:szCs w:val="21"/>
                    </w:rPr>
                    <w:t>、</w:t>
                  </w:r>
                  <w:r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</w:rPr>
                    <w:t>严格执行监理报验程序，对验收不合格或未经验收擅自进入下一道工序,立即下发通知单并报告建设单位。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ind w:firstLine="420" w:firstLineChars="200"/>
                    <w:textAlignment w:val="auto"/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</w:rPr>
                  </w:pPr>
                  <w:r>
                    <w:rPr>
                      <w:rFonts w:hint="default" w:ascii="仿宋_GB2312" w:hAnsi="仿宋_GB2312" w:eastAsia="仿宋_GB2312" w:cs="仿宋_GB2312"/>
                      <w:sz w:val="21"/>
                      <w:szCs w:val="22"/>
                      <w:lang w:val="en-US"/>
                    </w:rPr>
                    <w:t>7</w:t>
                  </w:r>
                  <w:r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  <w:lang w:val="en-US"/>
                    </w:rPr>
                    <w:t xml:space="preserve"> </w:t>
                  </w:r>
                  <w:r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</w:rPr>
                    <w:t>、完善内业资料及时收集、整理、归档,确保准时、及时、齐全。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ind w:left="218" w:leftChars="104" w:firstLine="210" w:firstLineChars="100"/>
                    <w:textAlignment w:val="auto"/>
                    <w:rPr>
                      <w:rFonts w:hint="eastAsia" w:ascii="仿宋_GB2312" w:hAnsi="仿宋_GB2312" w:eastAsia="仿宋_GB2312" w:cs="仿宋_GB2312"/>
                      <w:sz w:val="20"/>
                      <w:szCs w:val="21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  <w:lang w:val="en-US"/>
                    </w:rPr>
                    <w:t>8</w:t>
                  </w:r>
                  <w:r>
                    <w:rPr>
                      <w:rFonts w:hint="eastAsia" w:ascii="仿宋_GB2312" w:hAnsi="仿宋_GB2312" w:eastAsia="仿宋_GB2312" w:cs="仿宋_GB2312"/>
                      <w:sz w:val="21"/>
                      <w:szCs w:val="22"/>
                    </w:rPr>
                    <w:t>、强化过程控制，针对上级</w:t>
                  </w:r>
                  <w:r>
                    <w:rPr>
                      <w:rFonts w:hint="eastAsia" w:ascii="仿宋_GB2312" w:hAnsi="仿宋_GB2312" w:eastAsia="仿宋_GB2312" w:cs="仿宋_GB2312"/>
                      <w:sz w:val="22"/>
                      <w:szCs w:val="24"/>
                    </w:rPr>
                    <w:t>及监理站检查问题，认真分析，举一反三，全面整改，及时回</w:t>
                  </w:r>
                  <w:r>
                    <w:rPr>
                      <w:rFonts w:hint="eastAsia" w:ascii="仿宋_GB2312" w:hAnsi="仿宋_GB2312" w:eastAsia="仿宋_GB2312" w:cs="仿宋_GB2312"/>
                      <w:sz w:val="20"/>
                      <w:szCs w:val="21"/>
                    </w:rPr>
                    <w:t>复。</w:t>
                  </w:r>
                </w:p>
                <w:p>
                  <w:pPr>
                    <w:pStyle w:val="6"/>
                    <w:rPr>
                      <w:rFonts w:hint="eastAsia" w:ascii="仿宋_GB2312" w:hAnsi="仿宋_GB2312" w:eastAsia="仿宋_GB2312" w:cs="仿宋_GB2312"/>
                      <w:sz w:val="20"/>
                      <w:szCs w:val="18"/>
                      <w:lang w:val="en-US" w:eastAsia="zh-CN"/>
                    </w:rPr>
                  </w:pPr>
                </w:p>
              </w:tc>
            </w:tr>
          </w:tbl>
          <w:p>
            <w:pPr>
              <w:pStyle w:val="30"/>
              <w:widowControl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</w:p>
        </w:tc>
      </w:tr>
    </w:tbl>
    <w:p>
      <w:p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十三.工程照片</w:t>
      </w:r>
      <w:bookmarkEnd w:id="0"/>
      <w:bookmarkEnd w:id="1"/>
    </w:p>
    <w:tbl>
      <w:tblPr>
        <w:tblStyle w:val="12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3" w:hRule="atLeast"/>
        </w:trPr>
        <w:tc>
          <w:tcPr>
            <w:tcW w:w="5035" w:type="dxa"/>
          </w:tcPr>
          <w:p>
            <w:pPr>
              <w:pStyle w:val="26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3044825" cy="2283460"/>
                  <wp:effectExtent l="0" t="0" r="3175" b="2540"/>
                  <wp:docPr id="2" name="图片 2" descr="2979e8d3b9b2bc98e082272abf9b4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979e8d3b9b2bc98e082272abf9b41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228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26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3" name="图片 3" descr="8e4bd4363a911bb7a9792461fb1e4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e4bd4363a911bb7a9792461fb1e4b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jc w:val="both"/>
              <w:rPr>
                <w:rFonts w:hint="eastAsia" w:ascii="仿宋_GB2312" w:hAnsi="仿宋_GB2312" w:eastAsia="仿宋_GB2312" w:cs="仿宋_GB2312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  <w:vertAlign w:val="baseline"/>
                <w:lang w:val="en-US" w:eastAsia="zh-CN"/>
              </w:rPr>
              <w:t>安全教育</w:t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sz w:val="21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1"/>
                <w:szCs w:val="22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1"/>
                <w:szCs w:val="22"/>
                <w:vertAlign w:val="baseline"/>
                <w:lang w:val="en-US" w:eastAsia="zh-CN"/>
              </w:rPr>
              <w:t>质检</w:t>
            </w:r>
            <w:r>
              <w:rPr>
                <w:rFonts w:hint="default" w:ascii="仿宋_GB2312" w:hAnsi="仿宋_GB2312" w:eastAsia="仿宋_GB2312" w:cs="仿宋_GB2312"/>
                <w:sz w:val="21"/>
                <w:szCs w:val="22"/>
                <w:vertAlign w:val="baseline"/>
                <w:lang w:val="en-US" w:eastAsia="zh-CN"/>
              </w:rPr>
              <w:t xml:space="preserve">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8" w:hRule="atLeast"/>
        </w:trPr>
        <w:tc>
          <w:tcPr>
            <w:tcW w:w="5035" w:type="dxa"/>
          </w:tcPr>
          <w:p>
            <w:pPr>
              <w:pStyle w:val="26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781300"/>
                  <wp:effectExtent l="0" t="0" r="0" b="0"/>
                  <wp:docPr id="11" name="图片 11" descr="15ba9d5451485d63a3ad31318de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5ba9d5451485d63a3ad31318de53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26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12" name="图片 12" descr="7992a7551d1a28e5ad8f40ce3b10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992a7551d1a28e5ad8f40ce3b10aa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监理见证取样</w:t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735" w:firstLineChars="350"/>
              <w:jc w:val="both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见证取样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781300"/>
                  <wp:effectExtent l="0" t="0" r="0" b="0"/>
                  <wp:docPr id="14" name="图片 14" descr="e0a36a6f8e7f771f2ece225f3304a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0a36a6f8e7f771f2ece225f3304a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16" name="图片 16" descr="946580d8955f9bb501328f78746d9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46580d8955f9bb501328f78746d92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塔基试验</w:t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旁站</w:t>
            </w:r>
          </w:p>
        </w:tc>
      </w:tr>
    </w:tbl>
    <w:tbl>
      <w:tblPr>
        <w:tblStyle w:val="12"/>
        <w:tblpPr w:leftFromText="180" w:rightFromText="180" w:vertAnchor="text" w:horzAnchor="page" w:tblpX="1545" w:tblpY="1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781300"/>
                  <wp:effectExtent l="0" t="0" r="0" b="0"/>
                  <wp:docPr id="17" name="图片 17" descr="156d3fddf90d8e089f8d1d2757b5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56d3fddf90d8e089f8d1d2757b52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18" name="图片 18" descr="9873d0673be56b1d23c68716029d7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873d0673be56b1d23c68716029d7a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ind w:left="0" w:leftChars="0" w:firstLine="105" w:firstLineChars="50"/>
              <w:jc w:val="both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隐蔽验收</w:t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隐蔽验收</w:t>
            </w:r>
          </w:p>
        </w:tc>
      </w:tr>
    </w:tbl>
    <w:tbl>
      <w:tblPr>
        <w:tblStyle w:val="12"/>
        <w:tblpPr w:leftFromText="180" w:rightFromText="180" w:vertAnchor="text" w:horzAnchor="page" w:tblpX="1560" w:tblpY="544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781300"/>
                  <wp:effectExtent l="0" t="0" r="0" b="0"/>
                  <wp:docPr id="19" name="图片 19" descr="926b4570caaaebfb6783cf90e1112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26b4570caaaebfb6783cf90e1112a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20" name="图片 20" descr="6bb8464a52ffb8a2f18e6399964ca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bb8464a52ffb8a2f18e6399964ca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监理旁站线路塔基基础浇筑砼</w:t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监理例会现场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781300"/>
                  <wp:effectExtent l="0" t="0" r="0" b="0"/>
                  <wp:docPr id="21" name="图片 21" descr="dfef67e77c9b4de2793e357c0160c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fef67e77c9b4de2793e357c0160cd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5" name="图片 5" descr="3db5111a72ce7f044eca0a7e6acf7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db5111a72ce7f044eca0a7e6acf7f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监理检查验收</w:t>
            </w:r>
          </w:p>
        </w:tc>
        <w:tc>
          <w:tcPr>
            <w:tcW w:w="4617" w:type="dxa"/>
            <w:vAlign w:val="top"/>
          </w:tcPr>
          <w:p>
            <w:pPr>
              <w:pStyle w:val="26"/>
              <w:widowControl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监理检查构架基础标高测量</w:t>
            </w:r>
          </w:p>
        </w:tc>
      </w:tr>
    </w:tbl>
    <w:p>
      <w:pPr>
        <w:spacing w:line="360" w:lineRule="auto"/>
        <w:ind w:firstLine="4840" w:firstLineChars="2200"/>
        <w:rPr>
          <w:rFonts w:hint="eastAsia" w:ascii="仿宋_GB2312" w:hAnsi="仿宋_GB2312" w:eastAsia="仿宋_GB2312" w:cs="仿宋_GB2312"/>
          <w:sz w:val="22"/>
          <w:szCs w:val="24"/>
          <w:lang w:val="en-US" w:eastAsia="zh-CN"/>
        </w:rPr>
      </w:pPr>
      <w:bookmarkStart w:id="2" w:name="_GoBack"/>
      <w:bookmarkEnd w:id="2"/>
      <w:r>
        <w:rPr>
          <w:rFonts w:hint="eastAsia" w:ascii="仿宋_GB2312" w:hAnsi="仿宋_GB2312" w:eastAsia="仿宋_GB2312" w:cs="仿宋_GB2312"/>
          <w:sz w:val="22"/>
          <w:szCs w:val="24"/>
          <w:lang w:val="en-US" w:eastAsia="zh-CN"/>
        </w:rPr>
        <w:t xml:space="preserve"> 常州正衡电力工程监理有限公司</w:t>
      </w:r>
    </w:p>
    <w:p>
      <w:pPr>
        <w:spacing w:line="360" w:lineRule="auto"/>
        <w:ind w:firstLine="330" w:firstLineChars="150"/>
        <w:jc w:val="both"/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4"/>
          <w:lang w:val="en-US" w:eastAsia="zh-CN"/>
        </w:rPr>
        <w:t xml:space="preserve">                                 永靖县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十四五"盐锅峡光伏发电项目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val="en-US" w:eastAsia="zh-CN"/>
        </w:rPr>
        <w:t>监理部</w:t>
      </w:r>
    </w:p>
    <w:p>
      <w:pPr>
        <w:pStyle w:val="2"/>
        <w:spacing w:line="360" w:lineRule="auto"/>
        <w:rPr>
          <w:rFonts w:hint="eastAsia" w:ascii="仿宋_GB2312" w:hAnsi="仿宋_GB2312" w:eastAsia="仿宋_GB2312" w:cs="仿宋_GB2312"/>
          <w:sz w:val="22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4"/>
          <w:lang w:val="en-US" w:eastAsia="zh-CN"/>
        </w:rPr>
        <w:t xml:space="preserve">                                    </w:t>
      </w:r>
      <w:r>
        <w:rPr>
          <w:rFonts w:hint="default" w:ascii="仿宋_GB2312" w:hAnsi="仿宋_GB2312" w:eastAsia="仿宋_GB2312" w:cs="仿宋_GB2312"/>
          <w:sz w:val="22"/>
          <w:szCs w:val="24"/>
          <w:lang w:val="en-US" w:eastAsia="zh-CN"/>
        </w:rPr>
        <w:t>2024</w:t>
      </w:r>
      <w:r>
        <w:rPr>
          <w:rFonts w:hint="eastAsia" w:ascii="仿宋_GB2312" w:hAnsi="仿宋_GB2312" w:eastAsia="仿宋_GB2312" w:cs="仿宋_GB2312"/>
          <w:sz w:val="22"/>
          <w:szCs w:val="24"/>
          <w:lang w:val="en-US" w:eastAsia="zh-CN"/>
        </w:rPr>
        <w:t xml:space="preserve"> 年 6月 </w:t>
      </w:r>
      <w:r>
        <w:rPr>
          <w:rFonts w:hint="default" w:ascii="仿宋_GB2312" w:hAnsi="仿宋_GB2312" w:eastAsia="仿宋_GB2312" w:cs="仿宋_GB2312"/>
          <w:sz w:val="22"/>
          <w:szCs w:val="24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22"/>
          <w:szCs w:val="24"/>
          <w:lang w:val="en-US" w:eastAsia="zh-CN"/>
        </w:rPr>
        <w:t xml:space="preserve"> 日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  <w:r>
      <w:rPr>
        <w:rFonts w:ascii="宋体" w:hAnsi="宋体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-690245</wp:posOffset>
          </wp:positionH>
          <wp:positionV relativeFrom="paragraph">
            <wp:posOffset>-5715</wp:posOffset>
          </wp:positionV>
          <wp:extent cx="826135" cy="1057910"/>
          <wp:effectExtent l="0" t="0" r="12065" b="8890"/>
          <wp:wrapNone/>
          <wp:docPr id="1" name="图片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6135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D21C7B"/>
    <w:multiLevelType w:val="singleLevel"/>
    <w:tmpl w:val="E1D21C7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4810CE8"/>
    <w:multiLevelType w:val="singleLevel"/>
    <w:tmpl w:val="14810CE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19DEDB5"/>
    <w:multiLevelType w:val="multilevel"/>
    <w:tmpl w:val="619DEDB5"/>
    <w:lvl w:ilvl="0" w:tentative="0">
      <w:start w:val="1"/>
      <w:numFmt w:val="decimal"/>
      <w:pStyle w:val="7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JmMTIzODA2N2Y4ODI2OTBkZjk4MWVjMDVmMGJkZmEifQ=="/>
  </w:docVars>
  <w:rsids>
    <w:rsidRoot w:val="00992C3B"/>
    <w:rsid w:val="000737AE"/>
    <w:rsid w:val="001A436C"/>
    <w:rsid w:val="003A5DDD"/>
    <w:rsid w:val="0050693E"/>
    <w:rsid w:val="008A6BC8"/>
    <w:rsid w:val="00992C3B"/>
    <w:rsid w:val="00E00BAC"/>
    <w:rsid w:val="01CC1F6D"/>
    <w:rsid w:val="02062258"/>
    <w:rsid w:val="02767FBD"/>
    <w:rsid w:val="032B4C41"/>
    <w:rsid w:val="037F3E1C"/>
    <w:rsid w:val="03E96128"/>
    <w:rsid w:val="03F318B3"/>
    <w:rsid w:val="040A033F"/>
    <w:rsid w:val="04124375"/>
    <w:rsid w:val="043B7A3A"/>
    <w:rsid w:val="051A7A01"/>
    <w:rsid w:val="05551D4C"/>
    <w:rsid w:val="05A147CF"/>
    <w:rsid w:val="05D73229"/>
    <w:rsid w:val="06185902"/>
    <w:rsid w:val="06D82C35"/>
    <w:rsid w:val="078D65E8"/>
    <w:rsid w:val="085476F4"/>
    <w:rsid w:val="08944CAE"/>
    <w:rsid w:val="08A22F05"/>
    <w:rsid w:val="08B9477B"/>
    <w:rsid w:val="0935797F"/>
    <w:rsid w:val="093925A9"/>
    <w:rsid w:val="093F4728"/>
    <w:rsid w:val="09C67FDC"/>
    <w:rsid w:val="0A491D3D"/>
    <w:rsid w:val="0A4D7BEB"/>
    <w:rsid w:val="0A7524F4"/>
    <w:rsid w:val="0AAD65CB"/>
    <w:rsid w:val="0AC962FE"/>
    <w:rsid w:val="0B2070DB"/>
    <w:rsid w:val="0C3E55C0"/>
    <w:rsid w:val="0C4215A3"/>
    <w:rsid w:val="0C7011BB"/>
    <w:rsid w:val="0CEC54F2"/>
    <w:rsid w:val="0CEE6D01"/>
    <w:rsid w:val="0D2D77A1"/>
    <w:rsid w:val="0D7259E7"/>
    <w:rsid w:val="0D730904"/>
    <w:rsid w:val="0D7E5EF6"/>
    <w:rsid w:val="0DA4054A"/>
    <w:rsid w:val="0DE517DE"/>
    <w:rsid w:val="0E6C274F"/>
    <w:rsid w:val="0EAB7B47"/>
    <w:rsid w:val="0F1F4783"/>
    <w:rsid w:val="0F5F46FB"/>
    <w:rsid w:val="0F6C2B75"/>
    <w:rsid w:val="0FE0442B"/>
    <w:rsid w:val="10D5396B"/>
    <w:rsid w:val="11101485"/>
    <w:rsid w:val="11404615"/>
    <w:rsid w:val="11C1652D"/>
    <w:rsid w:val="121A273A"/>
    <w:rsid w:val="12C66F4B"/>
    <w:rsid w:val="132C08F3"/>
    <w:rsid w:val="1348711D"/>
    <w:rsid w:val="137A0C53"/>
    <w:rsid w:val="138916E3"/>
    <w:rsid w:val="15163978"/>
    <w:rsid w:val="159E67EC"/>
    <w:rsid w:val="15B6167C"/>
    <w:rsid w:val="15C727F2"/>
    <w:rsid w:val="16C9724D"/>
    <w:rsid w:val="16E120C0"/>
    <w:rsid w:val="16F90A93"/>
    <w:rsid w:val="17320C9F"/>
    <w:rsid w:val="1776517E"/>
    <w:rsid w:val="17C17442"/>
    <w:rsid w:val="17D07698"/>
    <w:rsid w:val="17D4037E"/>
    <w:rsid w:val="18735B17"/>
    <w:rsid w:val="188C1D48"/>
    <w:rsid w:val="18C96659"/>
    <w:rsid w:val="19AD3186"/>
    <w:rsid w:val="1A0A1D08"/>
    <w:rsid w:val="1AB15B61"/>
    <w:rsid w:val="1AD7546A"/>
    <w:rsid w:val="1B04750B"/>
    <w:rsid w:val="1B890953"/>
    <w:rsid w:val="1BAB2763"/>
    <w:rsid w:val="1BE159D1"/>
    <w:rsid w:val="1C574358"/>
    <w:rsid w:val="1CA05B4B"/>
    <w:rsid w:val="1CD001DE"/>
    <w:rsid w:val="1CD557F5"/>
    <w:rsid w:val="1CE90985"/>
    <w:rsid w:val="1D050603"/>
    <w:rsid w:val="1D104A7F"/>
    <w:rsid w:val="1D494F14"/>
    <w:rsid w:val="1D645618"/>
    <w:rsid w:val="1E0C3EA2"/>
    <w:rsid w:val="1E153ED5"/>
    <w:rsid w:val="1E581EED"/>
    <w:rsid w:val="1ECE362E"/>
    <w:rsid w:val="1F2C759A"/>
    <w:rsid w:val="1F7F74E9"/>
    <w:rsid w:val="1F835EE6"/>
    <w:rsid w:val="1FAA2F2E"/>
    <w:rsid w:val="20650850"/>
    <w:rsid w:val="20E0641D"/>
    <w:rsid w:val="21792303"/>
    <w:rsid w:val="21CC52FE"/>
    <w:rsid w:val="21FE5E18"/>
    <w:rsid w:val="223E1C1A"/>
    <w:rsid w:val="230316D2"/>
    <w:rsid w:val="234667E9"/>
    <w:rsid w:val="238F55C4"/>
    <w:rsid w:val="23E14255"/>
    <w:rsid w:val="24343FB6"/>
    <w:rsid w:val="256303DD"/>
    <w:rsid w:val="25E82E65"/>
    <w:rsid w:val="263B7063"/>
    <w:rsid w:val="268564DD"/>
    <w:rsid w:val="274A20A0"/>
    <w:rsid w:val="276D0F1D"/>
    <w:rsid w:val="28385963"/>
    <w:rsid w:val="28890250"/>
    <w:rsid w:val="28AD6DEF"/>
    <w:rsid w:val="28B46C06"/>
    <w:rsid w:val="28C0023F"/>
    <w:rsid w:val="28CE5829"/>
    <w:rsid w:val="29697BB3"/>
    <w:rsid w:val="29CF63A6"/>
    <w:rsid w:val="2A104310"/>
    <w:rsid w:val="2A73098E"/>
    <w:rsid w:val="2A843640"/>
    <w:rsid w:val="2AB22A9B"/>
    <w:rsid w:val="2AD7684A"/>
    <w:rsid w:val="2B257EB1"/>
    <w:rsid w:val="2BAD379F"/>
    <w:rsid w:val="2BE53B0B"/>
    <w:rsid w:val="2C707C96"/>
    <w:rsid w:val="2C994126"/>
    <w:rsid w:val="2CA66751"/>
    <w:rsid w:val="2CB537AC"/>
    <w:rsid w:val="2D173A10"/>
    <w:rsid w:val="2D332E53"/>
    <w:rsid w:val="2D5274E8"/>
    <w:rsid w:val="2D8224BA"/>
    <w:rsid w:val="2E521BE6"/>
    <w:rsid w:val="2E7A76AC"/>
    <w:rsid w:val="2EE415D2"/>
    <w:rsid w:val="2F0A2494"/>
    <w:rsid w:val="2F4C6804"/>
    <w:rsid w:val="2FCD000A"/>
    <w:rsid w:val="2FF92A53"/>
    <w:rsid w:val="30333C1B"/>
    <w:rsid w:val="3053014A"/>
    <w:rsid w:val="30893BDB"/>
    <w:rsid w:val="30A84A7B"/>
    <w:rsid w:val="31864EB8"/>
    <w:rsid w:val="344176B1"/>
    <w:rsid w:val="344F3E8C"/>
    <w:rsid w:val="34D57573"/>
    <w:rsid w:val="34F226A3"/>
    <w:rsid w:val="35762B06"/>
    <w:rsid w:val="36B54FAB"/>
    <w:rsid w:val="36FB4CA4"/>
    <w:rsid w:val="37096919"/>
    <w:rsid w:val="37B3452D"/>
    <w:rsid w:val="37C92E2B"/>
    <w:rsid w:val="37D9310B"/>
    <w:rsid w:val="38665363"/>
    <w:rsid w:val="388F4A80"/>
    <w:rsid w:val="3A637D33"/>
    <w:rsid w:val="3A93699B"/>
    <w:rsid w:val="3AD311D3"/>
    <w:rsid w:val="3B047E5E"/>
    <w:rsid w:val="3B5905DD"/>
    <w:rsid w:val="3BDC573F"/>
    <w:rsid w:val="3C1F6A0E"/>
    <w:rsid w:val="3C230D64"/>
    <w:rsid w:val="3CBF3E4D"/>
    <w:rsid w:val="3D156AA1"/>
    <w:rsid w:val="3D685BD2"/>
    <w:rsid w:val="3E7C6EC8"/>
    <w:rsid w:val="3ED2074B"/>
    <w:rsid w:val="3F043581"/>
    <w:rsid w:val="3F711D25"/>
    <w:rsid w:val="404B3707"/>
    <w:rsid w:val="405A62BF"/>
    <w:rsid w:val="406371E0"/>
    <w:rsid w:val="409A4DF9"/>
    <w:rsid w:val="40B97058"/>
    <w:rsid w:val="414B68D8"/>
    <w:rsid w:val="41751D71"/>
    <w:rsid w:val="419E6103"/>
    <w:rsid w:val="41D8754B"/>
    <w:rsid w:val="41F97AAB"/>
    <w:rsid w:val="422F3346"/>
    <w:rsid w:val="431E4DCB"/>
    <w:rsid w:val="43593FED"/>
    <w:rsid w:val="439C42A3"/>
    <w:rsid w:val="43C040D4"/>
    <w:rsid w:val="43CB531A"/>
    <w:rsid w:val="43FE27CC"/>
    <w:rsid w:val="44215996"/>
    <w:rsid w:val="443D47A4"/>
    <w:rsid w:val="44464FBC"/>
    <w:rsid w:val="449C4CC6"/>
    <w:rsid w:val="44F55931"/>
    <w:rsid w:val="45334117"/>
    <w:rsid w:val="45ED1B2D"/>
    <w:rsid w:val="47427C9D"/>
    <w:rsid w:val="47BE433B"/>
    <w:rsid w:val="47C92473"/>
    <w:rsid w:val="485F2D82"/>
    <w:rsid w:val="488461B1"/>
    <w:rsid w:val="48C46BDF"/>
    <w:rsid w:val="48C61571"/>
    <w:rsid w:val="48C90212"/>
    <w:rsid w:val="494517B3"/>
    <w:rsid w:val="49620B59"/>
    <w:rsid w:val="49F73BE3"/>
    <w:rsid w:val="4A0B13BC"/>
    <w:rsid w:val="4A227A1C"/>
    <w:rsid w:val="4A2414D9"/>
    <w:rsid w:val="4A573F16"/>
    <w:rsid w:val="4ABE23E7"/>
    <w:rsid w:val="4AFE71D7"/>
    <w:rsid w:val="4AFF44E3"/>
    <w:rsid w:val="4B29317B"/>
    <w:rsid w:val="4B6F2903"/>
    <w:rsid w:val="4B951C42"/>
    <w:rsid w:val="4C36616C"/>
    <w:rsid w:val="4D1A4795"/>
    <w:rsid w:val="4D7A2BC9"/>
    <w:rsid w:val="4DDB179E"/>
    <w:rsid w:val="4DFB2B38"/>
    <w:rsid w:val="4E1C0C26"/>
    <w:rsid w:val="4E5A1C6A"/>
    <w:rsid w:val="4E7E1755"/>
    <w:rsid w:val="4EA66BA5"/>
    <w:rsid w:val="4F2C5BB0"/>
    <w:rsid w:val="4F665B59"/>
    <w:rsid w:val="4FB71E0A"/>
    <w:rsid w:val="50CB78AD"/>
    <w:rsid w:val="50E140BC"/>
    <w:rsid w:val="513B13C3"/>
    <w:rsid w:val="51945559"/>
    <w:rsid w:val="51C90220"/>
    <w:rsid w:val="52A631B4"/>
    <w:rsid w:val="52EE292E"/>
    <w:rsid w:val="53007D0E"/>
    <w:rsid w:val="53A93CBC"/>
    <w:rsid w:val="53B80593"/>
    <w:rsid w:val="53FF3DE9"/>
    <w:rsid w:val="5434042D"/>
    <w:rsid w:val="54D97D12"/>
    <w:rsid w:val="55F85EFE"/>
    <w:rsid w:val="55FB197A"/>
    <w:rsid w:val="56507B03"/>
    <w:rsid w:val="567F053C"/>
    <w:rsid w:val="5737087F"/>
    <w:rsid w:val="57A91DDB"/>
    <w:rsid w:val="57FE16AB"/>
    <w:rsid w:val="58BA66C1"/>
    <w:rsid w:val="58D46064"/>
    <w:rsid w:val="58D8297F"/>
    <w:rsid w:val="59002BEB"/>
    <w:rsid w:val="59492393"/>
    <w:rsid w:val="59CA32FE"/>
    <w:rsid w:val="5A025787"/>
    <w:rsid w:val="5A1E5657"/>
    <w:rsid w:val="5AB669F5"/>
    <w:rsid w:val="5B506C1E"/>
    <w:rsid w:val="5B79236C"/>
    <w:rsid w:val="5BD405D3"/>
    <w:rsid w:val="5C0313DE"/>
    <w:rsid w:val="5C3F15AA"/>
    <w:rsid w:val="5D1D0534"/>
    <w:rsid w:val="5D842966"/>
    <w:rsid w:val="5D857576"/>
    <w:rsid w:val="5D975E78"/>
    <w:rsid w:val="5DC03EA4"/>
    <w:rsid w:val="5E7A3FD6"/>
    <w:rsid w:val="5F161C33"/>
    <w:rsid w:val="5F1F7591"/>
    <w:rsid w:val="5F344D74"/>
    <w:rsid w:val="5F6720AA"/>
    <w:rsid w:val="5FA10772"/>
    <w:rsid w:val="60511B77"/>
    <w:rsid w:val="60C41A4D"/>
    <w:rsid w:val="61AC4F41"/>
    <w:rsid w:val="61BC746E"/>
    <w:rsid w:val="625701B5"/>
    <w:rsid w:val="62832BCA"/>
    <w:rsid w:val="62F319B6"/>
    <w:rsid w:val="62F97578"/>
    <w:rsid w:val="630A58E2"/>
    <w:rsid w:val="63A67C14"/>
    <w:rsid w:val="63AD3F6B"/>
    <w:rsid w:val="63B0396B"/>
    <w:rsid w:val="642A49A4"/>
    <w:rsid w:val="644E126F"/>
    <w:rsid w:val="646E3828"/>
    <w:rsid w:val="647B624F"/>
    <w:rsid w:val="647C73A2"/>
    <w:rsid w:val="64CD6CD3"/>
    <w:rsid w:val="651D22F2"/>
    <w:rsid w:val="659D0312"/>
    <w:rsid w:val="65D274DB"/>
    <w:rsid w:val="65FE01E6"/>
    <w:rsid w:val="665B55E5"/>
    <w:rsid w:val="668A5172"/>
    <w:rsid w:val="66A72B67"/>
    <w:rsid w:val="66D0508A"/>
    <w:rsid w:val="673E5E00"/>
    <w:rsid w:val="67A21D13"/>
    <w:rsid w:val="67F97D9C"/>
    <w:rsid w:val="68297376"/>
    <w:rsid w:val="685B2C04"/>
    <w:rsid w:val="6868558B"/>
    <w:rsid w:val="6871463E"/>
    <w:rsid w:val="689B2839"/>
    <w:rsid w:val="692F2582"/>
    <w:rsid w:val="69971F2B"/>
    <w:rsid w:val="6A097C3D"/>
    <w:rsid w:val="6AB5345F"/>
    <w:rsid w:val="6B032AFA"/>
    <w:rsid w:val="6B271EF6"/>
    <w:rsid w:val="6CE871E7"/>
    <w:rsid w:val="6CFA370B"/>
    <w:rsid w:val="6D0A5DFF"/>
    <w:rsid w:val="6DA14BCE"/>
    <w:rsid w:val="6DAC43CA"/>
    <w:rsid w:val="6E353043"/>
    <w:rsid w:val="6EED46B9"/>
    <w:rsid w:val="6F4953C8"/>
    <w:rsid w:val="6F9600FD"/>
    <w:rsid w:val="6F9D506E"/>
    <w:rsid w:val="6FDA1BB9"/>
    <w:rsid w:val="709D3B68"/>
    <w:rsid w:val="71B51011"/>
    <w:rsid w:val="7204025E"/>
    <w:rsid w:val="72121874"/>
    <w:rsid w:val="727919F7"/>
    <w:rsid w:val="72A07893"/>
    <w:rsid w:val="72C11A55"/>
    <w:rsid w:val="72EB091E"/>
    <w:rsid w:val="735D4855"/>
    <w:rsid w:val="736F00C5"/>
    <w:rsid w:val="736F62C7"/>
    <w:rsid w:val="737B2CD5"/>
    <w:rsid w:val="73D70C4F"/>
    <w:rsid w:val="73DA7D66"/>
    <w:rsid w:val="73DB25AE"/>
    <w:rsid w:val="74350C83"/>
    <w:rsid w:val="74672D91"/>
    <w:rsid w:val="74980210"/>
    <w:rsid w:val="74ED1328"/>
    <w:rsid w:val="74F44970"/>
    <w:rsid w:val="75347CF7"/>
    <w:rsid w:val="754F40C2"/>
    <w:rsid w:val="75665E41"/>
    <w:rsid w:val="75667EE9"/>
    <w:rsid w:val="757513C6"/>
    <w:rsid w:val="75C53670"/>
    <w:rsid w:val="76BD6B6B"/>
    <w:rsid w:val="77460D6D"/>
    <w:rsid w:val="77784C59"/>
    <w:rsid w:val="77EF4F58"/>
    <w:rsid w:val="77F66EE7"/>
    <w:rsid w:val="77FC33AF"/>
    <w:rsid w:val="782D4305"/>
    <w:rsid w:val="7886307C"/>
    <w:rsid w:val="78DB6B2B"/>
    <w:rsid w:val="792F4CD9"/>
    <w:rsid w:val="7939449D"/>
    <w:rsid w:val="79BD2A0E"/>
    <w:rsid w:val="79E07807"/>
    <w:rsid w:val="7A0D07D1"/>
    <w:rsid w:val="7A0D129F"/>
    <w:rsid w:val="7A4B5952"/>
    <w:rsid w:val="7A712096"/>
    <w:rsid w:val="7AF12F0E"/>
    <w:rsid w:val="7B38570E"/>
    <w:rsid w:val="7B394FF2"/>
    <w:rsid w:val="7BAB2AF1"/>
    <w:rsid w:val="7BFD6F35"/>
    <w:rsid w:val="7C1B2254"/>
    <w:rsid w:val="7C887303"/>
    <w:rsid w:val="7C893253"/>
    <w:rsid w:val="7CB805A6"/>
    <w:rsid w:val="7D1C75FC"/>
    <w:rsid w:val="7D456FA2"/>
    <w:rsid w:val="7D470F6C"/>
    <w:rsid w:val="7DA33AB0"/>
    <w:rsid w:val="7DED4BF7"/>
    <w:rsid w:val="7E051515"/>
    <w:rsid w:val="7E3B04F3"/>
    <w:rsid w:val="7F163AD7"/>
    <w:rsid w:val="7F467B3C"/>
    <w:rsid w:val="7F5E415D"/>
    <w:rsid w:val="7F99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7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60" w:after="160"/>
      <w:outlineLvl w:val="0"/>
    </w:pPr>
    <w:rPr>
      <w:b/>
      <w:bCs/>
      <w:kern w:val="44"/>
      <w:sz w:val="28"/>
      <w:szCs w:val="4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1"/>
    <w:unhideWhenUsed/>
    <w:qFormat/>
    <w:uiPriority w:val="99"/>
    <w:pPr>
      <w:spacing w:after="120"/>
      <w:ind w:left="420" w:leftChars="200"/>
    </w:pPr>
  </w:style>
  <w:style w:type="paragraph" w:styleId="4">
    <w:name w:val="Body Text First Indent"/>
    <w:basedOn w:val="5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5">
    <w:name w:val="Body Text"/>
    <w:basedOn w:val="1"/>
    <w:next w:val="6"/>
    <w:qFormat/>
    <w:uiPriority w:val="0"/>
    <w:rPr>
      <w:rFonts w:ascii="宋体" w:hAnsi="宋体"/>
      <w:sz w:val="30"/>
    </w:rPr>
  </w:style>
  <w:style w:type="paragraph" w:styleId="6">
    <w:name w:val="List"/>
    <w:basedOn w:val="1"/>
    <w:qFormat/>
    <w:uiPriority w:val="0"/>
    <w:pPr>
      <w:ind w:left="420" w:hanging="420"/>
    </w:pPr>
    <w:rPr>
      <w:szCs w:val="20"/>
    </w:rPr>
  </w:style>
  <w:style w:type="paragraph" w:styleId="8">
    <w:name w:val="Normal Indent"/>
    <w:basedOn w:val="1"/>
    <w:qFormat/>
    <w:uiPriority w:val="99"/>
    <w:pPr>
      <w:ind w:firstLine="200" w:firstLineChars="200"/>
    </w:pPr>
    <w:rPr>
      <w:rFonts w:ascii="Times New Roman" w:hAnsi="Times New Roman"/>
      <w:szCs w:val="24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首行缩进正文"/>
    <w:basedOn w:val="1"/>
    <w:qFormat/>
    <w:uiPriority w:val="0"/>
    <w:pPr>
      <w:snapToGrid w:val="0"/>
      <w:spacing w:line="360" w:lineRule="auto"/>
    </w:pPr>
    <w:rPr>
      <w:lang w:bidi="he-IL"/>
    </w:rPr>
  </w:style>
  <w:style w:type="paragraph" w:customStyle="1" w:styleId="15">
    <w:name w:val="BodyText1I"/>
    <w:basedOn w:val="16"/>
    <w:next w:val="17"/>
    <w:qFormat/>
    <w:uiPriority w:val="0"/>
    <w:pPr>
      <w:ind w:firstLine="420" w:firstLineChars="100"/>
    </w:pPr>
    <w:rPr>
      <w:rFonts w:ascii="Calibri" w:hAnsi="Calibri"/>
    </w:rPr>
  </w:style>
  <w:style w:type="paragraph" w:customStyle="1" w:styleId="16">
    <w:name w:val="BodyText"/>
    <w:basedOn w:val="1"/>
    <w:qFormat/>
    <w:uiPriority w:val="0"/>
    <w:pPr>
      <w:jc w:val="both"/>
      <w:textAlignment w:val="baseline"/>
    </w:pPr>
    <w:rPr>
      <w:rFonts w:ascii="仿宋" w:hAnsi="仿宋" w:eastAsia="宋体" w:cs="Times New Roman"/>
      <w:kern w:val="2"/>
      <w:sz w:val="32"/>
    </w:rPr>
  </w:style>
  <w:style w:type="paragraph" w:customStyle="1" w:styleId="17">
    <w:name w:val="BodyText1I2"/>
    <w:basedOn w:val="18"/>
    <w:qFormat/>
    <w:uiPriority w:val="0"/>
    <w:pPr>
      <w:ind w:firstLine="420" w:firstLineChars="200"/>
    </w:pPr>
  </w:style>
  <w:style w:type="paragraph" w:customStyle="1" w:styleId="18">
    <w:name w:val="BodyTextIndent"/>
    <w:basedOn w:val="1"/>
    <w:qFormat/>
    <w:uiPriority w:val="0"/>
    <w:pPr>
      <w:spacing w:after="120"/>
      <w:ind w:left="420" w:leftChars="200"/>
      <w:jc w:val="both"/>
      <w:textAlignment w:val="baseline"/>
    </w:pPr>
    <w:rPr>
      <w:rFonts w:ascii="Calibri" w:hAnsi="Calibri" w:eastAsia="宋体" w:cs="Times New Roman"/>
    </w:rPr>
  </w:style>
  <w:style w:type="paragraph" w:customStyle="1" w:styleId="19">
    <w:name w:val="引言二级条标题"/>
    <w:basedOn w:val="20"/>
    <w:next w:val="21"/>
    <w:qFormat/>
    <w:uiPriority w:val="0"/>
    <w:pPr>
      <w:tabs>
        <w:tab w:val="left" w:pos="360"/>
        <w:tab w:val="left" w:pos="1200"/>
      </w:tabs>
      <w:ind w:left="1554" w:hanging="420"/>
    </w:pPr>
    <w:rPr>
      <w:b w:val="0"/>
    </w:rPr>
  </w:style>
  <w:style w:type="paragraph" w:customStyle="1" w:styleId="20">
    <w:name w:val="引言一级条标题"/>
    <w:basedOn w:val="1"/>
    <w:next w:val="21"/>
    <w:qFormat/>
    <w:uiPriority w:val="0"/>
    <w:pPr>
      <w:widowControl/>
      <w:tabs>
        <w:tab w:val="left" w:pos="1200"/>
      </w:tabs>
      <w:ind w:left="1200" w:hanging="720"/>
    </w:pPr>
    <w:rPr>
      <w:rFonts w:eastAsia="黑体"/>
      <w:b/>
    </w:rPr>
  </w:style>
  <w:style w:type="paragraph" w:customStyle="1" w:styleId="21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22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3"/>
    <w:link w:val="9"/>
    <w:qFormat/>
    <w:uiPriority w:val="99"/>
    <w:rPr>
      <w:sz w:val="18"/>
      <w:szCs w:val="18"/>
    </w:rPr>
  </w:style>
  <w:style w:type="paragraph" w:customStyle="1" w:styleId="24">
    <w:name w:val="列出段落1"/>
    <w:basedOn w:val="1"/>
    <w:qFormat/>
    <w:uiPriority w:val="0"/>
    <w:pPr>
      <w:ind w:firstLine="420" w:firstLineChars="200"/>
    </w:pPr>
    <w:rPr>
      <w:rFonts w:cs="黑体"/>
    </w:rPr>
  </w:style>
  <w:style w:type="paragraph" w:customStyle="1" w:styleId="25">
    <w:name w:val="列出段落11"/>
    <w:basedOn w:val="1"/>
    <w:qFormat/>
    <w:uiPriority w:val="0"/>
    <w:pPr>
      <w:ind w:firstLine="420" w:firstLineChars="200"/>
    </w:pPr>
    <w:rPr>
      <w:rFonts w:ascii="Times New Roman" w:hAnsi="Times New Roman"/>
      <w:szCs w:val="20"/>
    </w:rPr>
  </w:style>
  <w:style w:type="paragraph" w:customStyle="1" w:styleId="26">
    <w:name w:val="列表段落7"/>
    <w:basedOn w:val="1"/>
    <w:qFormat/>
    <w:uiPriority w:val="34"/>
    <w:pPr>
      <w:ind w:firstLine="420" w:firstLineChars="200"/>
    </w:pPr>
  </w:style>
  <w:style w:type="character" w:customStyle="1" w:styleId="27">
    <w:name w:val="font0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11"/>
    <w:basedOn w:val="13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paragraph" w:styleId="29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0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customStyle="1" w:styleId="3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4510</Words>
  <Characters>5139</Characters>
  <Lines>9</Lines>
  <Paragraphs>2</Paragraphs>
  <TotalTime>1102</TotalTime>
  <ScaleCrop>false</ScaleCrop>
  <LinksUpToDate>false</LinksUpToDate>
  <CharactersWithSpaces>5531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2022-12-03T10:06:00Z</dcterms:created>
  <dc:creator>xny</dc:creator>
  <cp:lastModifiedBy>愿为你停留的心</cp:lastModifiedBy>
  <cp:lastPrinted>2024-05-30T07:18:00Z</cp:lastPrinted>
  <dcterms:modified xsi:type="dcterms:W3CDTF">2024-07-18T06:48:15Z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E6B67453F9A140C6B694C27D7B1AED8C_13</vt:lpwstr>
  </property>
</Properties>
</file>