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编号:YJYGF-ZHJL-JLYB-00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</w:t>
      </w:r>
    </w:p>
    <w:p>
      <w:pPr>
        <w:ind w:firstLine="1800" w:firstLineChars="500"/>
        <w:jc w:val="both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永靖县“十四五"盐锅峡光伏发电项目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202</w:t>
      </w:r>
      <w:r>
        <w:rPr>
          <w:rFonts w:hint="default" w:ascii="仿宋_GB2312" w:hAnsi="仿宋_GB2312" w:eastAsia="仿宋_GB2312" w:cs="仿宋_GB2312"/>
          <w:sz w:val="28"/>
          <w:szCs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</w:rPr>
        <w:t>第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期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(总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期)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</w:t>
      </w:r>
    </w:p>
    <w:p>
      <w:pPr>
        <w:ind w:firstLine="2160" w:firstLineChars="900"/>
        <w:jc w:val="left"/>
        <w:rPr>
          <w:rFonts w:hint="eastAsia" w:ascii="仿宋_GB2312" w:hAnsi="仿宋_GB2312" w:eastAsia="仿宋_GB2312" w:cs="仿宋_GB2312"/>
          <w:sz w:val="44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日期:(202</w:t>
      </w:r>
      <w:r>
        <w:rPr>
          <w:rFonts w:hint="default" w:ascii="仿宋_GB2312" w:hAnsi="仿宋_GB2312" w:eastAsia="仿宋_GB2312" w:cs="仿宋_GB2312"/>
          <w:sz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4"/>
          <w:lang w:val="en-US"/>
        </w:rPr>
        <w:t>年</w:t>
      </w:r>
      <w:r>
        <w:rPr>
          <w:rFonts w:hint="default" w:ascii="仿宋_GB2312" w:hAnsi="仿宋_GB2312" w:eastAsia="仿宋_GB2312" w:cs="仿宋_GB2312"/>
          <w:sz w:val="24"/>
          <w:lang w:val="en-US"/>
        </w:rPr>
        <w:t>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lang w:val="en-US"/>
        </w:rPr>
        <w:t>月</w:t>
      </w:r>
      <w:r>
        <w:rPr>
          <w:rFonts w:hint="default" w:ascii="仿宋_GB2312" w:hAnsi="仿宋_GB2312" w:eastAsia="仿宋_GB2312" w:cs="仿宋_GB2312"/>
          <w:sz w:val="24"/>
          <w:lang w:val="en-US"/>
        </w:rPr>
        <w:t>26</w:t>
      </w:r>
      <w:r>
        <w:rPr>
          <w:rFonts w:hint="eastAsia" w:ascii="仿宋_GB2312" w:hAnsi="仿宋_GB2312" w:eastAsia="仿宋_GB2312" w:cs="仿宋_GB2312"/>
          <w:sz w:val="24"/>
          <w:lang w:val="en-US"/>
        </w:rPr>
        <w:t>日202</w:t>
      </w:r>
      <w:r>
        <w:rPr>
          <w:rFonts w:hint="default" w:ascii="仿宋_GB2312" w:hAnsi="仿宋_GB2312" w:eastAsia="仿宋_GB2312" w:cs="仿宋_GB2312"/>
          <w:sz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4"/>
          <w:lang w:val="en-US"/>
        </w:rPr>
        <w:t>年</w:t>
      </w:r>
      <w:r>
        <w:rPr>
          <w:rFonts w:hint="default" w:ascii="仿宋_GB2312" w:hAnsi="仿宋_GB2312" w:eastAsia="仿宋_GB2312" w:cs="仿宋_GB2312"/>
          <w:sz w:val="24"/>
          <w:lang w:val="en-US"/>
        </w:rPr>
        <w:t>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lang w:val="en-US"/>
        </w:rPr>
        <w:t>月</w:t>
      </w:r>
      <w:r>
        <w:rPr>
          <w:rFonts w:hint="default" w:ascii="仿宋_GB2312" w:hAnsi="仿宋_GB2312" w:eastAsia="仿宋_GB2312" w:cs="仿宋_GB2312"/>
          <w:sz w:val="24"/>
          <w:lang w:val="en-US"/>
        </w:rPr>
        <w:t>25</w:t>
      </w:r>
      <w:r>
        <w:rPr>
          <w:rFonts w:hint="eastAsia" w:ascii="仿宋_GB2312" w:hAnsi="仿宋_GB2312" w:eastAsia="仿宋_GB2312" w:cs="仿宋_GB2312"/>
          <w:sz w:val="24"/>
          <w:lang w:val="en-US"/>
        </w:rPr>
        <w:t>日)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</w:p>
    <w:p>
      <w:pPr>
        <w:spacing w:line="360" w:lineRule="auto"/>
        <w:ind w:firstLine="3720" w:firstLineChars="1550"/>
        <w:jc w:val="both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监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理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月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报</w:t>
      </w:r>
    </w:p>
    <w:p>
      <w:pPr>
        <w:tabs>
          <w:tab w:val="left" w:pos="5821"/>
        </w:tabs>
        <w:spacing w:line="360" w:lineRule="auto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 xml:space="preserve">             </w:t>
      </w:r>
    </w:p>
    <w:p>
      <w:pPr>
        <w:tabs>
          <w:tab w:val="left" w:pos="5821"/>
        </w:tabs>
        <w:spacing w:line="360" w:lineRule="auto"/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  <w:t xml:space="preserve"> 总监理工程师: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21"/>
        <w:ind w:left="0" w:leftChars="0" w:firstLine="2240" w:firstLineChars="8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常州正衡电力工程监理有限公司</w:t>
      </w:r>
    </w:p>
    <w:p>
      <w:pPr>
        <w:ind w:firstLine="2100" w:firstLineChars="750"/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永靖县“十四五"盐锅峡光伏发电项目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:202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月25日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</w:t>
      </w:r>
    </w:p>
    <w:p>
      <w:pPr>
        <w:widowControl/>
        <w:ind w:firstLine="2891" w:firstLineChars="800"/>
        <w:jc w:val="left"/>
        <w:rPr>
          <w:rFonts w:hint="eastAsia" w:ascii="仿宋_GB2312" w:hAnsi="仿宋_GB2312" w:eastAsia="仿宋_GB2312" w:cs="仿宋_GB2312"/>
          <w:b/>
          <w:sz w:val="36"/>
          <w:szCs w:val="15"/>
        </w:rPr>
      </w:pPr>
      <w:r>
        <w:rPr>
          <w:rFonts w:hint="eastAsia" w:ascii="仿宋_GB2312" w:hAnsi="仿宋_GB2312" w:eastAsia="仿宋_GB2312" w:cs="仿宋_GB2312"/>
          <w:b/>
          <w:sz w:val="36"/>
          <w:szCs w:val="15"/>
        </w:rPr>
        <w:t>监  理  月  报</w:t>
      </w:r>
    </w:p>
    <w:tbl>
      <w:tblPr>
        <w:tblStyle w:val="12"/>
        <w:tblW w:w="9300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33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一丶项目概况</w:t>
            </w:r>
          </w:p>
        </w:tc>
        <w:tc>
          <w:tcPr>
            <w:tcW w:w="8467" w:type="dxa"/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本项目位于甘肃省临夏回族自治州永靖县境内。属温带半干旱气候，冬无严寒，夏无酷暑，四季分明。年平均水平面太阳辐射总量 1591.7kWh/m2 ,年均气温 9.8℃。拟建项目地貌类型主要为高山地。本项目场址太阳能资源丰富，场地地形地貌条件属于复杂山地类型。项目地理位置经纬度坐标北纬 36.1°，东经 103.3°。新建一座 330kV 汇集站；本期以一回 330kV 线路送出接至 330kV 新庄变，线路长度约20 公里。</w:t>
            </w:r>
          </w:p>
          <w:p>
            <w:pPr>
              <w:spacing w:line="360" w:lineRule="auto"/>
              <w:ind w:firstLine="384" w:firstLineChars="18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工程一期260MW光伏项目，交流侧容量260MW，直流侧容量320.0054MWp。共采用581828块550Wp单晶硅双面电池组件，包括光伏发电系统以及相应的配套并网设施。项目按照15%比例配置39MW/156MWh储能。最终通过一座330kV汇集站外送330kV 线路接入当地国家电网。据光伏方阵的布置情况，共设置119个发电单元。每个发电单元通过1台箱式升压变升压至35kV。各发电单元汇集后，通过9回35kV集电线路接至330kV汇集站35kV母线。 本工程推荐采用分块发电、集中并网方案。光伏组件排列主要采用竖向 2×13 矩阵， 光伏阵列采用固定倾角 25°。同时在场区内选取两块典型地形布置柔性支架及平单轴跟 踪支架。本工程新建一座 330kV 汇集站，通过一回 330kV 线路接入 330kV 新庄变。</w:t>
            </w:r>
          </w:p>
          <w:p>
            <w:pPr>
              <w:pStyle w:val="2"/>
              <w:ind w:left="0" w:leftChars="0" w:firstLine="315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丶参建单位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建设单位：甘肃刘家峡浩博新能源有限公司  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设计单位：中机国能电力工程有限公司     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总包单位：上海电力建设有限责任公司 </w:t>
            </w:r>
          </w:p>
          <w:p>
            <w:pPr>
              <w:pStyle w:val="4"/>
              <w:ind w:firstLine="550" w:firstLineChars="25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监理单位：常州正衡工程监理有限公司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</w:rPr>
        <w:t>二、材料设备到货</w:t>
      </w:r>
    </w:p>
    <w:tbl>
      <w:tblPr>
        <w:tblStyle w:val="11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50"/>
        <w:gridCol w:w="1238"/>
        <w:gridCol w:w="1445"/>
        <w:gridCol w:w="1389"/>
        <w:gridCol w:w="147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3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总量</w:t>
            </w:r>
          </w:p>
        </w:tc>
        <w:tc>
          <w:tcPr>
            <w:tcW w:w="14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本月计划</w:t>
            </w:r>
          </w:p>
        </w:tc>
        <w:tc>
          <w:tcPr>
            <w:tcW w:w="13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本月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到货</w:t>
            </w:r>
          </w:p>
        </w:tc>
        <w:tc>
          <w:tcPr>
            <w:tcW w:w="14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累计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到货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下月计划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40"/>
                <w:szCs w:val="4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31.46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31.46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HRB直径10mmE钢筋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0.2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0.2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03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HPB直径12mmE钢筋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0.34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0.34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04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HPB直径14mmE钢筋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0.83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0.83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05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HPB直径16mmE钢筋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3.93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3.93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06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7.99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7.99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07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HRB直径18mmE钢筋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24.97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24.97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08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HRB直径20mmE钢筋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12.01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12.01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09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HRB直径22mmE钢筋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11.59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11.59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镀锌扁铁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  <w:t>(吨)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124.7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地脚螺栓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  <w:t>(套)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896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伏区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支架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  <w:lang w:val="en-US"/>
              </w:rPr>
              <w:t>(组)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22114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2100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13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伏区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组件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  <w:lang w:val="en-US"/>
              </w:rPr>
              <w:t>(块)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581828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石灰(吨)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10350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10350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FF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土木格栅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(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m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10500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</w:tbl>
    <w:tbl>
      <w:tblPr>
        <w:tblStyle w:val="11"/>
        <w:tblpPr w:leftFromText="180" w:rightFromText="180" w:vertAnchor="text" w:horzAnchor="page" w:tblpX="1805" w:tblpY="522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37"/>
        <w:gridCol w:w="1200"/>
        <w:gridCol w:w="1278"/>
        <w:gridCol w:w="1545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  <w:tab w:val="center" w:pos="125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本月计划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累计完成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道路工程（公里）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422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ind w:firstLine="211" w:firstLineChars="10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光伏区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基础桩浇筑砼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(根)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21140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21140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201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光伏区支架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(组)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1.37%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301" w:firstLineChars="15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光伏区组件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(块)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581828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u w:val="none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u w:val="none"/>
          <w:lang w:val="en-US" w:eastAsia="zh-CN"/>
        </w:rPr>
        <w:t>工程形象进度（根据工程进度表填写）</w:t>
      </w:r>
    </w:p>
    <w:tbl>
      <w:tblPr>
        <w:tblStyle w:val="11"/>
        <w:tblpPr w:leftFromText="180" w:rightFromText="180" w:vertAnchor="text" w:horzAnchor="page" w:tblpX="1825" w:tblpY="41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90"/>
        <w:gridCol w:w="1245"/>
        <w:gridCol w:w="1290"/>
        <w:gridCol w:w="1500"/>
        <w:gridCol w:w="13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bookmarkStart w:id="0" w:name="_Toc41397247"/>
            <w:bookmarkStart w:id="1" w:name="_Toc112759662"/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33KV升压站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开挖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(m3)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225524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201" w:firstLineChars="10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225524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灰土挤密桩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(根)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35847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18.89%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84.66%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主控通信楼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主体竣工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主変二次室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垫层丶基础丶墙身顶板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墙身顶板筋模板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墙身顶板筋模板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墙身顶板及回填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事故油池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垫层丶筏板剪力墙顶板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筏板砼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筏板砼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剪力墙顶板砼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配电及构架装置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基础钢筋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模板丶砼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挡墙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(m3)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土木格栅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(m2)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排水沟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30KV送出线路工程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塔基基础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(个)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422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监理重点工作情况</w:t>
      </w:r>
    </w:p>
    <w:tbl>
      <w:tblPr>
        <w:tblStyle w:val="12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57"/>
        <w:gridCol w:w="3881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本月重点工作情况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协调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组织工作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组织召开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例会和工地安全例会3次，并形成会议纪要。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每周一组织对施工现场进行安全大检查。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组织召开安全警示教育会议。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召开工地例会和安全工地例会，督促施工单位做好工程质量和安全自查工作，资料报验的问题，定期组织对施工现场进行安全大检查。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监理进度控制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监理机构应督促承包人做好施工组织管理，确保施工资源的投入，并按批准的施工进度计划实施。监理机构应做好实际工程进度记录以及承包人每日的施工设备、人员、原材料的进场记录，并审核承包人的同期记录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 监理对施工进度计划的实施全过程，包括施工准备、施工条件和进度计划的实施情况，进行定期检查，对实际施工进度进行分析和评价，对关键节点的进度实施重点跟踪检查。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 监理应根据施工进度计划，协调有关参建各方之间的关系，定期召开生产协调会议，及时发现、解决影响工程进度的干扰因素，促进施工项目的顺利进展。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人员分工明确,责任到人,层层把关,施工进度定周丶天,实行进度计划与实际相比较,出现偏差及时处理.解决好各工序交叉作业协调问题,合理利用各种资源.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设备交付进度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支架、组件、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消防器材进场检查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基本满足工程进度。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做好材料进场验收工作，并做好开箱检查记录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下月需要到贷的设备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设计交付进度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图纸满足工程进度要求。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下月需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交付文件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质量体系运作情况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质量体系健全运行良好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严把质量关，并认真做好每次质检记录，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并对运行情况进行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跟踪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检查落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实质量保证体系，并对运行情况进行检查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施工图会审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己会审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ind w:firstLine="735" w:firstLineChars="3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设计交底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735" w:firstLineChars="3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己交底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ind w:firstLine="945" w:firstLineChars="4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己完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方案审查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330kv升压站及线路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方案已审查完成，集电线路部分方案已审查完成。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监督施工单位完善工程资料，对施工单位的技术措施、大型机械、特殊工种、管理体系运转情况等进行审查。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(拟对重点工作方案审查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技术交底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新进场人员人员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进行技术交底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,检查是否按施工方案及技术交底施工,进场材料设备及时捉供厂家质检报告及资质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对关键工序及关键部位质量方面技术交底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,由施工方组织,业主及监理参加并签字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设计变更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踉踪控制执行设计变更,并做好设计变更工程量统计。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安全活动开展情况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监理项目部每周召安全工地例会和组织对施工现场进行安全大检查，宣传遵守安全生产法，每日光伏区升压站及线路现场进行安全巡查。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继续开展安全文明施工教育，监督做好用火、用电，组织安全活动等工作。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拟监理部组织安全培训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安全交底情况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对新进场所有人员和特种作业人员进行了安全教育培训和安全技术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继续督促施工单位进行班前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技术、安全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拟对交全重点部位组织交底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安全措施落实情况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要求各施工区域五图一牌、防护栏杆、安全警示标志安装到位，施工现场灭火器等必须配备齐全。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安全措施基本可控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持续进行防火、防触电、消防等措施、杜绝意外发生。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监督施工单位认真落实安全措施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安全文明施工情况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现场安全文明施工检查，本项目施工现场安全文明措施已逐渐完善，施工现场安全警示标语及岗位职责牌已基本齐全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安全文明施工基本可控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加强现场安全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巡查，落实安全文明施工，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加强施工现场的监管力度，确保整个项目安全高效的进行。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质量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主要工序质量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质量处于受控状态，原材料进场进行见证取样复检检测全部合格。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可控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督促各单位做好自检工作和工序报验，把好质量关。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加强工序质量控制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钢筋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、混凝土试块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、高强度螺母等见证取样及送检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塔基基础桩混凝土试块见证并送检。</w:t>
            </w:r>
          </w:p>
          <w:p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塔基基础钢筋丶镀锌扁铁丶地脚螺栓等见证取样并送检。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3丶对升压站灰土挤密桩进场石灰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见证取样并送检。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加强对进场材料方面质量控制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构（配）件质量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质量合格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符合要求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加强对进场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构（配）件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所有进场设备质量符合设计规范要求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及时做好进场设备报验、开箱检查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质量验评情况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按施工单位验评划分进行检查、验收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对以完成检验批分项分部单位工程验收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投资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资金情况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款项支付情况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1440" w:firstLineChars="600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 xml:space="preserve">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预算外签证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 xml:space="preserve">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合同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18"/>
                <w:lang w:val="en-US"/>
              </w:rPr>
              <w:t xml:space="preserve">    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合同签订情况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施工合同已签订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 xml:space="preserve">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合同执行情况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>良好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ind w:firstLine="660" w:firstLineChars="300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  <w:t xml:space="preserve">         /</w:t>
            </w:r>
          </w:p>
        </w:tc>
      </w:tr>
    </w:tbl>
    <w:p>
      <w:pPr>
        <w:pStyle w:val="31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安全文明施工情况</w:t>
      </w:r>
    </w:p>
    <w:tbl>
      <w:tblPr>
        <w:tblStyle w:val="12"/>
        <w:tblW w:w="933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69"/>
        <w:gridCol w:w="969"/>
        <w:gridCol w:w="1245"/>
        <w:gridCol w:w="692"/>
        <w:gridCol w:w="980"/>
        <w:gridCol w:w="944"/>
        <w:gridCol w:w="1062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53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事故（起）</w:t>
            </w:r>
          </w:p>
        </w:tc>
        <w:tc>
          <w:tcPr>
            <w:tcW w:w="1245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编制安全策划文件（份）</w:t>
            </w:r>
          </w:p>
        </w:tc>
        <w:tc>
          <w:tcPr>
            <w:tcW w:w="692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施工人数</w:t>
            </w:r>
          </w:p>
        </w:tc>
        <w:tc>
          <w:tcPr>
            <w:tcW w:w="4247" w:type="dxa"/>
            <w:gridSpan w:val="4"/>
            <w:noWrap w:val="0"/>
            <w:vAlign w:val="top"/>
          </w:tcPr>
          <w:p>
            <w:pPr>
              <w:spacing w:line="360" w:lineRule="auto"/>
              <w:ind w:firstLine="735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人身重伤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机械设备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电网事故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分包队伍数量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分包队伍人数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系统外包队伍数量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ind w:firstLine="525" w:firstLineChars="250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ind w:firstLine="360" w:firstLineChars="15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>/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>/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120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0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ind w:firstLine="400" w:firstLineChars="200"/>
              <w:rPr>
                <w:rFonts w:hint="default"/>
                <w:b w:val="0"/>
                <w:bCs w:val="0"/>
                <w:sz w:val="20"/>
                <w:szCs w:val="21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1"/>
                <w:lang w:val="en-US"/>
              </w:rPr>
              <w:t>0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</w:tbl>
    <w:p>
      <w:pPr>
        <w:pStyle w:val="31"/>
        <w:numPr>
          <w:ilvl w:val="0"/>
          <w:numId w:val="0"/>
        </w:numPr>
        <w:spacing w:before="156" w:beforeLines="50" w:after="156" w:afterLines="50" w:line="360" w:lineRule="auto"/>
        <w:ind w:leftChars="-170"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施工重点工作情况</w:t>
      </w:r>
    </w:p>
    <w:tbl>
      <w:tblPr>
        <w:tblStyle w:val="12"/>
        <w:tblW w:w="9283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402"/>
        <w:gridCol w:w="4437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340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本月重点工作情况</w:t>
            </w:r>
          </w:p>
        </w:tc>
        <w:tc>
          <w:tcPr>
            <w:tcW w:w="45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进度管理</w:t>
            </w:r>
          </w:p>
        </w:tc>
        <w:tc>
          <w:tcPr>
            <w:tcW w:w="340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组织业主单位及施工单位对现场工作量统计与进度计划比较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,并调整进度计划</w:t>
            </w:r>
          </w:p>
        </w:tc>
        <w:tc>
          <w:tcPr>
            <w:tcW w:w="4514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根据进度调整计划时间,督促施工单位施工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督促施工单位报审《安全文明施工管理制度》，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安委会要定期对现场进行安全检查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质量管理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设备及材料到场进行检查验收；单位工程重点部位施工进行旁站；督促施工单位质量通病防治措施；监督施工项目部落实强制性条文的执行计划。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督促施工单位按照施工工艺和设计要求及规范验标要求进行施工。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技术管理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针对当前工作任务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,认其查对施工图纸和规范,做到心中有数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造价管理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对施工单位工程预付款审核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按照现场实际工程量审核工程进度款。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物资供应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供用计划与施工进度一致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,库存教量满足现场施工要求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严格执行验收程序对进场物资试验验证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,严禁质量不合格物资进场,全面做好质量控制是关键环节和起点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强制性条文执行情况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亓展质量强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制性条文管理检查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,对照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制性条文执行计划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,及时梳理和更新问题库,做好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问题分析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闭合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需业主协调的问题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(1)</w:t>
            </w:r>
            <w:r>
              <w:rPr>
                <w:rFonts w:hint="default" w:ascii="仿宋_GB2312" w:hAnsi="仿宋_GB2312" w:eastAsia="仿宋_GB2312" w:cs="仿宋_GB2312"/>
                <w:bCs/>
                <w:color w:val="0000FF"/>
                <w:sz w:val="21"/>
                <w:szCs w:val="22"/>
                <w:lang w:val="en-US" w:eastAsia="zh-CN"/>
              </w:rPr>
              <w:t>复垦方案盖章联系单,升压站大件运输方案未编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制,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施工中存在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的问题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升压站及线路施工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施工资料报审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不及时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整改要求:正在整改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(2)送出线路塔基基础预埋螺栓未采取有效保护措施,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整改要求: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送出线路塔基基础预埋螺栓必须采取有效保护措施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正在整改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(3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升压站内业资料滞后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整改要求:内业资料必须及时便于后期竣工资料归档正在整改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。</w:t>
            </w:r>
          </w:p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(4)进场材料有未检先用现象,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进场材料必须先检后用有利于工程质量安全.</w:t>
            </w:r>
          </w:p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（5）本月下发监理通知单6份。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ind w:firstLine="100" w:firstLineChars="5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本月大事件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  <w:r>
              <w:rPr>
                <w:rFonts w:hint="default"/>
                <w:b w:val="0"/>
                <w:bCs w:val="0"/>
                <w:sz w:val="22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能源局领导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项目上质检，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指导工作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永靖县委书记、县长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领导莅临升压站检查指导工作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区发改委主任莅临项目，指导安全工作施工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兰州运检中心主任给送出线路工程指导工作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/>
              </w:rPr>
              <w:t>日建设单位组织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对现场进行防汛、临时用电专项检查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604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十三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下月监理工作重点</w:t>
            </w:r>
          </w:p>
        </w:tc>
        <w:tc>
          <w:tcPr>
            <w:tcW w:w="7839" w:type="dxa"/>
            <w:gridSpan w:val="2"/>
            <w:noWrap w:val="0"/>
            <w:vAlign w:val="center"/>
          </w:tcPr>
          <w:tbl>
            <w:tblPr>
              <w:tblStyle w:val="11"/>
              <w:tblW w:w="9107" w:type="dxa"/>
              <w:tblInd w:w="-2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9107" w:type="dxa"/>
                  <w:noWrap w:val="0"/>
                  <w:vAlign w:val="top"/>
                </w:tcPr>
                <w:p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1 </w:t>
                  </w:r>
                  <w:r>
                    <w:rPr>
                      <w:rFonts w:hint="default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安全文明施工常态化管理。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2 、加强施工现场质量、安全巡视检查工作。</w:t>
                  </w:r>
                </w:p>
                <w:p>
                  <w:pPr>
                    <w:pStyle w:val="5"/>
                    <w:spacing w:line="360" w:lineRule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3 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3、对进场材料见证取样送检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,对进场材料及设备开箱验收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。</w:t>
                  </w:r>
                </w:p>
                <w:p>
                  <w:pPr>
                    <w:spacing w:line="360" w:lineRule="auto"/>
                    <w:ind w:left="360" w:hanging="330" w:hangingChars="150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/>
                    </w:rPr>
                    <w:t>4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int="default" w:ascii="仿宋_GB2312" w:hAnsi="仿宋_GB2312" w:eastAsia="仿宋_GB2312" w:cs="仿宋_GB2312"/>
                      <w:sz w:val="24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/>
                    </w:rPr>
                    <w:t>4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加强隐蔽工程检查验收,认真落实影像资料留存管理,确保质量合格,使工程质量过程具有可追溯性。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360" w:hanging="330" w:hangingChars="1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 xml:space="preserve">5 </w:t>
                  </w:r>
                  <w:r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>文明施工和扬尘整治：按绿色施工的标准、“四节一环保”的要求，美化、亮化</w:t>
                  </w:r>
                  <w:r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>、净化施工区域，保留过程记录，填写洒水、冲洗、观测、检查等相关记录表格，使扬尘治理工作落到实处。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210" w:leftChars="100" w:firstLine="200" w:firstLineChars="100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0"/>
                      <w:szCs w:val="21"/>
                      <w:lang w:val="en-US"/>
                    </w:rPr>
                    <w:t>6</w:t>
                  </w:r>
                  <w:r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严格执行监理报验程序，对验收不合格或未经验收擅自进入下一道工序,立即下发通知单并报告建设单位。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>7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、完善内业资料及时收集、整理、归档,确保准时、及时、齐全。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218" w:leftChars="104" w:firstLine="210" w:firstLineChars="100"/>
                    <w:textAlignment w:val="auto"/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>8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、强化过程控制，针对上级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</w:rPr>
                    <w:t>及监理站检查问题，认真分析，举一反三，全面整改，及时回</w:t>
                  </w:r>
                  <w:r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  <w:t>复。</w:t>
                  </w:r>
                </w:p>
                <w:p>
                  <w:pPr>
                    <w:pStyle w:val="6"/>
                    <w:rPr>
                      <w:rFonts w:hint="eastAsia" w:ascii="仿宋_GB2312" w:hAnsi="仿宋_GB2312" w:eastAsia="仿宋_GB2312" w:cs="仿宋_GB2312"/>
                      <w:sz w:val="2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十二.工程照片</w:t>
      </w:r>
      <w:bookmarkEnd w:id="0"/>
      <w:bookmarkEnd w:id="1"/>
    </w:p>
    <w:tbl>
      <w:tblPr>
        <w:tblStyle w:val="12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5035" w:type="dxa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3054985" cy="2290445"/>
                  <wp:effectExtent l="0" t="0" r="12065" b="14605"/>
                  <wp:docPr id="7" name="图片 7" descr="3e8b08f69ea5d1bb86fbb6fde866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e8b08f69ea5d1bb86fbb6fde8668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8" name="图片 8" descr="42e60b66c937de528cc55f71e743f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2e60b66c937de528cc55f71e743f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县委书记项目检查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>质检</w:t>
            </w:r>
            <w:r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23440"/>
                  <wp:effectExtent l="0" t="0" r="0" b="10160"/>
                  <wp:docPr id="14" name="图片 14" descr="IMG_20240707_093208254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707_093208254_original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099310"/>
                  <wp:effectExtent l="0" t="0" r="1270" b="15240"/>
                  <wp:docPr id="15" name="图片 15" descr="IMG_20240702_145745738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702_145745738_original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0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隐蔽验收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>SVG褥垫层压实度取样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5035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515235"/>
                  <wp:effectExtent l="0" t="0" r="0" b="18415"/>
                  <wp:docPr id="4" name="图片 4" descr="03345ed60335a3adef47daa61f20a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345ed60335a3adef47daa61f20a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1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10" name="图片 10" descr="02f0c7dd6aa6a4321be2d58ca3a19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2f0c7dd6aa6a4321be2d58ca3a197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区发改委现场检查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735" w:firstLineChars="35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48535"/>
                  <wp:effectExtent l="0" t="0" r="0" b="18415"/>
                  <wp:docPr id="13" name="图片 13" descr="2bee19d7ad9546d5f85bb8e7f4897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bee19d7ad9546d5f85bb8e7f4897f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4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1710"/>
                  <wp:effectExtent l="0" t="0" r="1270" b="15240"/>
                  <wp:docPr id="12" name="图片 12" descr="63a27eb9f6c78b036a6605bc1472a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3a27eb9f6c78b036a6605bc1472a8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防暑应急演练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见证取样</w:t>
            </w:r>
          </w:p>
        </w:tc>
      </w:tr>
    </w:tbl>
    <w:tbl>
      <w:tblPr>
        <w:tblStyle w:val="12"/>
        <w:tblpPr w:leftFromText="180" w:rightFromText="180" w:vertAnchor="text" w:horzAnchor="page" w:tblpX="1545" w:tblpY="1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11" name="图片 11" descr="ecb5ae0afaa0fba2bdbad5b63b8bc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cb5ae0afaa0fba2bdbad5b63b8bc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9" name="图片 9" descr="微信图片_20240724150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7241507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105" w:firstLineChars="5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隐蔽验收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临时用电专项检查</w:t>
            </w:r>
          </w:p>
        </w:tc>
      </w:tr>
    </w:tbl>
    <w:tbl>
      <w:tblPr>
        <w:tblStyle w:val="12"/>
        <w:tblpPr w:leftFromText="180" w:rightFromText="180" w:vertAnchor="text" w:horzAnchor="page" w:tblpX="1560" w:tblpY="544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69490"/>
                  <wp:effectExtent l="0" t="0" r="0" b="16510"/>
                  <wp:docPr id="3" name="图片 3" descr="0abee9ffb0944935eea0367c421bc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abee9ffb0944935eea0367c421bcd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38375"/>
                  <wp:effectExtent l="0" t="0" r="1270" b="9525"/>
                  <wp:docPr id="5" name="图片 5" descr="8eb266b05a71637621b9ac4ee2c3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b266b05a71637621b9ac4ee2c37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监理旁站浇筑砼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砼试块制作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72665"/>
                  <wp:effectExtent l="0" t="0" r="0" b="13335"/>
                  <wp:docPr id="6" name="图片 6" descr="e5ca84f56834c8eb8e5ec8af36c8c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ca84f56834c8eb8e5ec8af36c8c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89175"/>
                  <wp:effectExtent l="0" t="0" r="1270" b="15875"/>
                  <wp:docPr id="2" name="图片 2" descr="5fc381e9a8f8141f8f1349e9cfe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c381e9a8f8141f8f1349e9cfe15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监理沉降观测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监理旁站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4"/>
        <w:rPr>
          <w:rFonts w:hint="eastAsia" w:eastAsia="宋体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常州正衡电力工程监理有限公司</w:t>
      </w:r>
    </w:p>
    <w:p>
      <w:pPr>
        <w:spacing w:line="360" w:lineRule="auto"/>
        <w:ind w:firstLine="330" w:firstLineChars="150"/>
        <w:jc w:val="both"/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                               永靖县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十四五"盐锅峡光伏发电项目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监理部</w:t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                                 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年 7月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rPr>
        <w:rFonts w:ascii="宋体" w:hAnsi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-690245</wp:posOffset>
          </wp:positionH>
          <wp:positionV relativeFrom="paragraph">
            <wp:posOffset>-5715</wp:posOffset>
          </wp:positionV>
          <wp:extent cx="826135" cy="1057910"/>
          <wp:effectExtent l="0" t="0" r="12065" b="8890"/>
          <wp:wrapNone/>
          <wp:docPr id="1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21C7B"/>
    <w:multiLevelType w:val="singleLevel"/>
    <w:tmpl w:val="E1D21C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810CE8"/>
    <w:multiLevelType w:val="singleLevel"/>
    <w:tmpl w:val="14810C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9DEDB5"/>
    <w:multiLevelType w:val="multilevel"/>
    <w:tmpl w:val="619DEDB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TIzODA2N2Y4ODI2OTBkZjk4MWVjMDVmMGJkZmEifQ=="/>
  </w:docVars>
  <w:rsids>
    <w:rsidRoot w:val="00992C3B"/>
    <w:rsid w:val="000737AE"/>
    <w:rsid w:val="001A436C"/>
    <w:rsid w:val="0050693E"/>
    <w:rsid w:val="008A6BC8"/>
    <w:rsid w:val="00992C3B"/>
    <w:rsid w:val="00E00BAC"/>
    <w:rsid w:val="01CC1F6D"/>
    <w:rsid w:val="02062258"/>
    <w:rsid w:val="02767FBD"/>
    <w:rsid w:val="02784990"/>
    <w:rsid w:val="032B4C41"/>
    <w:rsid w:val="037F3E1C"/>
    <w:rsid w:val="03E96128"/>
    <w:rsid w:val="03F318B3"/>
    <w:rsid w:val="040A033F"/>
    <w:rsid w:val="04124375"/>
    <w:rsid w:val="043B7A3A"/>
    <w:rsid w:val="051A7A01"/>
    <w:rsid w:val="05551D4C"/>
    <w:rsid w:val="05A147CF"/>
    <w:rsid w:val="05D73229"/>
    <w:rsid w:val="06185902"/>
    <w:rsid w:val="06D82C35"/>
    <w:rsid w:val="078D65E8"/>
    <w:rsid w:val="085476F4"/>
    <w:rsid w:val="08944CAE"/>
    <w:rsid w:val="08A22F05"/>
    <w:rsid w:val="0935797F"/>
    <w:rsid w:val="093925A9"/>
    <w:rsid w:val="093F4728"/>
    <w:rsid w:val="09C67FDC"/>
    <w:rsid w:val="0A491D3D"/>
    <w:rsid w:val="0A4D7BEB"/>
    <w:rsid w:val="0A7524F4"/>
    <w:rsid w:val="0AAD65CB"/>
    <w:rsid w:val="0AC962FE"/>
    <w:rsid w:val="0B2070DB"/>
    <w:rsid w:val="0C3E55C0"/>
    <w:rsid w:val="0C4215A3"/>
    <w:rsid w:val="0C7011BB"/>
    <w:rsid w:val="0CEC54F2"/>
    <w:rsid w:val="0CEE6D01"/>
    <w:rsid w:val="0D2D77A1"/>
    <w:rsid w:val="0D7259E7"/>
    <w:rsid w:val="0D730904"/>
    <w:rsid w:val="0D7E5EF6"/>
    <w:rsid w:val="0DA4054A"/>
    <w:rsid w:val="0DE517DE"/>
    <w:rsid w:val="0E6C274F"/>
    <w:rsid w:val="0EAB7B47"/>
    <w:rsid w:val="0F1F4783"/>
    <w:rsid w:val="0F5F46FB"/>
    <w:rsid w:val="0F6C2B75"/>
    <w:rsid w:val="0FE0442B"/>
    <w:rsid w:val="10D5396B"/>
    <w:rsid w:val="11101485"/>
    <w:rsid w:val="11404615"/>
    <w:rsid w:val="11C1652D"/>
    <w:rsid w:val="121A273A"/>
    <w:rsid w:val="12C66F4B"/>
    <w:rsid w:val="132C08F3"/>
    <w:rsid w:val="1348711D"/>
    <w:rsid w:val="137A0C53"/>
    <w:rsid w:val="138916E3"/>
    <w:rsid w:val="15163978"/>
    <w:rsid w:val="159E67EC"/>
    <w:rsid w:val="15B6167C"/>
    <w:rsid w:val="15C727F2"/>
    <w:rsid w:val="16C9724D"/>
    <w:rsid w:val="16E120C0"/>
    <w:rsid w:val="16F90A93"/>
    <w:rsid w:val="17320C9F"/>
    <w:rsid w:val="1776517E"/>
    <w:rsid w:val="17C17442"/>
    <w:rsid w:val="17D07698"/>
    <w:rsid w:val="17D4037E"/>
    <w:rsid w:val="18735B17"/>
    <w:rsid w:val="188C1D48"/>
    <w:rsid w:val="18C96659"/>
    <w:rsid w:val="19AD3186"/>
    <w:rsid w:val="1A0A1D08"/>
    <w:rsid w:val="1AB15B61"/>
    <w:rsid w:val="1AD7546A"/>
    <w:rsid w:val="1B04750B"/>
    <w:rsid w:val="1B890953"/>
    <w:rsid w:val="1BAB2763"/>
    <w:rsid w:val="1BE159D1"/>
    <w:rsid w:val="1C145EF7"/>
    <w:rsid w:val="1C574358"/>
    <w:rsid w:val="1CA05B4B"/>
    <w:rsid w:val="1CD001DE"/>
    <w:rsid w:val="1CD557F5"/>
    <w:rsid w:val="1CE90985"/>
    <w:rsid w:val="1D050603"/>
    <w:rsid w:val="1D104A7F"/>
    <w:rsid w:val="1D494F14"/>
    <w:rsid w:val="1D645618"/>
    <w:rsid w:val="1E0C3EA2"/>
    <w:rsid w:val="1E153ED5"/>
    <w:rsid w:val="1E581EED"/>
    <w:rsid w:val="1ECE362E"/>
    <w:rsid w:val="1F2C759A"/>
    <w:rsid w:val="1F7F74E9"/>
    <w:rsid w:val="1F835EE6"/>
    <w:rsid w:val="1FAA2F2E"/>
    <w:rsid w:val="20650850"/>
    <w:rsid w:val="20E0641D"/>
    <w:rsid w:val="21792303"/>
    <w:rsid w:val="21CC52FE"/>
    <w:rsid w:val="21FE5E18"/>
    <w:rsid w:val="223E1C1A"/>
    <w:rsid w:val="230316D2"/>
    <w:rsid w:val="234667E9"/>
    <w:rsid w:val="238F55C4"/>
    <w:rsid w:val="23E14255"/>
    <w:rsid w:val="24343FB6"/>
    <w:rsid w:val="256303DD"/>
    <w:rsid w:val="25E82E65"/>
    <w:rsid w:val="263B7063"/>
    <w:rsid w:val="268564DD"/>
    <w:rsid w:val="274A20A0"/>
    <w:rsid w:val="276D0F1D"/>
    <w:rsid w:val="28385963"/>
    <w:rsid w:val="28890250"/>
    <w:rsid w:val="28AD6DEF"/>
    <w:rsid w:val="28B46C06"/>
    <w:rsid w:val="28C0023F"/>
    <w:rsid w:val="28CE5829"/>
    <w:rsid w:val="29697BB3"/>
    <w:rsid w:val="29CF63A6"/>
    <w:rsid w:val="2A104310"/>
    <w:rsid w:val="2A73098E"/>
    <w:rsid w:val="2A843640"/>
    <w:rsid w:val="2AB22A9B"/>
    <w:rsid w:val="2AD7684A"/>
    <w:rsid w:val="2B257EB1"/>
    <w:rsid w:val="2BE53B0B"/>
    <w:rsid w:val="2C707C96"/>
    <w:rsid w:val="2C892158"/>
    <w:rsid w:val="2C994126"/>
    <w:rsid w:val="2CA66751"/>
    <w:rsid w:val="2CB537AC"/>
    <w:rsid w:val="2D173A10"/>
    <w:rsid w:val="2D332E53"/>
    <w:rsid w:val="2D5274E8"/>
    <w:rsid w:val="2D8224BA"/>
    <w:rsid w:val="2E521BE6"/>
    <w:rsid w:val="2E7A76AC"/>
    <w:rsid w:val="2EE415D2"/>
    <w:rsid w:val="2F0A2494"/>
    <w:rsid w:val="2F4C6804"/>
    <w:rsid w:val="2FCD000A"/>
    <w:rsid w:val="2FF92A53"/>
    <w:rsid w:val="30333C1B"/>
    <w:rsid w:val="3053014A"/>
    <w:rsid w:val="30893BDB"/>
    <w:rsid w:val="30A84A7B"/>
    <w:rsid w:val="31864EB8"/>
    <w:rsid w:val="344176B1"/>
    <w:rsid w:val="344F3E8C"/>
    <w:rsid w:val="34D57573"/>
    <w:rsid w:val="34F226A3"/>
    <w:rsid w:val="35762B06"/>
    <w:rsid w:val="362903AA"/>
    <w:rsid w:val="36B54FAB"/>
    <w:rsid w:val="36FB4CA4"/>
    <w:rsid w:val="37096919"/>
    <w:rsid w:val="37B3452D"/>
    <w:rsid w:val="37C92E2B"/>
    <w:rsid w:val="37D9310B"/>
    <w:rsid w:val="38665363"/>
    <w:rsid w:val="388F4A80"/>
    <w:rsid w:val="3A637D33"/>
    <w:rsid w:val="3A93699B"/>
    <w:rsid w:val="3AD311D3"/>
    <w:rsid w:val="3B047E5E"/>
    <w:rsid w:val="3B5905DD"/>
    <w:rsid w:val="3BDC573F"/>
    <w:rsid w:val="3C1F6A0E"/>
    <w:rsid w:val="3C230D64"/>
    <w:rsid w:val="3CBF3E4D"/>
    <w:rsid w:val="3D156AA1"/>
    <w:rsid w:val="3D685BD2"/>
    <w:rsid w:val="3E7C6EC8"/>
    <w:rsid w:val="3ED2074B"/>
    <w:rsid w:val="3F043581"/>
    <w:rsid w:val="3F711D25"/>
    <w:rsid w:val="404B3707"/>
    <w:rsid w:val="405A62BF"/>
    <w:rsid w:val="406371E0"/>
    <w:rsid w:val="409A4DF9"/>
    <w:rsid w:val="40B97058"/>
    <w:rsid w:val="414B68D8"/>
    <w:rsid w:val="41751D71"/>
    <w:rsid w:val="419E6103"/>
    <w:rsid w:val="41D8754B"/>
    <w:rsid w:val="41F97AAB"/>
    <w:rsid w:val="422F3346"/>
    <w:rsid w:val="431E4DCB"/>
    <w:rsid w:val="43593FED"/>
    <w:rsid w:val="439C42A3"/>
    <w:rsid w:val="43C040D4"/>
    <w:rsid w:val="43CB531A"/>
    <w:rsid w:val="43FE27CC"/>
    <w:rsid w:val="44215996"/>
    <w:rsid w:val="443D47A4"/>
    <w:rsid w:val="44464FBC"/>
    <w:rsid w:val="449C4CC6"/>
    <w:rsid w:val="44F55931"/>
    <w:rsid w:val="45334117"/>
    <w:rsid w:val="45ED1B2D"/>
    <w:rsid w:val="47427C9D"/>
    <w:rsid w:val="47BE433B"/>
    <w:rsid w:val="47C92473"/>
    <w:rsid w:val="485F2D82"/>
    <w:rsid w:val="488461B1"/>
    <w:rsid w:val="48C46BDF"/>
    <w:rsid w:val="48C61571"/>
    <w:rsid w:val="48C90212"/>
    <w:rsid w:val="494517B3"/>
    <w:rsid w:val="49620B59"/>
    <w:rsid w:val="49F73BE3"/>
    <w:rsid w:val="4A0B13BC"/>
    <w:rsid w:val="4A227A1C"/>
    <w:rsid w:val="4A2414D9"/>
    <w:rsid w:val="4A573F16"/>
    <w:rsid w:val="4ABE23E7"/>
    <w:rsid w:val="4AFE71D7"/>
    <w:rsid w:val="4AFF44E3"/>
    <w:rsid w:val="4B29317B"/>
    <w:rsid w:val="4B6F2903"/>
    <w:rsid w:val="4B951C42"/>
    <w:rsid w:val="4C36616C"/>
    <w:rsid w:val="4D1A4795"/>
    <w:rsid w:val="4D7A2BC9"/>
    <w:rsid w:val="4DDB179E"/>
    <w:rsid w:val="4DFB2B38"/>
    <w:rsid w:val="4E1C0C26"/>
    <w:rsid w:val="4E5A1C6A"/>
    <w:rsid w:val="4E7E1755"/>
    <w:rsid w:val="4EA66BA5"/>
    <w:rsid w:val="4F2C5BB0"/>
    <w:rsid w:val="4F665B59"/>
    <w:rsid w:val="4FB71E0A"/>
    <w:rsid w:val="50CB78AD"/>
    <w:rsid w:val="50E140BC"/>
    <w:rsid w:val="513B13C3"/>
    <w:rsid w:val="51945559"/>
    <w:rsid w:val="51C90220"/>
    <w:rsid w:val="52A631B4"/>
    <w:rsid w:val="52EE292E"/>
    <w:rsid w:val="53007D0E"/>
    <w:rsid w:val="53A93CBC"/>
    <w:rsid w:val="53B80593"/>
    <w:rsid w:val="53FF3DE9"/>
    <w:rsid w:val="5434042D"/>
    <w:rsid w:val="54D97D12"/>
    <w:rsid w:val="55CF36EE"/>
    <w:rsid w:val="55F85EFE"/>
    <w:rsid w:val="55FB197A"/>
    <w:rsid w:val="56507B03"/>
    <w:rsid w:val="567F053C"/>
    <w:rsid w:val="5737087F"/>
    <w:rsid w:val="57A91DDB"/>
    <w:rsid w:val="57FE16AB"/>
    <w:rsid w:val="58BA66C1"/>
    <w:rsid w:val="58D46064"/>
    <w:rsid w:val="58D8297F"/>
    <w:rsid w:val="59002BEB"/>
    <w:rsid w:val="59492393"/>
    <w:rsid w:val="59CA32FE"/>
    <w:rsid w:val="5A025787"/>
    <w:rsid w:val="5A1E5657"/>
    <w:rsid w:val="5AB669F5"/>
    <w:rsid w:val="5B506C1E"/>
    <w:rsid w:val="5B79236C"/>
    <w:rsid w:val="5BD405D3"/>
    <w:rsid w:val="5C0313DE"/>
    <w:rsid w:val="5C3F15AA"/>
    <w:rsid w:val="5D1D0534"/>
    <w:rsid w:val="5D842966"/>
    <w:rsid w:val="5D857576"/>
    <w:rsid w:val="5D975E78"/>
    <w:rsid w:val="5DBB2237"/>
    <w:rsid w:val="5DC03EA4"/>
    <w:rsid w:val="5E7A3FD6"/>
    <w:rsid w:val="5F161C33"/>
    <w:rsid w:val="5F1F7591"/>
    <w:rsid w:val="5F344D74"/>
    <w:rsid w:val="5F6720AA"/>
    <w:rsid w:val="5FA10772"/>
    <w:rsid w:val="60511B77"/>
    <w:rsid w:val="60C41A4D"/>
    <w:rsid w:val="61AC4F41"/>
    <w:rsid w:val="61BC746E"/>
    <w:rsid w:val="625701B5"/>
    <w:rsid w:val="62832BCA"/>
    <w:rsid w:val="62F319B6"/>
    <w:rsid w:val="62F97578"/>
    <w:rsid w:val="630A58E2"/>
    <w:rsid w:val="63A67C14"/>
    <w:rsid w:val="63AD3F6B"/>
    <w:rsid w:val="63B0396B"/>
    <w:rsid w:val="642A49A4"/>
    <w:rsid w:val="644E126F"/>
    <w:rsid w:val="646E3828"/>
    <w:rsid w:val="647B624F"/>
    <w:rsid w:val="647C73A2"/>
    <w:rsid w:val="64CD6CD3"/>
    <w:rsid w:val="651D22F2"/>
    <w:rsid w:val="659D0312"/>
    <w:rsid w:val="65D274DB"/>
    <w:rsid w:val="65FE01E6"/>
    <w:rsid w:val="665B55E5"/>
    <w:rsid w:val="668A5172"/>
    <w:rsid w:val="66A72B67"/>
    <w:rsid w:val="66D0508A"/>
    <w:rsid w:val="673E5E00"/>
    <w:rsid w:val="67A21D13"/>
    <w:rsid w:val="67F97D9C"/>
    <w:rsid w:val="68297376"/>
    <w:rsid w:val="685B2C04"/>
    <w:rsid w:val="6868558B"/>
    <w:rsid w:val="6871463E"/>
    <w:rsid w:val="689B2839"/>
    <w:rsid w:val="692F2582"/>
    <w:rsid w:val="69971F2B"/>
    <w:rsid w:val="6A097C3D"/>
    <w:rsid w:val="6AB5345F"/>
    <w:rsid w:val="6B032AFA"/>
    <w:rsid w:val="6B271EF6"/>
    <w:rsid w:val="6CE871E7"/>
    <w:rsid w:val="6CFA370B"/>
    <w:rsid w:val="6D0A5DFF"/>
    <w:rsid w:val="6DA14BCE"/>
    <w:rsid w:val="6DAC43CA"/>
    <w:rsid w:val="6E353043"/>
    <w:rsid w:val="6EED46B9"/>
    <w:rsid w:val="6F4953C8"/>
    <w:rsid w:val="6F9600FD"/>
    <w:rsid w:val="6F9D506E"/>
    <w:rsid w:val="6FDA1BB9"/>
    <w:rsid w:val="709D3B68"/>
    <w:rsid w:val="71B51011"/>
    <w:rsid w:val="7204025E"/>
    <w:rsid w:val="72121874"/>
    <w:rsid w:val="727919F7"/>
    <w:rsid w:val="72A07893"/>
    <w:rsid w:val="72C11A55"/>
    <w:rsid w:val="72EB091E"/>
    <w:rsid w:val="735D4855"/>
    <w:rsid w:val="736F00C5"/>
    <w:rsid w:val="736F62C7"/>
    <w:rsid w:val="737B2CD5"/>
    <w:rsid w:val="73D70C4F"/>
    <w:rsid w:val="73DA7D66"/>
    <w:rsid w:val="73DB25AE"/>
    <w:rsid w:val="74350C83"/>
    <w:rsid w:val="74672D91"/>
    <w:rsid w:val="74980210"/>
    <w:rsid w:val="74ED1328"/>
    <w:rsid w:val="74F44970"/>
    <w:rsid w:val="75347CF7"/>
    <w:rsid w:val="754F40C2"/>
    <w:rsid w:val="75665E41"/>
    <w:rsid w:val="75667EE9"/>
    <w:rsid w:val="757513C6"/>
    <w:rsid w:val="75C53670"/>
    <w:rsid w:val="76BD6B6B"/>
    <w:rsid w:val="77460D6D"/>
    <w:rsid w:val="77784C59"/>
    <w:rsid w:val="77EF4F58"/>
    <w:rsid w:val="77F66EE7"/>
    <w:rsid w:val="77FC33AF"/>
    <w:rsid w:val="782D4305"/>
    <w:rsid w:val="7886307C"/>
    <w:rsid w:val="78DB6B2B"/>
    <w:rsid w:val="792F4CD9"/>
    <w:rsid w:val="7939449D"/>
    <w:rsid w:val="79BD2A0E"/>
    <w:rsid w:val="79E07807"/>
    <w:rsid w:val="7A0D07D1"/>
    <w:rsid w:val="7A0D129F"/>
    <w:rsid w:val="7A4B5952"/>
    <w:rsid w:val="7A712096"/>
    <w:rsid w:val="7AF12F0E"/>
    <w:rsid w:val="7B38570E"/>
    <w:rsid w:val="7B394FF2"/>
    <w:rsid w:val="7BAB2AF1"/>
    <w:rsid w:val="7BFD6F35"/>
    <w:rsid w:val="7C1B2254"/>
    <w:rsid w:val="7C887303"/>
    <w:rsid w:val="7C893253"/>
    <w:rsid w:val="7CB805A6"/>
    <w:rsid w:val="7D1C75FC"/>
    <w:rsid w:val="7D456FA2"/>
    <w:rsid w:val="7D470F6C"/>
    <w:rsid w:val="7DA33AB0"/>
    <w:rsid w:val="7DED4BF7"/>
    <w:rsid w:val="7E051515"/>
    <w:rsid w:val="7E3B04F3"/>
    <w:rsid w:val="7F163AD7"/>
    <w:rsid w:val="7F467B3C"/>
    <w:rsid w:val="7F5E415D"/>
    <w:rsid w:val="7F9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rPr>
      <w:rFonts w:ascii="宋体" w:hAnsi="宋体"/>
      <w:sz w:val="30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4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首行缩进正文"/>
    <w:basedOn w:val="1"/>
    <w:qFormat/>
    <w:uiPriority w:val="0"/>
    <w:pPr>
      <w:snapToGrid w:val="0"/>
      <w:spacing w:line="360" w:lineRule="auto"/>
    </w:pPr>
    <w:rPr>
      <w:lang w:bidi="he-IL"/>
    </w:rPr>
  </w:style>
  <w:style w:type="paragraph" w:customStyle="1" w:styleId="15">
    <w:name w:val="BodyText1I"/>
    <w:basedOn w:val="16"/>
    <w:next w:val="17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16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17">
    <w:name w:val="BodyText1I2"/>
    <w:basedOn w:val="18"/>
    <w:qFormat/>
    <w:uiPriority w:val="0"/>
    <w:pPr>
      <w:ind w:firstLine="420" w:firstLineChars="200"/>
    </w:p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9">
    <w:name w:val="引言二级条标题"/>
    <w:basedOn w:val="20"/>
    <w:next w:val="21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0">
    <w:name w:val="引言一级条标题"/>
    <w:basedOn w:val="1"/>
    <w:next w:val="21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1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cs="黑体"/>
    </w:rPr>
  </w:style>
  <w:style w:type="paragraph" w:customStyle="1" w:styleId="25">
    <w:name w:val="列出段落1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6">
    <w:name w:val="列表段落7"/>
    <w:basedOn w:val="1"/>
    <w:qFormat/>
    <w:uiPriority w:val="34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4495</Words>
  <Characters>5123</Characters>
  <Lines>9</Lines>
  <Paragraphs>2</Paragraphs>
  <TotalTime>95</TotalTime>
  <ScaleCrop>false</ScaleCrop>
  <LinksUpToDate>false</LinksUpToDate>
  <CharactersWithSpaces>5515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2022-12-03T10:06:00Z</dcterms:created>
  <dc:creator>xny</dc:creator>
  <cp:lastModifiedBy>愿为你停留的心</cp:lastModifiedBy>
  <cp:lastPrinted>2024-05-30T07:18:00Z</cp:lastPrinted>
  <dcterms:modified xsi:type="dcterms:W3CDTF">2024-07-24T08:13:18Z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6DEA0E315A0D4D62BD78EE5C121D12D3_13</vt:lpwstr>
  </property>
</Properties>
</file>