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jc w:val="both"/>
        <w:rPr>
          <w:rFonts w:hint="default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编号:YJYGF-ZHJL-JLYB-00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8</w:t>
      </w:r>
    </w:p>
    <w:p>
      <w:pPr>
        <w:ind w:firstLine="1800" w:firstLineChars="500"/>
        <w:jc w:val="both"/>
        <w:rPr>
          <w:rFonts w:hint="default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eastAsia="zh-CN"/>
        </w:rPr>
        <w:t>永靖县“十四五"盐锅峡光伏发电项目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lang w:val="en-US" w:eastAsia="zh-CN"/>
        </w:rPr>
      </w:pPr>
    </w:p>
    <w:p>
      <w:pPr>
        <w:ind w:firstLine="3080" w:firstLineChars="1100"/>
        <w:jc w:val="both"/>
        <w:rPr>
          <w:rFonts w:hint="eastAsia" w:ascii="仿宋_GB2312" w:hAnsi="仿宋_GB2312" w:eastAsia="仿宋_GB2312" w:cs="仿宋_GB2312"/>
          <w:sz w:val="28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4"/>
          <w:lang w:val="en-US"/>
        </w:rPr>
        <w:t>202</w:t>
      </w:r>
      <w:r>
        <w:rPr>
          <w:rFonts w:hint="default" w:ascii="仿宋_GB2312" w:hAnsi="仿宋_GB2312" w:eastAsia="仿宋_GB2312" w:cs="仿宋_GB2312"/>
          <w:sz w:val="28"/>
          <w:szCs w:val="24"/>
          <w:lang w:val="en-US"/>
        </w:rPr>
        <w:t>4</w:t>
      </w:r>
      <w:r>
        <w:rPr>
          <w:rFonts w:hint="eastAsia" w:ascii="仿宋_GB2312" w:hAnsi="仿宋_GB2312" w:eastAsia="仿宋_GB2312" w:cs="仿宋_GB2312"/>
          <w:sz w:val="28"/>
          <w:szCs w:val="24"/>
          <w:lang w:val="en-US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</w:rPr>
        <w:t>第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4"/>
        </w:rPr>
        <w:t>期</w:t>
      </w:r>
      <w:r>
        <w:rPr>
          <w:rFonts w:hint="eastAsia" w:ascii="仿宋_GB2312" w:hAnsi="仿宋_GB2312" w:eastAsia="仿宋_GB2312" w:cs="仿宋_GB2312"/>
          <w:sz w:val="28"/>
          <w:szCs w:val="24"/>
          <w:lang w:val="en-US"/>
        </w:rPr>
        <w:t>(总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4"/>
          <w:lang w:val="en-US"/>
        </w:rPr>
        <w:t>期)</w:t>
      </w: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lang w:val="en-US"/>
        </w:rPr>
        <w:t xml:space="preserve">                  </w:t>
      </w:r>
    </w:p>
    <w:p>
      <w:pPr>
        <w:ind w:firstLine="2160" w:firstLineChars="900"/>
        <w:jc w:val="left"/>
        <w:rPr>
          <w:rFonts w:hint="eastAsia" w:ascii="仿宋_GB2312" w:hAnsi="仿宋_GB2312" w:eastAsia="仿宋_GB2312" w:cs="仿宋_GB2312"/>
          <w:sz w:val="44"/>
          <w:szCs w:val="40"/>
          <w:lang w:val="en-US"/>
        </w:rPr>
      </w:pPr>
      <w:r>
        <w:rPr>
          <w:rFonts w:hint="eastAsia" w:ascii="仿宋_GB2312" w:hAnsi="仿宋_GB2312" w:eastAsia="仿宋_GB2312" w:cs="仿宋_GB2312"/>
          <w:sz w:val="24"/>
          <w:lang w:val="en-US"/>
        </w:rPr>
        <w:t xml:space="preserve"> 日期:(202</w:t>
      </w:r>
      <w:r>
        <w:rPr>
          <w:rFonts w:hint="default" w:ascii="仿宋_GB2312" w:hAnsi="仿宋_GB2312" w:eastAsia="仿宋_GB2312" w:cs="仿宋_GB2312"/>
          <w:sz w:val="24"/>
          <w:lang w:val="en-US"/>
        </w:rPr>
        <w:t>4</w:t>
      </w:r>
      <w:r>
        <w:rPr>
          <w:rFonts w:hint="eastAsia" w:ascii="仿宋_GB2312" w:hAnsi="仿宋_GB2312" w:eastAsia="仿宋_GB2312" w:cs="仿宋_GB2312"/>
          <w:sz w:val="24"/>
          <w:lang w:val="en-US"/>
        </w:rPr>
        <w:t>年</w:t>
      </w:r>
      <w:r>
        <w:rPr>
          <w:rFonts w:hint="default" w:ascii="仿宋_GB2312" w:hAnsi="仿宋_GB2312" w:eastAsia="仿宋_GB2312" w:cs="仿宋_GB2312"/>
          <w:sz w:val="24"/>
          <w:lang w:val="en-US"/>
        </w:rPr>
        <w:t>0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lang w:val="en-US"/>
        </w:rPr>
        <w:t>月</w:t>
      </w:r>
      <w:r>
        <w:rPr>
          <w:rFonts w:hint="default" w:ascii="仿宋_GB2312" w:hAnsi="仿宋_GB2312" w:eastAsia="仿宋_GB2312" w:cs="仿宋_GB2312"/>
          <w:sz w:val="24"/>
          <w:lang w:val="en-US"/>
        </w:rPr>
        <w:t>26</w:t>
      </w:r>
      <w:r>
        <w:rPr>
          <w:rFonts w:hint="eastAsia" w:ascii="仿宋_GB2312" w:hAnsi="仿宋_GB2312" w:eastAsia="仿宋_GB2312" w:cs="仿宋_GB2312"/>
          <w:sz w:val="24"/>
          <w:lang w:val="en-US"/>
        </w:rPr>
        <w:t>日202</w:t>
      </w:r>
      <w:r>
        <w:rPr>
          <w:rFonts w:hint="default" w:ascii="仿宋_GB2312" w:hAnsi="仿宋_GB2312" w:eastAsia="仿宋_GB2312" w:cs="仿宋_GB2312"/>
          <w:sz w:val="24"/>
          <w:lang w:val="en-US"/>
        </w:rPr>
        <w:t>4</w:t>
      </w:r>
      <w:r>
        <w:rPr>
          <w:rFonts w:hint="eastAsia" w:ascii="仿宋_GB2312" w:hAnsi="仿宋_GB2312" w:eastAsia="仿宋_GB2312" w:cs="仿宋_GB2312"/>
          <w:sz w:val="24"/>
          <w:lang w:val="en-US"/>
        </w:rPr>
        <w:t>年</w:t>
      </w:r>
      <w:r>
        <w:rPr>
          <w:rFonts w:hint="default" w:ascii="仿宋_GB2312" w:hAnsi="仿宋_GB2312" w:eastAsia="仿宋_GB2312" w:cs="仿宋_GB2312"/>
          <w:sz w:val="24"/>
          <w:lang w:val="en-US"/>
        </w:rPr>
        <w:t>0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lang w:val="en-US"/>
        </w:rPr>
        <w:t>月</w:t>
      </w:r>
      <w:r>
        <w:rPr>
          <w:rFonts w:hint="default" w:ascii="仿宋_GB2312" w:hAnsi="仿宋_GB2312" w:eastAsia="仿宋_GB2312" w:cs="仿宋_GB2312"/>
          <w:sz w:val="24"/>
          <w:lang w:val="en-US"/>
        </w:rPr>
        <w:t>25</w:t>
      </w:r>
      <w:r>
        <w:rPr>
          <w:rFonts w:hint="eastAsia" w:ascii="仿宋_GB2312" w:hAnsi="仿宋_GB2312" w:eastAsia="仿宋_GB2312" w:cs="仿宋_GB2312"/>
          <w:sz w:val="24"/>
          <w:lang w:val="en-US"/>
        </w:rPr>
        <w:t>日)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val="en-US"/>
        </w:rPr>
        <w:t xml:space="preserve">                            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4"/>
          <w:lang w:val="en-US"/>
        </w:rPr>
      </w:pPr>
    </w:p>
    <w:p>
      <w:pPr>
        <w:spacing w:line="360" w:lineRule="auto"/>
        <w:ind w:firstLine="3720" w:firstLineChars="1550"/>
        <w:jc w:val="both"/>
        <w:rPr>
          <w:rFonts w:hint="eastAsia" w:ascii="仿宋_GB2312" w:hAnsi="仿宋_GB2312" w:eastAsia="仿宋_GB2312" w:cs="仿宋_GB2312"/>
          <w:b/>
          <w:sz w:val="96"/>
          <w:szCs w:val="96"/>
        </w:rPr>
      </w:pPr>
      <w:r>
        <w:rPr>
          <w:rFonts w:hint="eastAsia" w:ascii="仿宋_GB2312" w:hAnsi="仿宋_GB2312" w:eastAsia="仿宋_GB2312" w:cs="仿宋_GB2312"/>
          <w:sz w:val="24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96"/>
          <w:szCs w:val="96"/>
        </w:rPr>
        <w:t>监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96"/>
          <w:szCs w:val="96"/>
        </w:rPr>
      </w:pPr>
      <w:r>
        <w:rPr>
          <w:rFonts w:hint="eastAsia" w:ascii="仿宋_GB2312" w:hAnsi="仿宋_GB2312" w:eastAsia="仿宋_GB2312" w:cs="仿宋_GB2312"/>
          <w:b/>
          <w:sz w:val="96"/>
          <w:szCs w:val="96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96"/>
          <w:szCs w:val="96"/>
        </w:rPr>
        <w:t>理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96"/>
          <w:szCs w:val="96"/>
        </w:rPr>
      </w:pPr>
      <w:r>
        <w:rPr>
          <w:rFonts w:hint="eastAsia" w:ascii="仿宋_GB2312" w:hAnsi="仿宋_GB2312" w:eastAsia="仿宋_GB2312" w:cs="仿宋_GB2312"/>
          <w:b/>
          <w:sz w:val="96"/>
          <w:szCs w:val="96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96"/>
          <w:szCs w:val="96"/>
        </w:rPr>
        <w:t>月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96"/>
          <w:szCs w:val="96"/>
        </w:rPr>
      </w:pPr>
      <w:r>
        <w:rPr>
          <w:rFonts w:hint="eastAsia" w:ascii="仿宋_GB2312" w:hAnsi="仿宋_GB2312" w:eastAsia="仿宋_GB2312" w:cs="仿宋_GB2312"/>
          <w:b/>
          <w:sz w:val="96"/>
          <w:szCs w:val="96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96"/>
          <w:szCs w:val="96"/>
        </w:rPr>
        <w:t>报</w:t>
      </w:r>
    </w:p>
    <w:p>
      <w:pPr>
        <w:tabs>
          <w:tab w:val="left" w:pos="5821"/>
        </w:tabs>
        <w:spacing w:line="360" w:lineRule="auto"/>
        <w:jc w:val="left"/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  <w:t xml:space="preserve">             </w:t>
      </w:r>
    </w:p>
    <w:p>
      <w:pPr>
        <w:tabs>
          <w:tab w:val="left" w:pos="5821"/>
        </w:tabs>
        <w:spacing w:line="360" w:lineRule="auto"/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  <w:t xml:space="preserve"> 总监理工程师: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</w:p>
    <w:p>
      <w:pPr>
        <w:pStyle w:val="21"/>
        <w:ind w:left="0" w:leftChars="0" w:firstLine="2240" w:firstLineChars="8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常州正衡电力工程监理有限公司</w:t>
      </w:r>
    </w:p>
    <w:p>
      <w:pPr>
        <w:ind w:firstLine="2100" w:firstLineChars="750"/>
        <w:jc w:val="both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永靖县“十四五"盐锅峡光伏发电项目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</w:pPr>
      <w:r>
        <w:rPr>
          <w:rFonts w:hint="default" w:ascii="仿宋_GB2312" w:hAnsi="仿宋_GB2312" w:eastAsia="仿宋_GB2312" w:cs="仿宋_GB2312"/>
          <w:b/>
          <w:sz w:val="28"/>
          <w:szCs w:val="28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日期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  <w:t>:202</w:t>
      </w:r>
      <w:r>
        <w:rPr>
          <w:rFonts w:hint="default" w:ascii="仿宋_GB2312" w:hAnsi="仿宋_GB2312" w:eastAsia="仿宋_GB2312" w:cs="仿宋_GB2312"/>
          <w:b/>
          <w:sz w:val="28"/>
          <w:szCs w:val="28"/>
          <w:lang w:val="en-US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/>
        </w:rPr>
        <w:t>月25日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lang w:val="en-US"/>
        </w:rPr>
        <w:t xml:space="preserve">           </w:t>
      </w:r>
    </w:p>
    <w:p>
      <w:pPr>
        <w:widowControl/>
        <w:ind w:firstLine="2891" w:firstLineChars="800"/>
        <w:jc w:val="left"/>
        <w:rPr>
          <w:rFonts w:hint="eastAsia" w:ascii="仿宋_GB2312" w:hAnsi="仿宋_GB2312" w:eastAsia="仿宋_GB2312" w:cs="仿宋_GB2312"/>
          <w:b/>
          <w:sz w:val="36"/>
          <w:szCs w:val="15"/>
        </w:rPr>
      </w:pPr>
      <w:r>
        <w:rPr>
          <w:rFonts w:hint="eastAsia" w:ascii="仿宋_GB2312" w:hAnsi="仿宋_GB2312" w:eastAsia="仿宋_GB2312" w:cs="仿宋_GB2312"/>
          <w:b/>
          <w:sz w:val="36"/>
          <w:szCs w:val="15"/>
        </w:rPr>
        <w:t>监  理  月  报</w:t>
      </w:r>
    </w:p>
    <w:tbl>
      <w:tblPr>
        <w:tblStyle w:val="12"/>
        <w:tblW w:w="9300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33" w:type="dxa"/>
            <w:noWrap w:val="0"/>
            <w:vAlign w:val="center"/>
          </w:tcPr>
          <w:p>
            <w:pPr>
              <w:pStyle w:val="29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一丶项目概况</w:t>
            </w:r>
          </w:p>
        </w:tc>
        <w:tc>
          <w:tcPr>
            <w:tcW w:w="8467" w:type="dxa"/>
            <w:noWrap w:val="0"/>
            <w:vAlign w:val="center"/>
          </w:tcPr>
          <w:p>
            <w:pPr>
              <w:spacing w:line="360" w:lineRule="auto"/>
              <w:ind w:firstLine="315" w:firstLineChars="15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</w:rPr>
              <w:t>丶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本项目位于甘肃省临夏回族自治州永靖县境内。属温带半干旱气候，冬无严寒，夏无酷暑，四季分明。年平均水平面太阳辐射总量 1591.7kWh/m2 ,年均气温 9.8℃。拟建项目地貌类型主要为高山地。本项目场址太阳能资源丰富，场地地形地貌条件属于复杂山地类型。项目地理位置经纬度坐标北纬 36.1°，东经 103.3°。新建一座 330kV 汇集站；本期以一回 330kV 线路送出接至 330kV 新庄变，线路长度约20 公里。</w:t>
            </w:r>
          </w:p>
          <w:p>
            <w:pPr>
              <w:spacing w:line="360" w:lineRule="auto"/>
              <w:ind w:firstLine="384" w:firstLineChars="183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工程一期260MW光伏项目，交流侧容量260MW，直流侧容量320.0054MWp。共采用581828块550Wp单晶硅双面电池组件，包括光伏发电系统以及相应的配套并网设施。项目按照15%比例配置39MW/156MWh储能。最终通过一座330kV汇集站外送330kV 线路接入当地国家电网。据光伏方阵的布置情况，共设置119个发电单元。每个发电单元通过1台箱式升压变升压至35kV。各发电单元汇集后，通过9回35kV集电线路接至330kV汇集站35kV母线。 本工程推荐采用分块发电、集中并网方案。光伏组件排列主要采用竖向 2×13 矩阵， 光伏阵列采用固定倾角 25°。同时在场区内选取两块典型地形布置柔性支架及平单轴跟 踪支架。本工程新建一座 330kV 汇集站，通过一回 330kV 线路接入 330kV 新庄变。</w:t>
            </w:r>
          </w:p>
          <w:p>
            <w:pPr>
              <w:pStyle w:val="2"/>
              <w:ind w:left="0" w:leftChars="0" w:firstLine="315" w:firstLineChars="1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>丶参建单位</w:t>
            </w:r>
          </w:p>
          <w:p>
            <w:pPr>
              <w:spacing w:line="360" w:lineRule="auto"/>
              <w:ind w:left="563" w:leftChars="268" w:firstLine="2" w:firstLineChars="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建设单位：甘肃刘家峡浩博新能源有限公司  </w:t>
            </w:r>
          </w:p>
          <w:p>
            <w:pPr>
              <w:spacing w:line="360" w:lineRule="auto"/>
              <w:ind w:left="563" w:leftChars="268" w:firstLine="2" w:firstLineChars="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设计单位：中机国能电力工程有限公司     </w:t>
            </w:r>
          </w:p>
          <w:p>
            <w:pPr>
              <w:spacing w:line="360" w:lineRule="auto"/>
              <w:ind w:left="563" w:leftChars="268" w:firstLine="2" w:firstLineChars="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总包单位：上海电力建设有限责任公司 </w:t>
            </w:r>
          </w:p>
          <w:p>
            <w:pPr>
              <w:pStyle w:val="4"/>
              <w:ind w:firstLine="550" w:firstLineChars="25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监理单位：常州正衡工程监理有限公司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</w:rPr>
        <w:t>二、材料设备到货</w:t>
      </w:r>
    </w:p>
    <w:tbl>
      <w:tblPr>
        <w:tblStyle w:val="11"/>
        <w:tblW w:w="9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550"/>
        <w:gridCol w:w="1238"/>
        <w:gridCol w:w="1445"/>
        <w:gridCol w:w="1389"/>
        <w:gridCol w:w="1477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73" w:type="dxa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550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  <w:t>设备名称</w:t>
            </w:r>
          </w:p>
        </w:tc>
        <w:tc>
          <w:tcPr>
            <w:tcW w:w="123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  <w:t>总量</w:t>
            </w:r>
          </w:p>
        </w:tc>
        <w:tc>
          <w:tcPr>
            <w:tcW w:w="144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</w:rPr>
              <w:t>本月计划</w:t>
            </w:r>
          </w:p>
        </w:tc>
        <w:tc>
          <w:tcPr>
            <w:tcW w:w="138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</w:rPr>
              <w:t>本月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  <w:t>到货</w:t>
            </w:r>
          </w:p>
        </w:tc>
        <w:tc>
          <w:tcPr>
            <w:tcW w:w="147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</w:rPr>
              <w:t>累计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  <w:lang w:val="en-US" w:eastAsia="zh-CN"/>
              </w:rPr>
              <w:t>到货</w:t>
            </w:r>
          </w:p>
        </w:tc>
        <w:tc>
          <w:tcPr>
            <w:tcW w:w="137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2"/>
                <w:szCs w:val="22"/>
              </w:rPr>
              <w:t>下月计划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40"/>
                <w:szCs w:val="4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HPB直径8mmE钢筋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31.46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31.46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u w:val="singl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HRB直径10mmE钢筋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0.2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0.2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03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HPB直径12mmE钢筋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u w:val="none"/>
                <w:lang w:val="en-US"/>
              </w:rPr>
              <w:t>0.34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u w:val="none"/>
                <w:lang w:val="en-US"/>
              </w:rPr>
              <w:t>0.34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04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HPB直径14mmE钢筋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0.83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0.83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05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HPB直径16mmE钢筋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3.93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3.93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06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HPB直径18mmE钢筋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7.99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7.99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07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HRB直径18mmE钢筋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24.97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24.97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08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HRB直径20mmE钢筋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12.01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12.01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09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/>
              </w:rPr>
              <w:t>HRB直径22mmE钢筋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/>
              </w:rPr>
              <w:t>11.59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/>
              </w:rPr>
              <w:t>11.59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10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</w:rPr>
              <w:t>镀锌扁铁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  <w:lang w:val="en-US"/>
              </w:rPr>
              <w:t>(吨)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/>
              </w:rPr>
              <w:t>124.7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11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</w:rPr>
              <w:t>地脚螺栓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  <w:lang w:val="en-US"/>
              </w:rPr>
              <w:t>(套)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/>
              </w:rPr>
              <w:t>896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896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12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u w:val="none"/>
              </w:rPr>
              <w:t>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</w:rPr>
              <w:t>伏区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u w:val="none"/>
              </w:rPr>
              <w:t>支架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u w:val="none"/>
                <w:lang w:val="en-US"/>
              </w:rPr>
              <w:t>(组)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22114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2100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13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u w:val="none"/>
              </w:rPr>
              <w:t>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</w:rPr>
              <w:t>伏区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  <w:szCs w:val="22"/>
                <w:u w:val="none"/>
              </w:rPr>
              <w:t>组件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sz w:val="22"/>
                <w:szCs w:val="22"/>
                <w:u w:val="none"/>
                <w:lang w:val="en-US"/>
              </w:rPr>
              <w:t>(块)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/>
              </w:rPr>
              <w:t>581828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14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/>
              </w:rPr>
              <w:t>石灰(吨)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u w:val="none"/>
                <w:lang w:val="en-US"/>
              </w:rPr>
              <w:t>10350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u w:val="none"/>
                <w:lang w:val="en-US"/>
              </w:rPr>
              <w:t>10350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FF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3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  <w:lang w:val="en-US"/>
              </w:rPr>
              <w:t>15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土木格栅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(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m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)</w:t>
            </w: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u w:val="none"/>
                <w:lang w:val="en-US"/>
              </w:rPr>
              <w:t>10500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</w:tr>
    </w:tbl>
    <w:tbl>
      <w:tblPr>
        <w:tblStyle w:val="11"/>
        <w:tblpPr w:leftFromText="180" w:rightFromText="180" w:vertAnchor="text" w:horzAnchor="page" w:tblpX="1805" w:tblpY="522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337"/>
        <w:gridCol w:w="1200"/>
        <w:gridCol w:w="1278"/>
        <w:gridCol w:w="1545"/>
        <w:gridCol w:w="126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8"/>
                <w:tab w:val="center" w:pos="1251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总工程量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本月计划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累计完成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下月计划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3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道路工程（公里）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65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422" w:firstLineChars="200"/>
              <w:rPr>
                <w:rFonts w:hint="default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20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65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ind w:firstLine="211" w:firstLineChars="100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光伏区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基础桩浇筑砼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(根)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221140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21140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21140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201" w:firstLineChars="10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221140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光伏区支架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(组)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22114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5%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1.37%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301" w:firstLineChars="150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光伏区组件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(块)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581828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  <w:u w:val="none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none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u w:val="none"/>
          <w:lang w:val="en-US" w:eastAsia="zh-CN"/>
        </w:rPr>
        <w:t>工程形象进度（根据工程进度表填写）</w:t>
      </w:r>
    </w:p>
    <w:tbl>
      <w:tblPr>
        <w:tblStyle w:val="11"/>
        <w:tblpPr w:leftFromText="180" w:rightFromText="180" w:vertAnchor="text" w:horzAnchor="page" w:tblpX="1825" w:tblpY="41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90"/>
        <w:gridCol w:w="1245"/>
        <w:gridCol w:w="1290"/>
        <w:gridCol w:w="1500"/>
        <w:gridCol w:w="130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/>
                <w:lang w:val="en-US"/>
              </w:rPr>
            </w:pPr>
            <w:bookmarkStart w:id="0" w:name="_Toc41397247"/>
            <w:bookmarkStart w:id="1" w:name="_Toc112759662"/>
            <w:r>
              <w:rPr>
                <w:rFonts w:hint="eastAsia" w:ascii="仿宋_GB2312" w:hAnsi="仿宋_GB2312" w:eastAsia="仿宋_GB2312" w:cs="仿宋_GB2312"/>
                <w:b/>
                <w:bCs/>
                <w:lang w:val="en-US"/>
              </w:rPr>
              <w:t>33KV升压站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开挖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(m3)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225524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201" w:firstLineChars="100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225524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灰土挤密桩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(根)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35847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30%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18.89%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84.66%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主控通信楼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垫层丶基础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丶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基础砼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基础砼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垫层丶基础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主体竣工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主変二次室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垫层丶基础丶墙身顶板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墙身顶板筋模板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墙身顶板筋模板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垫层丶基础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墙身顶板及回填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事故油池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垫层丶筏板剪力墙顶板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筏板砼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筏板砼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剪力墙顶板砼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配电及构架装置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垫层丶基础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垫层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基础钢筋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模板丶砼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挡墙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(m3)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土木格栅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(m2)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排水沟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(m)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/>
              </w:rPr>
              <w:t>30KV送出线路工程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塔基基础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(个)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422" w:firstLineChars="200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25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0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丶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监理重点工作情况</w:t>
      </w:r>
    </w:p>
    <w:tbl>
      <w:tblPr>
        <w:tblStyle w:val="12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57"/>
        <w:gridCol w:w="3881"/>
        <w:gridCol w:w="3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事项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本月重点工作情况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协调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组织工作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组织召开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监理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例会和工地安全例会3次，并形成会议纪要。</w:t>
            </w:r>
          </w:p>
          <w:p>
            <w:pPr>
              <w:pStyle w:val="2"/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每周一组织对施工现场进行安全大检查。</w:t>
            </w:r>
          </w:p>
          <w:p>
            <w:pPr>
              <w:pStyle w:val="2"/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  <w:t>组织召开安全警示教育会议。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召开工地例会和安全工地例会，督促施工单位做好工程质量和安全自查工作，资料报验的问题，定期组织对施工现场进行安全大检查。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监理进度控制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>监理机构应督促承包人做好施工组织管理，确保施工资源的投入，并按批准的施工进度计划实施。监理机构应做好实际工程进度记录以及承包人每日的施工设备、人员、原材料的进场记录，并审核承包人的同期记录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 xml:space="preserve">  监理对施工进度计划的实施全过程，包括施工准备、施工条件和进度计划的实施情况，进行定期检查，对实际施工进度进行分析和评价，对关键节点的进度实施重点跟踪检查。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</w:rPr>
              <w:t xml:space="preserve">  监理应根据施工进度计划，协调有关参建各方之间的关系，定期召开生产协调会议，及时发现、解决影响工程进度的干扰因素，促进施工项目的顺利进展。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3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人员分工明确,责任到人,层层把关,施工进度定周丶天,实行进度计划与实际相比较,出现偏差及时处理.解决好各工序交叉作业协调问题,合理利用各种资源.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质量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设备交付进度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支架、组件、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消防器材进场检查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基本满足工程进度。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做好材料进场验收工作，并做好开箱检查记录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下月需要到贷的设备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设计交付进度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图纸满足工程进度要求。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下月需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全部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交付文件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质量体系运作情况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质量体系健全运行良好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严把质量关，并认真做好每次质检记录，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并对运行情况进行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跟踪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检查落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实质量保证体系，并对运行情况进行检查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施工图会审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ind w:firstLine="630" w:firstLineChars="3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己会审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ind w:firstLine="735" w:firstLineChars="35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已完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设计交底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ind w:firstLine="735" w:firstLineChars="35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己交底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ind w:firstLine="945" w:firstLineChars="45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己完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方案审查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330kv升压站及线路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方案已审查完成，集电线路部分方案已审查完成。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监督施工单位完善工程资料，对施工单位的技术措施、大型机械、特殊工种、管理体系运转情况等进行审查。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(拟对重点工作方案审查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技术交底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新进场人员人员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进行技术交底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,检查是否按施工方案及技术交底施工,进场材料设备及时捉供厂家质检报告及资质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对关键工序及关键部位质量方面技术交底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,由施工方组织,业主及监理参加并签字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设计变更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ind w:firstLine="1470" w:firstLineChars="70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踉踪控制执行设计变更,并做好设计变更工程量统计。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安全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990"/>
              </w:tabs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安全活动开展情况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监理项目部每周召安全工地例会和组织对施工现场进行安全大检查，宣传遵守安全生产法，每日光伏区升压站及线路现场进行安全巡查。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继续开展安全文明施工教育，监督做好用火、用电，组织安全活动等工作。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拟监理部组织安全培训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安全交底情况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对新进场所有人员和特种作业人员进行了安全教育培训和安全技术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继续督促施工单位进行班前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技术、安全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拟对交全重点部位组织交底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安全措施落实情况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要求各施工区域五图一牌、防护栏杆、安全警示标志安装到位，施工现场灭火器等必须配备齐全。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安全措施基本可控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持续进行防火、防触电、消防等措施、杜绝意外发生。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监督施工单位认真落实安全措施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安全文明施工情况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现场安全文明施工检查，本项目施工现场安全文明措施已逐渐完善，施工现场安全警示标语及岗位职责牌已基本齐全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安全文明施工基本可控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加强现场安全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巡查，落实安全文明施工，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加强施工现场的监管力度，确保整个项目安全高效的进行。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质量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主要工序质量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质量处于受控状态，原材料进场进行见证取样复检检测全部合格。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可控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督促各单位做好自检工作和工序报验，把好质量关。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加强工序质量控制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钢筋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原材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、混凝土试块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、高强度螺母等见证取样及送检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塔基基础桩混凝土试块见证并送检。</w:t>
            </w:r>
          </w:p>
          <w:p>
            <w:pPr>
              <w:pStyle w:val="2"/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塔基基础钢筋丶镀锌扁铁丶地脚螺栓等见证取样并送检。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3丶对升压站灰土挤密桩进场石灰</w:t>
            </w:r>
            <w:r>
              <w:rPr>
                <w:rFonts w:hint="eastAsia" w:ascii="仿宋_GB2312" w:hAnsi="仿宋_GB2312" w:eastAsia="仿宋_GB2312" w:cs="仿宋_GB2312"/>
                <w:sz w:val="21"/>
                <w:szCs w:val="20"/>
                <w:lang w:val="en-US" w:eastAsia="zh-CN"/>
              </w:rPr>
              <w:t>见证取样并送检。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加强对进场材料方面质量控制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构（配）件质量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ind w:firstLine="630" w:firstLineChars="300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质量合格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符合要求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加强对进场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构（配）件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设备质量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所有进场设备质量符合设计规范要求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及时做好进场设备报验、开箱检查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质量验评情况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按施工单位验评划分进行检查、验收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对以完成检验批分项分部单位工程验收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投资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资金情况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  <w:t xml:space="preserve">            /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  <w:t xml:space="preserve">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款项支付情况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ind w:firstLine="1440" w:firstLineChars="600"/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 w:eastAsia="zh-CN"/>
              </w:rPr>
              <w:t>/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 xml:space="preserve">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预算外签证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  <w:t xml:space="preserve">            /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 xml:space="preserve">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合同</w:t>
            </w:r>
            <w:r>
              <w:rPr>
                <w:rFonts w:hint="default" w:ascii="仿宋_GB2312" w:hAnsi="仿宋_GB2312" w:eastAsia="仿宋_GB2312" w:cs="仿宋_GB2312"/>
                <w:color w:val="000000"/>
                <w:szCs w:val="18"/>
                <w:lang w:val="en-US"/>
              </w:rPr>
              <w:t xml:space="preserve">    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合同签订情况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ind w:firstLine="525" w:firstLineChars="25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施工合同已签订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2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 xml:space="preserve">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合同执行情况</w:t>
            </w:r>
          </w:p>
        </w:tc>
        <w:tc>
          <w:tcPr>
            <w:tcW w:w="3881" w:type="dxa"/>
            <w:noWrap w:val="0"/>
            <w:vAlign w:val="center"/>
          </w:tcPr>
          <w:p>
            <w:pPr>
              <w:ind w:firstLine="1050" w:firstLineChars="5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0"/>
              </w:rPr>
              <w:t>良好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ind w:firstLine="660" w:firstLineChars="300"/>
              <w:rPr>
                <w:rFonts w:hint="default" w:ascii="仿宋_GB2312" w:hAnsi="仿宋_GB2312" w:eastAsia="仿宋_GB2312" w:cs="仿宋_GB2312"/>
                <w:color w:val="000000"/>
                <w:sz w:val="22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1"/>
                <w:lang w:val="en-US"/>
              </w:rPr>
              <w:t xml:space="preserve">         /</w:t>
            </w:r>
          </w:p>
        </w:tc>
      </w:tr>
    </w:tbl>
    <w:p>
      <w:pPr>
        <w:pStyle w:val="31"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安全文明施工情况</w:t>
      </w:r>
    </w:p>
    <w:tbl>
      <w:tblPr>
        <w:tblStyle w:val="12"/>
        <w:tblW w:w="9337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69"/>
        <w:gridCol w:w="969"/>
        <w:gridCol w:w="1245"/>
        <w:gridCol w:w="692"/>
        <w:gridCol w:w="980"/>
        <w:gridCol w:w="944"/>
        <w:gridCol w:w="1062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153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事故（起）</w:t>
            </w:r>
          </w:p>
        </w:tc>
        <w:tc>
          <w:tcPr>
            <w:tcW w:w="1245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编制安全策划文件（份）</w:t>
            </w:r>
          </w:p>
        </w:tc>
        <w:tc>
          <w:tcPr>
            <w:tcW w:w="692" w:type="dxa"/>
            <w:vMerge w:val="restar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施工人数</w:t>
            </w:r>
          </w:p>
        </w:tc>
        <w:tc>
          <w:tcPr>
            <w:tcW w:w="4247" w:type="dxa"/>
            <w:gridSpan w:val="4"/>
            <w:noWrap w:val="0"/>
            <w:vAlign w:val="top"/>
          </w:tcPr>
          <w:p>
            <w:pPr>
              <w:spacing w:line="360" w:lineRule="auto"/>
              <w:ind w:firstLine="735" w:firstLineChars="350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安全分包情况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6"/>
              </w:rPr>
              <w:t>人身重伤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6"/>
              </w:rPr>
              <w:t>机械设备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6"/>
              </w:rPr>
              <w:t>电网事故</w:t>
            </w:r>
          </w:p>
        </w:tc>
        <w:tc>
          <w:tcPr>
            <w:tcW w:w="1245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</w:p>
        </w:tc>
        <w:tc>
          <w:tcPr>
            <w:tcW w:w="692" w:type="dxa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6"/>
              </w:rPr>
              <w:t>分包队伍数量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6"/>
              </w:rPr>
              <w:t>分包队伍人数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6"/>
              </w:rPr>
              <w:t>系统外包队伍数量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6"/>
              </w:rPr>
              <w:t>系统外队伍人数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15" w:type="dxa"/>
            <w:noWrap w:val="0"/>
            <w:vAlign w:val="top"/>
          </w:tcPr>
          <w:p>
            <w:pPr>
              <w:spacing w:line="360" w:lineRule="auto"/>
              <w:ind w:firstLine="525" w:firstLineChars="250"/>
              <w:jc w:val="both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/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ind w:firstLine="360" w:firstLineChars="15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  <w:t>/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ind w:firstLine="240" w:firstLineChars="10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  <w:t>/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60" w:lineRule="auto"/>
              <w:ind w:firstLine="315" w:firstLineChars="150"/>
              <w:jc w:val="lef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0</w:t>
            </w:r>
          </w:p>
        </w:tc>
        <w:tc>
          <w:tcPr>
            <w:tcW w:w="69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spacing w:line="360" w:lineRule="auto"/>
              <w:ind w:firstLine="315" w:firstLineChars="150"/>
              <w:jc w:val="lef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spacing w:line="360" w:lineRule="auto"/>
              <w:ind w:firstLine="210" w:firstLineChars="100"/>
              <w:jc w:val="lef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120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  <w:t xml:space="preserve">   0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ind w:firstLine="400" w:firstLineChars="200"/>
              <w:rPr>
                <w:rFonts w:hint="default"/>
                <w:b w:val="0"/>
                <w:bCs w:val="0"/>
                <w:sz w:val="20"/>
                <w:szCs w:val="21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1"/>
                <w:lang w:val="en-US"/>
              </w:rPr>
              <w:t>0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</w:tc>
      </w:tr>
    </w:tbl>
    <w:p>
      <w:pPr>
        <w:pStyle w:val="31"/>
        <w:numPr>
          <w:ilvl w:val="0"/>
          <w:numId w:val="0"/>
        </w:numPr>
        <w:spacing w:before="156" w:beforeLines="50" w:after="156" w:afterLines="50" w:line="360" w:lineRule="auto"/>
        <w:ind w:leftChars="-170" w:firstLine="480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施工重点工作情况</w:t>
      </w:r>
    </w:p>
    <w:tbl>
      <w:tblPr>
        <w:tblStyle w:val="12"/>
        <w:tblW w:w="9283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402"/>
        <w:gridCol w:w="4437"/>
        <w:gridCol w:w="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</w:rPr>
              <w:t>专业</w:t>
            </w:r>
          </w:p>
        </w:tc>
        <w:tc>
          <w:tcPr>
            <w:tcW w:w="3402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</w:rPr>
              <w:t>本月重点工作情况</w:t>
            </w:r>
          </w:p>
        </w:tc>
        <w:tc>
          <w:tcPr>
            <w:tcW w:w="451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</w:rPr>
              <w:t>下月重点工作计划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进度管理</w:t>
            </w:r>
          </w:p>
        </w:tc>
        <w:tc>
          <w:tcPr>
            <w:tcW w:w="340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组织业主单位及施工单位对现场工作量统计与进度计划比较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,并调整进度计划</w:t>
            </w:r>
          </w:p>
        </w:tc>
        <w:tc>
          <w:tcPr>
            <w:tcW w:w="4514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根据进度调整计划时间,督促施工单位施工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安全管理</w:t>
            </w:r>
          </w:p>
        </w:tc>
        <w:tc>
          <w:tcPr>
            <w:tcW w:w="3402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督促施工单位报审《安全文明施工管理制度》，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安委会要定期对现场进行安全检查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； 对施工人员进行安全培训、考试，提高作业人员安全防范意识，落实安全文明施工措施。</w:t>
            </w:r>
          </w:p>
        </w:tc>
        <w:tc>
          <w:tcPr>
            <w:tcW w:w="451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审查施工项目部&lt;&lt;安全文明措施&gt;&gt;及施工项目部施工安全管理人员、特殊工种、特殊作业人员资格证明文件，实施安全监理，发现问题及时提出整改要求并限期改正。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质量管理</w:t>
            </w:r>
          </w:p>
        </w:tc>
        <w:tc>
          <w:tcPr>
            <w:tcW w:w="3402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设备及材料到场进行检查验收；单位工程重点部位施工进行旁站；督促施工单位质量通病防治措施；监督施工项目部落实强制性条文的执行计划。</w:t>
            </w:r>
          </w:p>
        </w:tc>
        <w:tc>
          <w:tcPr>
            <w:tcW w:w="451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督促施工单位按照施工工艺和设计要求及规范验标要求进行施工。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技术管理</w:t>
            </w:r>
          </w:p>
        </w:tc>
        <w:tc>
          <w:tcPr>
            <w:tcW w:w="3402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针对当前工作任务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,认其查对施工图纸和规范,做到心中有数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51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参与过程中重要（关键）环节的施工技术交底会，监督检查执行情况。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造价管理</w:t>
            </w:r>
          </w:p>
        </w:tc>
        <w:tc>
          <w:tcPr>
            <w:tcW w:w="3402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对施工单位工程预付款审核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51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按照现场实际工程量审核工程进度款。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8"/>
              </w:rPr>
              <w:t>物资供应</w:t>
            </w:r>
          </w:p>
        </w:tc>
        <w:tc>
          <w:tcPr>
            <w:tcW w:w="3402" w:type="dxa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供用计划与施工进度一致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,库存教量满足现场施工要求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51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严格执行验收程序对进场物资试验验证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,严禁质量不合格物资进场,全面做好质量控制是关键环节和起点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367" w:type="dxa"/>
            <w:noWrap w:val="0"/>
            <w:vAlign w:val="center"/>
          </w:tcPr>
          <w:p>
            <w:pPr>
              <w:pStyle w:val="29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强制性条文执行情况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pStyle w:val="30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亓展质量强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制性条文管理检查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,对照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制性条文执行计划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,及时梳理和更新问题库,做好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制性条文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问题分析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闭合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管理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367" w:type="dxa"/>
            <w:noWrap w:val="0"/>
            <w:vAlign w:val="center"/>
          </w:tcPr>
          <w:p>
            <w:pPr>
              <w:pStyle w:val="29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需业主协调的问题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/>
              </w:rPr>
              <w:t>(1)</w:t>
            </w:r>
            <w:r>
              <w:rPr>
                <w:rFonts w:hint="default" w:ascii="仿宋_GB2312" w:hAnsi="仿宋_GB2312" w:eastAsia="仿宋_GB2312" w:cs="仿宋_GB2312"/>
                <w:bCs/>
                <w:color w:val="0000FF"/>
                <w:sz w:val="21"/>
                <w:szCs w:val="22"/>
                <w:lang w:val="en-US" w:eastAsia="zh-CN"/>
              </w:rPr>
              <w:t>复垦方案盖章联系单,升压站大件运输方案未编</w:t>
            </w: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 w:eastAsia="zh-CN"/>
              </w:rPr>
              <w:t>制,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2"/>
                <w:lang w:val="en-US" w:eastAsia="zh-CN"/>
              </w:rPr>
              <w:t>（2）监理费暂未支付。</w:t>
            </w:r>
          </w:p>
          <w:p>
            <w:pPr>
              <w:pStyle w:val="30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367" w:type="dxa"/>
            <w:noWrap w:val="0"/>
            <w:vAlign w:val="center"/>
          </w:tcPr>
          <w:p>
            <w:pPr>
              <w:pStyle w:val="29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九、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施工中存在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</w:rPr>
              <w:t>的问题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bCs/>
                <w:sz w:val="21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/>
              </w:rPr>
              <w:t>(1)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2"/>
              </w:rPr>
              <w:t>升压站及线路施工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2"/>
                <w:lang w:val="en-US" w:eastAsia="zh-CN"/>
              </w:rPr>
              <w:t>施工资料报审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2"/>
              </w:rPr>
              <w:t>不及时</w:t>
            </w: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/>
              </w:rPr>
              <w:t>整改要求:正在整改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2"/>
              </w:rPr>
              <w:t>。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(2)送出线路塔基基础预埋螺栓未采取有效保护措施,</w:t>
            </w: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/>
              </w:rPr>
              <w:t>整改要求:</w:t>
            </w: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 w:eastAsia="zh-CN"/>
              </w:rPr>
              <w:t>送出线路塔基基础预埋螺栓必须采取有效保护措施</w:t>
            </w: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/>
              </w:rPr>
              <w:t>正在整改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4"/>
              </w:rPr>
              <w:t>。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_GB2312" w:hAnsi="仿宋_GB2312" w:eastAsia="仿宋_GB2312" w:cs="仿宋_GB2312"/>
                <w:bCs/>
                <w:sz w:val="21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2"/>
                <w:szCs w:val="24"/>
                <w:lang w:val="en-US"/>
              </w:rPr>
              <w:t>(3</w:t>
            </w: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/>
              </w:rPr>
              <w:t>)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2"/>
              </w:rPr>
              <w:t>升压站内业资料滞后</w:t>
            </w: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/>
              </w:rPr>
              <w:t>整改要求:内业资料必须及时便于后期竣工资料归档正在整改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2"/>
              </w:rPr>
              <w:t>。</w:t>
            </w:r>
          </w:p>
          <w:p>
            <w:pPr>
              <w:pStyle w:val="30"/>
              <w:numPr>
                <w:ilvl w:val="0"/>
                <w:numId w:val="0"/>
              </w:numPr>
              <w:ind w:leftChars="0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 w:eastAsia="zh-CN"/>
              </w:rPr>
              <w:t>(4)进场材料有未检先用现象,</w:t>
            </w: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/>
              </w:rPr>
              <w:t>整改要求:</w:t>
            </w:r>
            <w:r>
              <w:rPr>
                <w:rFonts w:hint="default" w:ascii="仿宋_GB2312" w:hAnsi="仿宋_GB2312" w:eastAsia="仿宋_GB2312" w:cs="仿宋_GB2312"/>
                <w:bCs/>
                <w:sz w:val="21"/>
                <w:szCs w:val="22"/>
                <w:lang w:val="en-US" w:eastAsia="zh-CN"/>
              </w:rPr>
              <w:t>进场材料必须先检后用有利于工程质量安全.</w:t>
            </w:r>
          </w:p>
          <w:p>
            <w:pPr>
              <w:pStyle w:val="30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367" w:type="dxa"/>
            <w:noWrap w:val="0"/>
            <w:vAlign w:val="center"/>
          </w:tcPr>
          <w:p>
            <w:pPr>
              <w:pStyle w:val="29"/>
              <w:spacing w:line="300" w:lineRule="exact"/>
              <w:ind w:firstLine="100" w:firstLineChars="5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本月大事件</w:t>
            </w:r>
          </w:p>
        </w:tc>
        <w:tc>
          <w:tcPr>
            <w:tcW w:w="7916" w:type="dxa"/>
            <w:gridSpan w:val="3"/>
            <w:noWrap w:val="0"/>
            <w:vAlign w:val="center"/>
          </w:tcPr>
          <w:p>
            <w:pPr>
              <w:pStyle w:val="30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sz w:val="22"/>
                <w:szCs w:val="1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集电线路开工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30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建设单位副总组织夏季送清凉活动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30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兰州国网运检单位人员进行安全技术交底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30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县委书记一行在汇集站施工现场指导工作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1604" w:hRule="atLeast"/>
        </w:trPr>
        <w:tc>
          <w:tcPr>
            <w:tcW w:w="1367" w:type="dxa"/>
            <w:noWrap w:val="0"/>
            <w:vAlign w:val="center"/>
          </w:tcPr>
          <w:p>
            <w:pPr>
              <w:pStyle w:val="29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十三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下月监理工作重点</w:t>
            </w:r>
          </w:p>
        </w:tc>
        <w:tc>
          <w:tcPr>
            <w:tcW w:w="7839" w:type="dxa"/>
            <w:gridSpan w:val="2"/>
            <w:noWrap w:val="0"/>
            <w:vAlign w:val="center"/>
          </w:tcPr>
          <w:tbl>
            <w:tblPr>
              <w:tblStyle w:val="11"/>
              <w:tblW w:w="9107" w:type="dxa"/>
              <w:tblInd w:w="-29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1" w:hRule="atLeast"/>
              </w:trPr>
              <w:tc>
                <w:tcPr>
                  <w:tcW w:w="9107" w:type="dxa"/>
                  <w:noWrap w:val="0"/>
                  <w:vAlign w:val="top"/>
                </w:tcPr>
                <w:p>
                  <w:pPr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8"/>
                      <w:lang w:val="en-US" w:eastAsia="zh-CN"/>
                    </w:rPr>
                    <w:t xml:space="preserve">1 </w:t>
                  </w:r>
                  <w:r>
                    <w:rPr>
                      <w:rFonts w:hint="default" w:ascii="仿宋_GB2312" w:hAnsi="仿宋_GB2312" w:eastAsia="仿宋_GB2312" w:cs="仿宋_GB2312"/>
                      <w:sz w:val="24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  <w:t>1、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  <w:lang w:val="en-US" w:eastAsia="zh-CN"/>
                    </w:rPr>
                    <w:t>安全文明施工常态化管理。</w:t>
                  </w:r>
                </w:p>
                <w:p>
                  <w:pPr>
                    <w:spacing w:line="360" w:lineRule="auto"/>
                    <w:jc w:val="left"/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  <w:t xml:space="preserve">2 </w:t>
                  </w:r>
                  <w:r>
                    <w:rPr>
                      <w:rFonts w:hint="default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  <w:t>2 、加强施工现场质量、安全巡视检查工作。</w:t>
                  </w:r>
                </w:p>
                <w:p>
                  <w:pPr>
                    <w:pStyle w:val="5"/>
                    <w:spacing w:line="360" w:lineRule="auto"/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8"/>
                      <w:lang w:val="en-US" w:eastAsia="zh-CN"/>
                    </w:rPr>
                    <w:t xml:space="preserve">3 </w:t>
                  </w:r>
                  <w:r>
                    <w:rPr>
                      <w:rFonts w:hint="default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  <w:t>3、对进场材料见证取样送检</w:t>
                  </w:r>
                  <w:r>
                    <w:rPr>
                      <w:rFonts w:hint="default" w:ascii="仿宋_GB2312" w:hAnsi="仿宋_GB2312" w:eastAsia="仿宋_GB2312" w:cs="仿宋_GB2312"/>
                      <w:sz w:val="22"/>
                      <w:szCs w:val="24"/>
                      <w:lang w:val="en-US" w:eastAsia="zh-CN"/>
                    </w:rPr>
                    <w:t>,对进场材料及设备开箱验收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  <w:lang w:val="en-US" w:eastAsia="zh-CN"/>
                    </w:rPr>
                    <w:t>。</w:t>
                  </w:r>
                </w:p>
                <w:p>
                  <w:pPr>
                    <w:spacing w:line="360" w:lineRule="auto"/>
                    <w:ind w:left="360" w:hanging="330" w:hangingChars="150"/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/>
                    </w:rPr>
                    <w:t>4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hint="default" w:ascii="仿宋_GB2312" w:hAnsi="仿宋_GB2312" w:eastAsia="仿宋_GB2312" w:cs="仿宋_GB2312"/>
                      <w:sz w:val="24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  <w:lang w:val="en-US"/>
                    </w:rPr>
                    <w:t>4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8"/>
                      <w:lang w:val="en-US"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</w:rPr>
                    <w:t>加强隐蔽工程检查验收,认真落实影像资料留存管理,确保质量合格,使工程质量过程具有可追溯性。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360" w:hanging="330" w:hangingChars="15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2"/>
                      <w:szCs w:val="22"/>
                      <w:lang w:val="en-US" w:eastAsia="zh-CN"/>
                    </w:rPr>
                    <w:t xml:space="preserve">5 </w:t>
                  </w:r>
                  <w:r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2"/>
                      <w:szCs w:val="22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0"/>
                      <w:szCs w:val="20"/>
                      <w:lang w:val="en-US" w:eastAsia="zh-CN"/>
                    </w:rPr>
                    <w:t>5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  <w:lang w:val="en-US"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1"/>
                      <w:szCs w:val="21"/>
                      <w:lang w:val="en-US" w:eastAsia="zh-CN"/>
                    </w:rPr>
                    <w:t>文明施工和扬尘整治：按绿色施工的标准、“四节一环保”的要求，美化、亮化</w:t>
                  </w:r>
                  <w:r>
                    <w:rPr>
                      <w:rFonts w:hint="default" w:ascii="仿宋_GB2312" w:hAnsi="仿宋_GB2312" w:eastAsia="仿宋_GB2312" w:cs="仿宋_GB2312"/>
                      <w:b w:val="0"/>
                      <w:bCs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1"/>
                      <w:szCs w:val="21"/>
                      <w:lang w:val="en-US" w:eastAsia="zh-CN"/>
                    </w:rPr>
                    <w:t>、净化施工区域，保留过程记录，填写洒水、冲洗、观测、检查等相关记录表格，使扬尘治理工作落到实处。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210" w:leftChars="100" w:firstLine="200" w:firstLineChars="100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z w:val="20"/>
                      <w:szCs w:val="21"/>
                      <w:lang w:val="en-US"/>
                    </w:rPr>
                    <w:t>6</w:t>
                  </w:r>
                  <w:r>
                    <w:rPr>
                      <w:rFonts w:hint="eastAsia" w:ascii="仿宋_GB2312" w:hAnsi="仿宋_GB2312" w:eastAsia="仿宋_GB2312" w:cs="仿宋_GB2312"/>
                      <w:sz w:val="20"/>
                      <w:szCs w:val="21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</w:rPr>
                    <w:t>严格执行监理报验程序，对验收不合格或未经验收擅自进入下一道工序,立即下发通知单并报告建设单位。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firstLine="420" w:firstLineChars="200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z w:val="21"/>
                      <w:szCs w:val="22"/>
                      <w:lang w:val="en-US"/>
                    </w:rPr>
                    <w:t>7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</w:rPr>
                    <w:t>、完善内业资料及时收集、整理、归档,确保准时、及时、齐全。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218" w:leftChars="104" w:firstLine="210" w:firstLineChars="100"/>
                    <w:textAlignment w:val="auto"/>
                    <w:rPr>
                      <w:rFonts w:hint="eastAsia" w:ascii="仿宋_GB2312" w:hAnsi="仿宋_GB2312" w:eastAsia="仿宋_GB2312" w:cs="仿宋_GB2312"/>
                      <w:sz w:val="2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  <w:lang w:val="en-US"/>
                    </w:rPr>
                    <w:t>8</w:t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2"/>
                    </w:rPr>
                    <w:t>、强化过程控制，针对上级</w:t>
                  </w:r>
                  <w:r>
                    <w:rPr>
                      <w:rFonts w:hint="eastAsia" w:ascii="仿宋_GB2312" w:hAnsi="仿宋_GB2312" w:eastAsia="仿宋_GB2312" w:cs="仿宋_GB2312"/>
                      <w:sz w:val="22"/>
                      <w:szCs w:val="24"/>
                    </w:rPr>
                    <w:t>及监理站检查问题，认真分析，举一反三，全面整改，及时回</w:t>
                  </w:r>
                  <w:r>
                    <w:rPr>
                      <w:rFonts w:hint="eastAsia" w:ascii="仿宋_GB2312" w:hAnsi="仿宋_GB2312" w:eastAsia="仿宋_GB2312" w:cs="仿宋_GB2312"/>
                      <w:sz w:val="20"/>
                      <w:szCs w:val="21"/>
                    </w:rPr>
                    <w:t>复。</w:t>
                  </w:r>
                </w:p>
                <w:p>
                  <w:pPr>
                    <w:pStyle w:val="6"/>
                    <w:rPr>
                      <w:rFonts w:hint="eastAsia" w:ascii="仿宋_GB2312" w:hAnsi="仿宋_GB2312" w:eastAsia="仿宋_GB2312" w:cs="仿宋_GB2312"/>
                      <w:sz w:val="20"/>
                      <w:szCs w:val="18"/>
                      <w:lang w:val="en-US" w:eastAsia="zh-CN"/>
                    </w:rPr>
                  </w:pPr>
                </w:p>
              </w:tc>
            </w:tr>
          </w:tbl>
          <w:p>
            <w:pPr>
              <w:pStyle w:val="30"/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十二.工程照片</w:t>
      </w:r>
      <w:bookmarkEnd w:id="0"/>
      <w:bookmarkEnd w:id="1"/>
    </w:p>
    <w:tbl>
      <w:tblPr>
        <w:tblStyle w:val="12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5035" w:type="dxa"/>
          </w:tcPr>
          <w:p>
            <w:pPr>
              <w:pStyle w:val="26"/>
              <w:widowControl/>
              <w:ind w:left="0" w:leftChars="0" w:firstLine="0" w:firstLineChars="0"/>
              <w:jc w:val="both"/>
              <w:rPr>
                <w:rFonts w:hint="default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3021330" cy="2265680"/>
                  <wp:effectExtent l="0" t="0" r="7620" b="1270"/>
                  <wp:docPr id="13" name="图片 13" descr="33ae7672bb72871a7eecfeee2288e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3ae7672bb72871a7eecfeee2288e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6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94000" cy="2294890"/>
                  <wp:effectExtent l="0" t="0" r="6350" b="10160"/>
                  <wp:docPr id="2" name="图片 2" descr="b60d939d615f5cd19c8c0d6fda0de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60d939d615f5cd19c8c0d6fda0de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29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jc w:val="both"/>
              <w:rPr>
                <w:rFonts w:hint="default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县管委会项目检查</w:t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2"/>
                <w:vertAlign w:val="baseline"/>
                <w:lang w:val="en-US" w:eastAsia="zh-CN"/>
              </w:rPr>
              <w:t>夏季送清凉活动</w:t>
            </w:r>
            <w:r>
              <w:rPr>
                <w:rFonts w:hint="default" w:ascii="仿宋_GB2312" w:hAnsi="仿宋_GB2312" w:eastAsia="仿宋_GB2312" w:cs="仿宋_GB2312"/>
                <w:sz w:val="21"/>
                <w:szCs w:val="22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5035" w:type="dxa"/>
          </w:tcPr>
          <w:p>
            <w:pPr>
              <w:pStyle w:val="26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56890" cy="2292985"/>
                  <wp:effectExtent l="0" t="0" r="10160" b="12065"/>
                  <wp:docPr id="3" name="图片 3" descr="699c0df148fbd8fdf914a5a439ff0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99c0df148fbd8fdf914a5a439ff07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90" cy="229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6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261870"/>
                  <wp:effectExtent l="0" t="0" r="1270" b="5080"/>
                  <wp:docPr id="11" name="图片 11" descr="02f0c7dd6aa6a4321be2d58ca3a19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2f0c7dd6aa6a4321be2d58ca3a197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b="206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26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集电线路开工</w:t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735" w:firstLineChars="350"/>
              <w:jc w:val="both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监理例会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781300"/>
                  <wp:effectExtent l="0" t="0" r="0" b="0"/>
                  <wp:docPr id="6" name="图片 6" descr="f780ddd94d5b5c89bc25d580053e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780ddd94d5b5c89bc25d580053e9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536825"/>
                  <wp:effectExtent l="0" t="0" r="1270" b="15875"/>
                  <wp:docPr id="7" name="图片 7" descr="440d6b3ceb65fc30b8fb7fbd9a0ba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40d6b3ceb65fc30b8fb7fbd9a0bac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53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安全检查</w:t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施工隐蔽验收</w:t>
            </w:r>
          </w:p>
        </w:tc>
      </w:tr>
    </w:tbl>
    <w:tbl>
      <w:tblPr>
        <w:tblStyle w:val="12"/>
        <w:tblpPr w:leftFromText="180" w:rightFromText="180" w:vertAnchor="text" w:horzAnchor="page" w:tblpX="1545" w:tblpY="1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862580" cy="2160270"/>
                  <wp:effectExtent l="0" t="0" r="13970" b="11430"/>
                  <wp:docPr id="4" name="图片 4" descr="2d6c644a7df6408aa71cdae9a4035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d6c644a7df6408aa71cdae9a40359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58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94000" cy="2095500"/>
                  <wp:effectExtent l="0" t="0" r="6350" b="0"/>
                  <wp:docPr id="5" name="图片 5" descr="8be0bd442f2a97f0533450d76cf22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be0bd442f2a97f0533450d76cf225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105" w:firstLineChars="50"/>
              <w:jc w:val="both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地基验槽</w:t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运检中心安全技术交底</w:t>
            </w:r>
          </w:p>
        </w:tc>
      </w:tr>
    </w:tbl>
    <w:tbl>
      <w:tblPr>
        <w:tblStyle w:val="12"/>
        <w:tblpPr w:leftFromText="180" w:rightFromText="180" w:vertAnchor="text" w:horzAnchor="page" w:tblpX="1560" w:tblpY="544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48000" cy="2219960"/>
                  <wp:effectExtent l="0" t="0" r="0" b="8890"/>
                  <wp:docPr id="8" name="图片 8" descr="f0f41fbd1cba52cfe3cd579f79b19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0f41fbd1cba52cfe3cd579f79b198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1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bookmarkStart w:id="2" w:name="_GoBack"/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65425" cy="2073910"/>
                  <wp:effectExtent l="0" t="0" r="15875" b="2540"/>
                  <wp:docPr id="12" name="图片 12" descr="d2e6bbbed83961465fb686b9fb5bb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2e6bbbed83961465fb686b9fb5bb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425" cy="207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监理旁站浇筑砼</w:t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见证取样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021330" cy="2265680"/>
                  <wp:effectExtent l="0" t="0" r="7620" b="1270"/>
                  <wp:docPr id="9" name="图片 9" descr="d787d9079933bcfe5037aefa285fe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87d9079933bcfe5037aefa285fed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780030" cy="2084705"/>
                  <wp:effectExtent l="0" t="0" r="1270" b="10795"/>
                  <wp:docPr id="10" name="图片 10" descr="1dddd54ed926d6261c9cb8c0f8b8b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dddd54ed926d6261c9cb8c0f8b8bd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08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专家组现场检查</w:t>
            </w:r>
          </w:p>
        </w:tc>
        <w:tc>
          <w:tcPr>
            <w:tcW w:w="4617" w:type="dxa"/>
            <w:vAlign w:val="top"/>
          </w:tcPr>
          <w:p>
            <w:pPr>
              <w:pStyle w:val="26"/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送出线路专家论证会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4"/>
        <w:rPr>
          <w:rFonts w:hint="eastAsia" w:eastAsia="宋体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2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  <w:t xml:space="preserve">  常州正衡电力工程监理有限公司</w:t>
      </w:r>
    </w:p>
    <w:p>
      <w:pPr>
        <w:spacing w:line="360" w:lineRule="auto"/>
        <w:ind w:firstLine="330" w:firstLineChars="150"/>
        <w:jc w:val="both"/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  <w:t xml:space="preserve">                                 永靖县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十四五"盐锅峡光伏发电项目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val="en-US" w:eastAsia="zh-CN"/>
        </w:rPr>
        <w:t>监理部</w:t>
      </w:r>
    </w:p>
    <w:p>
      <w:pPr>
        <w:pStyle w:val="2"/>
        <w:spacing w:line="360" w:lineRule="auto"/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  <w:t xml:space="preserve">                                    </w:t>
      </w:r>
      <w:r>
        <w:rPr>
          <w:rFonts w:hint="default" w:ascii="仿宋_GB2312" w:hAnsi="仿宋_GB2312" w:eastAsia="仿宋_GB2312" w:cs="仿宋_GB2312"/>
          <w:sz w:val="22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  <w:t xml:space="preserve"> 年 8月 </w:t>
      </w:r>
      <w:r>
        <w:rPr>
          <w:rFonts w:hint="default" w:ascii="仿宋_GB2312" w:hAnsi="仿宋_GB2312" w:eastAsia="仿宋_GB2312" w:cs="仿宋_GB2312"/>
          <w:sz w:val="22"/>
          <w:szCs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2"/>
          <w:szCs w:val="24"/>
          <w:lang w:val="en-US" w:eastAsia="zh-CN"/>
        </w:rPr>
        <w:t xml:space="preserve"> 日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  <w:r>
      <w:rPr>
        <w:rFonts w:ascii="宋体" w:hAnsi="宋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-690245</wp:posOffset>
          </wp:positionH>
          <wp:positionV relativeFrom="paragraph">
            <wp:posOffset>-5715</wp:posOffset>
          </wp:positionV>
          <wp:extent cx="826135" cy="1057910"/>
          <wp:effectExtent l="0" t="0" r="12065" b="8890"/>
          <wp:wrapNone/>
          <wp:docPr id="1" name="图片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13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D21C7B"/>
    <w:multiLevelType w:val="singleLevel"/>
    <w:tmpl w:val="E1D21C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810CE8"/>
    <w:multiLevelType w:val="singleLevel"/>
    <w:tmpl w:val="14810CE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9DEDB5"/>
    <w:multiLevelType w:val="multilevel"/>
    <w:tmpl w:val="619DEDB5"/>
    <w:lvl w:ilvl="0" w:tentative="0">
      <w:start w:val="1"/>
      <w:numFmt w:val="decimal"/>
      <w:pStyle w:val="7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MTIzODA2N2Y4ODI2OTBkZjk4MWVjMDVmMGJkZmEifQ=="/>
  </w:docVars>
  <w:rsids>
    <w:rsidRoot w:val="00992C3B"/>
    <w:rsid w:val="000737AE"/>
    <w:rsid w:val="001A436C"/>
    <w:rsid w:val="0050693E"/>
    <w:rsid w:val="008A6BC8"/>
    <w:rsid w:val="00992C3B"/>
    <w:rsid w:val="00E00BAC"/>
    <w:rsid w:val="01CC1F6D"/>
    <w:rsid w:val="02062258"/>
    <w:rsid w:val="02767FBD"/>
    <w:rsid w:val="032B4C41"/>
    <w:rsid w:val="037F3E1C"/>
    <w:rsid w:val="03E96128"/>
    <w:rsid w:val="03F318B3"/>
    <w:rsid w:val="040A033F"/>
    <w:rsid w:val="04124375"/>
    <w:rsid w:val="043B7A3A"/>
    <w:rsid w:val="04D61FB0"/>
    <w:rsid w:val="051A7A01"/>
    <w:rsid w:val="05551D4C"/>
    <w:rsid w:val="05A147CF"/>
    <w:rsid w:val="05D73229"/>
    <w:rsid w:val="06185902"/>
    <w:rsid w:val="06D82C35"/>
    <w:rsid w:val="078D65E8"/>
    <w:rsid w:val="085476F4"/>
    <w:rsid w:val="08944CAE"/>
    <w:rsid w:val="08A22F05"/>
    <w:rsid w:val="0935797F"/>
    <w:rsid w:val="093925A9"/>
    <w:rsid w:val="093F4728"/>
    <w:rsid w:val="09C67FDC"/>
    <w:rsid w:val="09E42490"/>
    <w:rsid w:val="0A491D3D"/>
    <w:rsid w:val="0A4D7BEB"/>
    <w:rsid w:val="0A7524F4"/>
    <w:rsid w:val="0AAD65CB"/>
    <w:rsid w:val="0AC962FE"/>
    <w:rsid w:val="0B2070DB"/>
    <w:rsid w:val="0C3E55C0"/>
    <w:rsid w:val="0C4215A3"/>
    <w:rsid w:val="0C7011BB"/>
    <w:rsid w:val="0CEC54F2"/>
    <w:rsid w:val="0CEE6D01"/>
    <w:rsid w:val="0D2D77A1"/>
    <w:rsid w:val="0D7259E7"/>
    <w:rsid w:val="0D730904"/>
    <w:rsid w:val="0D7E5EF6"/>
    <w:rsid w:val="0DA4054A"/>
    <w:rsid w:val="0DE517DE"/>
    <w:rsid w:val="0E6C274F"/>
    <w:rsid w:val="0EAB7B47"/>
    <w:rsid w:val="0F1F4783"/>
    <w:rsid w:val="0F5F46FB"/>
    <w:rsid w:val="0F6C2B75"/>
    <w:rsid w:val="0FE0442B"/>
    <w:rsid w:val="10D5396B"/>
    <w:rsid w:val="11101485"/>
    <w:rsid w:val="11404615"/>
    <w:rsid w:val="11C1652D"/>
    <w:rsid w:val="121A273A"/>
    <w:rsid w:val="12C66F4B"/>
    <w:rsid w:val="132C08F3"/>
    <w:rsid w:val="1348711D"/>
    <w:rsid w:val="137A0C53"/>
    <w:rsid w:val="138916E3"/>
    <w:rsid w:val="15163978"/>
    <w:rsid w:val="159E67EC"/>
    <w:rsid w:val="15B6167C"/>
    <w:rsid w:val="15C727F2"/>
    <w:rsid w:val="16615691"/>
    <w:rsid w:val="16C9724D"/>
    <w:rsid w:val="16E120C0"/>
    <w:rsid w:val="16F90A93"/>
    <w:rsid w:val="17320C9F"/>
    <w:rsid w:val="1776517E"/>
    <w:rsid w:val="17C17442"/>
    <w:rsid w:val="17D07698"/>
    <w:rsid w:val="17D4037E"/>
    <w:rsid w:val="182B1DAE"/>
    <w:rsid w:val="18735B17"/>
    <w:rsid w:val="188C1D48"/>
    <w:rsid w:val="18950F3D"/>
    <w:rsid w:val="18C96659"/>
    <w:rsid w:val="19AD3186"/>
    <w:rsid w:val="1A0A1D08"/>
    <w:rsid w:val="1AB15B61"/>
    <w:rsid w:val="1AD7546A"/>
    <w:rsid w:val="1B04750B"/>
    <w:rsid w:val="1B890953"/>
    <w:rsid w:val="1BAB2763"/>
    <w:rsid w:val="1BE159D1"/>
    <w:rsid w:val="1C145EF7"/>
    <w:rsid w:val="1C574358"/>
    <w:rsid w:val="1CA05B4B"/>
    <w:rsid w:val="1CD001DE"/>
    <w:rsid w:val="1CD557F5"/>
    <w:rsid w:val="1CE90985"/>
    <w:rsid w:val="1D050603"/>
    <w:rsid w:val="1D104A7F"/>
    <w:rsid w:val="1D494F14"/>
    <w:rsid w:val="1D645618"/>
    <w:rsid w:val="1E0C3EA2"/>
    <w:rsid w:val="1E153ED5"/>
    <w:rsid w:val="1E581EED"/>
    <w:rsid w:val="1ECE362E"/>
    <w:rsid w:val="1F2C759A"/>
    <w:rsid w:val="1F7F74E9"/>
    <w:rsid w:val="1F835EE6"/>
    <w:rsid w:val="1FAA2F2E"/>
    <w:rsid w:val="20650850"/>
    <w:rsid w:val="20E0641D"/>
    <w:rsid w:val="21792303"/>
    <w:rsid w:val="21CC52FE"/>
    <w:rsid w:val="21FE5E18"/>
    <w:rsid w:val="223E1C1A"/>
    <w:rsid w:val="230316D2"/>
    <w:rsid w:val="234667E9"/>
    <w:rsid w:val="238F55C4"/>
    <w:rsid w:val="23E14255"/>
    <w:rsid w:val="24343FB6"/>
    <w:rsid w:val="256303DD"/>
    <w:rsid w:val="25E82E65"/>
    <w:rsid w:val="263B7063"/>
    <w:rsid w:val="268564DD"/>
    <w:rsid w:val="274A20A0"/>
    <w:rsid w:val="276D0F1D"/>
    <w:rsid w:val="28385963"/>
    <w:rsid w:val="28890250"/>
    <w:rsid w:val="28AD6DEF"/>
    <w:rsid w:val="28B46C06"/>
    <w:rsid w:val="28C0023F"/>
    <w:rsid w:val="28CE5829"/>
    <w:rsid w:val="29697BB3"/>
    <w:rsid w:val="29CF63A6"/>
    <w:rsid w:val="2A104310"/>
    <w:rsid w:val="2A73098E"/>
    <w:rsid w:val="2A843640"/>
    <w:rsid w:val="2AB22A9B"/>
    <w:rsid w:val="2AD7684A"/>
    <w:rsid w:val="2B257EB1"/>
    <w:rsid w:val="2BE53B0B"/>
    <w:rsid w:val="2C707C96"/>
    <w:rsid w:val="2C892158"/>
    <w:rsid w:val="2C994126"/>
    <w:rsid w:val="2CA66751"/>
    <w:rsid w:val="2CB537AC"/>
    <w:rsid w:val="2D173A10"/>
    <w:rsid w:val="2D332E53"/>
    <w:rsid w:val="2D5274E8"/>
    <w:rsid w:val="2D8224BA"/>
    <w:rsid w:val="2E521BE6"/>
    <w:rsid w:val="2E7A76AC"/>
    <w:rsid w:val="2EE415D2"/>
    <w:rsid w:val="2F0A2494"/>
    <w:rsid w:val="2F4C6804"/>
    <w:rsid w:val="2FCD000A"/>
    <w:rsid w:val="2FF92A53"/>
    <w:rsid w:val="30333C1B"/>
    <w:rsid w:val="3053014A"/>
    <w:rsid w:val="30893BDB"/>
    <w:rsid w:val="30A84A7B"/>
    <w:rsid w:val="31864EB8"/>
    <w:rsid w:val="344176B1"/>
    <w:rsid w:val="344F3E8C"/>
    <w:rsid w:val="34D57573"/>
    <w:rsid w:val="34F226A3"/>
    <w:rsid w:val="35762B06"/>
    <w:rsid w:val="362903AA"/>
    <w:rsid w:val="36B54FAB"/>
    <w:rsid w:val="36FB4CA4"/>
    <w:rsid w:val="37096919"/>
    <w:rsid w:val="37B3452D"/>
    <w:rsid w:val="37C92E2B"/>
    <w:rsid w:val="37D9310B"/>
    <w:rsid w:val="38665363"/>
    <w:rsid w:val="388F4A80"/>
    <w:rsid w:val="3A637D33"/>
    <w:rsid w:val="3A93699B"/>
    <w:rsid w:val="3AD311D3"/>
    <w:rsid w:val="3B047E5E"/>
    <w:rsid w:val="3B5905DD"/>
    <w:rsid w:val="3BDC573F"/>
    <w:rsid w:val="3C1F6A0E"/>
    <w:rsid w:val="3C230D64"/>
    <w:rsid w:val="3CBF3E4D"/>
    <w:rsid w:val="3D156AA1"/>
    <w:rsid w:val="3D685BD2"/>
    <w:rsid w:val="3E7C6EC8"/>
    <w:rsid w:val="3ED2074B"/>
    <w:rsid w:val="3F043581"/>
    <w:rsid w:val="3F711D25"/>
    <w:rsid w:val="404B3707"/>
    <w:rsid w:val="405A62BF"/>
    <w:rsid w:val="406371E0"/>
    <w:rsid w:val="409A4DF9"/>
    <w:rsid w:val="40B97058"/>
    <w:rsid w:val="414B68D8"/>
    <w:rsid w:val="41751D71"/>
    <w:rsid w:val="419E6103"/>
    <w:rsid w:val="41D8754B"/>
    <w:rsid w:val="41F97AAB"/>
    <w:rsid w:val="422F3346"/>
    <w:rsid w:val="431E4DCB"/>
    <w:rsid w:val="43593FED"/>
    <w:rsid w:val="439C42A3"/>
    <w:rsid w:val="43C040D4"/>
    <w:rsid w:val="43CB531A"/>
    <w:rsid w:val="43FE27CC"/>
    <w:rsid w:val="44215996"/>
    <w:rsid w:val="443D47A4"/>
    <w:rsid w:val="44464FBC"/>
    <w:rsid w:val="449C4CC6"/>
    <w:rsid w:val="44F55931"/>
    <w:rsid w:val="45334117"/>
    <w:rsid w:val="45ED1B2D"/>
    <w:rsid w:val="47427C9D"/>
    <w:rsid w:val="47BE433B"/>
    <w:rsid w:val="47C92473"/>
    <w:rsid w:val="485F2D82"/>
    <w:rsid w:val="488461B1"/>
    <w:rsid w:val="48C46BDF"/>
    <w:rsid w:val="48C61571"/>
    <w:rsid w:val="48C90212"/>
    <w:rsid w:val="494517B3"/>
    <w:rsid w:val="49620B59"/>
    <w:rsid w:val="49F73BE3"/>
    <w:rsid w:val="4A0B13BC"/>
    <w:rsid w:val="4A227A1C"/>
    <w:rsid w:val="4A2414D9"/>
    <w:rsid w:val="4A573F16"/>
    <w:rsid w:val="4ABE23E7"/>
    <w:rsid w:val="4AFE71D7"/>
    <w:rsid w:val="4AFF44E3"/>
    <w:rsid w:val="4B29317B"/>
    <w:rsid w:val="4B6F2903"/>
    <w:rsid w:val="4B951C42"/>
    <w:rsid w:val="4C36616C"/>
    <w:rsid w:val="4D1A4795"/>
    <w:rsid w:val="4D7A2BC9"/>
    <w:rsid w:val="4DDB179E"/>
    <w:rsid w:val="4DFB2B38"/>
    <w:rsid w:val="4E1C0C26"/>
    <w:rsid w:val="4E5A1C6A"/>
    <w:rsid w:val="4E7E1755"/>
    <w:rsid w:val="4EA66BA5"/>
    <w:rsid w:val="4F2C5BB0"/>
    <w:rsid w:val="4F665B59"/>
    <w:rsid w:val="4FB71E0A"/>
    <w:rsid w:val="50CB78AD"/>
    <w:rsid w:val="50E140BC"/>
    <w:rsid w:val="513B13C3"/>
    <w:rsid w:val="51945559"/>
    <w:rsid w:val="51C90220"/>
    <w:rsid w:val="52A631B4"/>
    <w:rsid w:val="52EE292E"/>
    <w:rsid w:val="53007D0E"/>
    <w:rsid w:val="53A93CBC"/>
    <w:rsid w:val="53B80593"/>
    <w:rsid w:val="53FF3DE9"/>
    <w:rsid w:val="5434042D"/>
    <w:rsid w:val="54D97D12"/>
    <w:rsid w:val="55F85EFE"/>
    <w:rsid w:val="55FB197A"/>
    <w:rsid w:val="56507B03"/>
    <w:rsid w:val="567F053C"/>
    <w:rsid w:val="56DF5F95"/>
    <w:rsid w:val="5737087F"/>
    <w:rsid w:val="57A91DDB"/>
    <w:rsid w:val="57FE16AB"/>
    <w:rsid w:val="58BA66C1"/>
    <w:rsid w:val="58D46064"/>
    <w:rsid w:val="58D8297F"/>
    <w:rsid w:val="59002BEB"/>
    <w:rsid w:val="59492393"/>
    <w:rsid w:val="59CA32FE"/>
    <w:rsid w:val="5A025787"/>
    <w:rsid w:val="5A1E5657"/>
    <w:rsid w:val="5AB669F5"/>
    <w:rsid w:val="5B506C1E"/>
    <w:rsid w:val="5B79236C"/>
    <w:rsid w:val="5BD405D3"/>
    <w:rsid w:val="5C0313DE"/>
    <w:rsid w:val="5C3F15AA"/>
    <w:rsid w:val="5D1D0534"/>
    <w:rsid w:val="5D842966"/>
    <w:rsid w:val="5D857576"/>
    <w:rsid w:val="5D975E78"/>
    <w:rsid w:val="5DBB2237"/>
    <w:rsid w:val="5DC03EA4"/>
    <w:rsid w:val="5E7A3FD6"/>
    <w:rsid w:val="5F161C33"/>
    <w:rsid w:val="5F1F7591"/>
    <w:rsid w:val="5F344D74"/>
    <w:rsid w:val="5F6720AA"/>
    <w:rsid w:val="5FA10772"/>
    <w:rsid w:val="60511B77"/>
    <w:rsid w:val="60C41A4D"/>
    <w:rsid w:val="61134A1E"/>
    <w:rsid w:val="61AC4F41"/>
    <w:rsid w:val="61BC746E"/>
    <w:rsid w:val="625701B5"/>
    <w:rsid w:val="62832BCA"/>
    <w:rsid w:val="62F319B6"/>
    <w:rsid w:val="62F97578"/>
    <w:rsid w:val="630A58E2"/>
    <w:rsid w:val="63A67C14"/>
    <w:rsid w:val="63AD3F6B"/>
    <w:rsid w:val="63B0396B"/>
    <w:rsid w:val="642A49A4"/>
    <w:rsid w:val="644E126F"/>
    <w:rsid w:val="646E3828"/>
    <w:rsid w:val="647B624F"/>
    <w:rsid w:val="647C73A2"/>
    <w:rsid w:val="64CD6CD3"/>
    <w:rsid w:val="651D22F2"/>
    <w:rsid w:val="659D0312"/>
    <w:rsid w:val="65D274DB"/>
    <w:rsid w:val="65FE01E6"/>
    <w:rsid w:val="665B55E5"/>
    <w:rsid w:val="668A5172"/>
    <w:rsid w:val="66A72B67"/>
    <w:rsid w:val="66D0508A"/>
    <w:rsid w:val="673E5E00"/>
    <w:rsid w:val="67A21D13"/>
    <w:rsid w:val="67F97D9C"/>
    <w:rsid w:val="68297376"/>
    <w:rsid w:val="685B2C04"/>
    <w:rsid w:val="6868558B"/>
    <w:rsid w:val="6871463E"/>
    <w:rsid w:val="689B2839"/>
    <w:rsid w:val="692F2582"/>
    <w:rsid w:val="69971F2B"/>
    <w:rsid w:val="6A097C3D"/>
    <w:rsid w:val="6AB5345F"/>
    <w:rsid w:val="6B032AFA"/>
    <w:rsid w:val="6B271EF6"/>
    <w:rsid w:val="6B272C8C"/>
    <w:rsid w:val="6CE871E7"/>
    <w:rsid w:val="6CFA370B"/>
    <w:rsid w:val="6D0A5DFF"/>
    <w:rsid w:val="6DA14BCE"/>
    <w:rsid w:val="6DAC43CA"/>
    <w:rsid w:val="6E353043"/>
    <w:rsid w:val="6EED46B9"/>
    <w:rsid w:val="6F4953C8"/>
    <w:rsid w:val="6F9600FD"/>
    <w:rsid w:val="6F9D506E"/>
    <w:rsid w:val="6FDA1BB9"/>
    <w:rsid w:val="709D3B68"/>
    <w:rsid w:val="71B51011"/>
    <w:rsid w:val="7204025E"/>
    <w:rsid w:val="72121874"/>
    <w:rsid w:val="727919F7"/>
    <w:rsid w:val="72A07893"/>
    <w:rsid w:val="72C11A55"/>
    <w:rsid w:val="72EB091E"/>
    <w:rsid w:val="735D4855"/>
    <w:rsid w:val="736F00C5"/>
    <w:rsid w:val="736F62C7"/>
    <w:rsid w:val="737B2CD5"/>
    <w:rsid w:val="73D70C4F"/>
    <w:rsid w:val="73DA7D66"/>
    <w:rsid w:val="73DB25AE"/>
    <w:rsid w:val="74350C83"/>
    <w:rsid w:val="74672D91"/>
    <w:rsid w:val="74980210"/>
    <w:rsid w:val="74ED1328"/>
    <w:rsid w:val="74F44970"/>
    <w:rsid w:val="75347CF7"/>
    <w:rsid w:val="754F40C2"/>
    <w:rsid w:val="75665E41"/>
    <w:rsid w:val="75667EE9"/>
    <w:rsid w:val="757513C6"/>
    <w:rsid w:val="75C53670"/>
    <w:rsid w:val="76BD6B6B"/>
    <w:rsid w:val="77460D6D"/>
    <w:rsid w:val="77784C59"/>
    <w:rsid w:val="77EF4F58"/>
    <w:rsid w:val="77F66EE7"/>
    <w:rsid w:val="77FC33AF"/>
    <w:rsid w:val="782D4305"/>
    <w:rsid w:val="7886307C"/>
    <w:rsid w:val="78DB6B2B"/>
    <w:rsid w:val="792F4CD9"/>
    <w:rsid w:val="7939449D"/>
    <w:rsid w:val="79BD2A0E"/>
    <w:rsid w:val="79E07807"/>
    <w:rsid w:val="7A0D07D1"/>
    <w:rsid w:val="7A0D129F"/>
    <w:rsid w:val="7A4B5952"/>
    <w:rsid w:val="7A712096"/>
    <w:rsid w:val="7AF12F0E"/>
    <w:rsid w:val="7B38570E"/>
    <w:rsid w:val="7B394FF2"/>
    <w:rsid w:val="7BAB2AF1"/>
    <w:rsid w:val="7BFD6F35"/>
    <w:rsid w:val="7C1B2254"/>
    <w:rsid w:val="7C887303"/>
    <w:rsid w:val="7C893253"/>
    <w:rsid w:val="7CB805A6"/>
    <w:rsid w:val="7D1C75FC"/>
    <w:rsid w:val="7D456FA2"/>
    <w:rsid w:val="7D470F6C"/>
    <w:rsid w:val="7DA33AB0"/>
    <w:rsid w:val="7DED4BF7"/>
    <w:rsid w:val="7E051515"/>
    <w:rsid w:val="7E3B04F3"/>
    <w:rsid w:val="7F163AD7"/>
    <w:rsid w:val="7F467B3C"/>
    <w:rsid w:val="7F5E415D"/>
    <w:rsid w:val="7F99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60" w:after="16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5">
    <w:name w:val="Body Text"/>
    <w:basedOn w:val="1"/>
    <w:next w:val="6"/>
    <w:qFormat/>
    <w:uiPriority w:val="0"/>
    <w:rPr>
      <w:rFonts w:ascii="宋体" w:hAnsi="宋体"/>
      <w:sz w:val="30"/>
    </w:rPr>
  </w:style>
  <w:style w:type="paragraph" w:styleId="6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Normal Indent"/>
    <w:basedOn w:val="1"/>
    <w:qFormat/>
    <w:uiPriority w:val="99"/>
    <w:pPr>
      <w:ind w:firstLine="200" w:firstLineChars="200"/>
    </w:pPr>
    <w:rPr>
      <w:rFonts w:ascii="Times New Roman" w:hAnsi="Times New Roman"/>
      <w:szCs w:val="24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首行缩进正文"/>
    <w:basedOn w:val="1"/>
    <w:qFormat/>
    <w:uiPriority w:val="0"/>
    <w:pPr>
      <w:snapToGrid w:val="0"/>
      <w:spacing w:line="360" w:lineRule="auto"/>
    </w:pPr>
    <w:rPr>
      <w:lang w:bidi="he-IL"/>
    </w:rPr>
  </w:style>
  <w:style w:type="paragraph" w:customStyle="1" w:styleId="15">
    <w:name w:val="BodyText1I"/>
    <w:basedOn w:val="16"/>
    <w:next w:val="17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16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17">
    <w:name w:val="BodyText1I2"/>
    <w:basedOn w:val="18"/>
    <w:qFormat/>
    <w:uiPriority w:val="0"/>
    <w:pPr>
      <w:ind w:firstLine="420" w:firstLineChars="200"/>
    </w:pPr>
  </w:style>
  <w:style w:type="paragraph" w:customStyle="1" w:styleId="18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9">
    <w:name w:val="引言二级条标题"/>
    <w:basedOn w:val="20"/>
    <w:next w:val="21"/>
    <w:qFormat/>
    <w:uiPriority w:val="0"/>
    <w:pPr>
      <w:tabs>
        <w:tab w:val="left" w:pos="360"/>
        <w:tab w:val="left" w:pos="1200"/>
      </w:tabs>
      <w:ind w:left="1554" w:hanging="420"/>
    </w:pPr>
    <w:rPr>
      <w:b w:val="0"/>
    </w:rPr>
  </w:style>
  <w:style w:type="paragraph" w:customStyle="1" w:styleId="20">
    <w:name w:val="引言一级条标题"/>
    <w:basedOn w:val="1"/>
    <w:next w:val="21"/>
    <w:qFormat/>
    <w:uiPriority w:val="0"/>
    <w:pPr>
      <w:widowControl/>
      <w:tabs>
        <w:tab w:val="left" w:pos="1200"/>
      </w:tabs>
      <w:ind w:left="1200" w:hanging="720"/>
    </w:pPr>
    <w:rPr>
      <w:rFonts w:eastAsia="黑体"/>
      <w:b/>
    </w:rPr>
  </w:style>
  <w:style w:type="paragraph" w:customStyle="1" w:styleId="21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2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3"/>
    <w:link w:val="9"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cs="黑体"/>
    </w:rPr>
  </w:style>
  <w:style w:type="paragraph" w:customStyle="1" w:styleId="25">
    <w:name w:val="列出段落1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26">
    <w:name w:val="列表段落7"/>
    <w:basedOn w:val="1"/>
    <w:qFormat/>
    <w:uiPriority w:val="34"/>
    <w:pPr>
      <w:ind w:firstLine="420" w:firstLineChars="200"/>
    </w:pPr>
  </w:style>
  <w:style w:type="character" w:customStyle="1" w:styleId="27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2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4162</Words>
  <Characters>4630</Characters>
  <Lines>9</Lines>
  <Paragraphs>2</Paragraphs>
  <TotalTime>6</TotalTime>
  <ScaleCrop>false</ScaleCrop>
  <LinksUpToDate>false</LinksUpToDate>
  <CharactersWithSpaces>5021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2022-12-03T10:06:00Z</dcterms:created>
  <dc:creator>xny</dc:creator>
  <cp:lastModifiedBy>愿为你停留的心</cp:lastModifiedBy>
  <cp:lastPrinted>2024-05-30T07:18:00Z</cp:lastPrinted>
  <dcterms:modified xsi:type="dcterms:W3CDTF">2024-08-25T01:42:39Z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B0A8F5FBDF9243B0AE234D03CA18B56B_13</vt:lpwstr>
  </property>
</Properties>
</file>