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000" w:firstLineChars="2500"/>
        <w:rPr>
          <w:rFonts w:hint="default"/>
          <w:sz w:val="24"/>
          <w:szCs w:val="28"/>
          <w:lang w:val="en-US"/>
        </w:rPr>
      </w:pPr>
      <w:r>
        <w:rPr>
          <w:rFonts w:hint="eastAsia"/>
          <w:sz w:val="24"/>
          <w:szCs w:val="28"/>
        </w:rPr>
        <w:t>编号：</w:t>
      </w:r>
      <w:r>
        <w:rPr>
          <w:rFonts w:hint="eastAsia"/>
          <w:sz w:val="24"/>
          <w:szCs w:val="28"/>
          <w:lang w:val="en-US" w:eastAsia="zh-CN"/>
        </w:rPr>
        <w:t>TZ-SAJL-YB-2024-09-002</w:t>
      </w:r>
    </w:p>
    <w:p>
      <w:pP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eastAsia" w:ascii="黑体" w:hAnsi="黑体" w:eastAsia="黑体"/>
          <w:color w:val="000000" w:themeColor="text1"/>
          <w:spacing w:val="-28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eastAsia" w:ascii="黑体" w:hAnsi="黑体" w:eastAsia="黑体"/>
          <w:color w:val="000000" w:themeColor="text1"/>
          <w:spacing w:val="-28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eastAsia" w:ascii="黑体" w:hAnsi="黑体" w:eastAsia="黑体"/>
          <w:color w:val="000000" w:themeColor="text1"/>
          <w:spacing w:val="-28"/>
          <w:sz w:val="40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pacing w:val="-28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t>高邮市鑫辰新能源有限公司汤庄镇61MW渔光互补光伏发电项目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right="0" w:firstLine="2160" w:firstLineChars="600"/>
        <w:jc w:val="both"/>
        <w:rPr>
          <w:rFonts w:hint="default"/>
          <w:sz w:val="36"/>
          <w:szCs w:val="36"/>
          <w:lang w:val="en-US"/>
        </w:rPr>
      </w:pPr>
    </w:p>
    <w:p>
      <w:pPr>
        <w:pStyle w:val="2"/>
        <w:rPr>
          <w:rFonts w:hint="default"/>
          <w:sz w:val="36"/>
          <w:szCs w:val="36"/>
          <w:lang w:val="en-US"/>
        </w:rPr>
      </w:pPr>
    </w:p>
    <w:p>
      <w:pPr>
        <w:pStyle w:val="2"/>
        <w:rPr>
          <w:rFonts w:hint="default"/>
          <w:lang w:val="en-US"/>
        </w:rPr>
      </w:pPr>
    </w:p>
    <w:p>
      <w:pPr>
        <w:spacing w:before="1248" w:beforeLines="400" w:after="468" w:afterLines="150" w:line="480" w:lineRule="auto"/>
        <w:ind w:firstLine="2600" w:firstLineChars="500"/>
        <w:jc w:val="both"/>
        <w:rPr>
          <w:rFonts w:ascii="黑体" w:hAnsi="黑体" w:eastAsia="黑体"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  <w:t>监  理  月  报</w:t>
      </w:r>
    </w:p>
    <w:p>
      <w:pPr>
        <w:jc w:val="center"/>
        <w:rPr>
          <w:rFonts w:hint="eastAsia" w:asciiTheme="minorEastAsia" w:hAnsiTheme="minorEastAsia"/>
          <w:color w:val="000000" w:themeColor="text1"/>
          <w:sz w:val="32"/>
          <w:szCs w:val="36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32"/>
          <w:szCs w:val="36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11"/>
        <w:rPr>
          <w:rFonts w:hint="eastAsia" w:asciiTheme="minorEastAsia" w:hAnsiTheme="minorEastAsia"/>
          <w:color w:val="000000" w:themeColor="text1"/>
          <w:sz w:val="32"/>
          <w:szCs w:val="36"/>
          <w:lang w:val="en-US"/>
          <w14:textFill>
            <w14:solidFill>
              <w14:schemeClr w14:val="tx1"/>
            </w14:solidFill>
          </w14:textFill>
        </w:rPr>
      </w:pPr>
    </w:p>
    <w:p>
      <w:pPr>
        <w:pStyle w:val="11"/>
        <w:rPr>
          <w:rFonts w:hint="eastAsia" w:asciiTheme="minorEastAsia" w:hAnsiTheme="minorEastAsia"/>
          <w:color w:val="000000" w:themeColor="text1"/>
          <w:sz w:val="32"/>
          <w:szCs w:val="36"/>
          <w:lang w:val="en-US"/>
          <w14:textFill>
            <w14:solidFill>
              <w14:schemeClr w14:val="tx1"/>
            </w14:solidFill>
          </w14:textFill>
        </w:rPr>
      </w:pPr>
    </w:p>
    <w:p>
      <w:pPr>
        <w:spacing w:before="156" w:beforeLines="50" w:after="156" w:afterLines="50"/>
        <w:jc w:val="center"/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before="156" w:beforeLines="50" w:after="156" w:afterLines="50"/>
        <w:ind w:firstLine="2640" w:firstLineChars="1100"/>
        <w:jc w:val="both"/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项目监理部（章）：</w:t>
      </w:r>
    </w:p>
    <w:p>
      <w:pPr>
        <w:spacing w:before="468" w:beforeLines="150" w:after="468" w:afterLines="150"/>
        <w:ind w:firstLine="2400" w:firstLineChars="800"/>
        <w:rPr>
          <w:rFonts w:hint="default"/>
          <w:color w:val="000000" w:themeColor="text1"/>
          <w:sz w:val="30"/>
          <w:szCs w:val="30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总监理工程师</w:t>
      </w:r>
      <w:r>
        <w:rPr>
          <w:rFonts w:hint="eastAsia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/>
          <w:color w:val="000000" w:themeColor="text1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宗 浩   </w:t>
      </w:r>
    </w:p>
    <w:p>
      <w:pPr>
        <w:ind w:firstLine="2520" w:firstLineChars="900"/>
        <w:jc w:val="both"/>
        <w:rPr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期：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24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08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31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号</w:t>
      </w:r>
    </w:p>
    <w:p>
      <w:pPr>
        <w:widowControl/>
        <w:jc w:val="left"/>
        <w:rPr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br w:type="page"/>
      </w:r>
    </w:p>
    <w:p>
      <w:pPr>
        <w:jc w:val="center"/>
        <w:rPr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监  理  月  报</w:t>
      </w:r>
    </w:p>
    <w:p>
      <w:pPr>
        <w:spacing w:before="312" w:beforeLines="100" w:after="468" w:afterLines="150" w:line="480" w:lineRule="auto"/>
        <w:jc w:val="center"/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开始时间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20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24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08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01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日 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结束日期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20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24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08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31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日</w:t>
      </w:r>
    </w:p>
    <w:p>
      <w:pPr>
        <w:pStyle w:val="16"/>
        <w:numPr>
          <w:ilvl w:val="0"/>
          <w:numId w:val="1"/>
        </w:numPr>
        <w:spacing w:before="156" w:beforeLines="50" w:after="156" w:afterLines="50" w:line="360" w:lineRule="auto"/>
        <w:ind w:left="510" w:hanging="612" w:hangingChars="170"/>
        <w:jc w:val="left"/>
        <w:rPr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监理重点工作情况</w:t>
      </w:r>
    </w:p>
    <w:tbl>
      <w:tblPr>
        <w:tblStyle w:val="13"/>
        <w:tblW w:w="99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"/>
        <w:gridCol w:w="2058"/>
        <w:gridCol w:w="2923"/>
        <w:gridCol w:w="4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1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205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事项</w:t>
            </w:r>
          </w:p>
        </w:tc>
        <w:tc>
          <w:tcPr>
            <w:tcW w:w="292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本月重点工作情况</w:t>
            </w:r>
          </w:p>
        </w:tc>
        <w:tc>
          <w:tcPr>
            <w:tcW w:w="423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下月重点工作计划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8" w:hRule="atLeast"/>
        </w:trPr>
        <w:tc>
          <w:tcPr>
            <w:tcW w:w="718" w:type="dxa"/>
            <w:vMerge w:val="restart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进度</w:t>
            </w:r>
          </w:p>
        </w:tc>
        <w:tc>
          <w:tcPr>
            <w:tcW w:w="205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主要工作</w:t>
            </w:r>
          </w:p>
        </w:tc>
        <w:tc>
          <w:tcPr>
            <w:tcW w:w="2923" w:type="dxa"/>
            <w:vAlign w:val="top"/>
          </w:tcPr>
          <w:p>
            <w:pPr>
              <w:pStyle w:val="16"/>
              <w:numPr>
                <w:ilvl w:val="0"/>
                <w:numId w:val="0"/>
              </w:numPr>
              <w:spacing w:line="240" w:lineRule="auto"/>
              <w:jc w:val="both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1、总包设计成果审核；</w:t>
            </w:r>
          </w:p>
          <w:p>
            <w:pPr>
              <w:pStyle w:val="16"/>
              <w:numPr>
                <w:ilvl w:val="0"/>
                <w:numId w:val="0"/>
              </w:numPr>
              <w:spacing w:line="240" w:lineRule="auto"/>
              <w:jc w:val="both"/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2、试桩桩位图审核；</w:t>
            </w:r>
          </w:p>
          <w:p>
            <w:pPr>
              <w:pStyle w:val="16"/>
              <w:numPr>
                <w:ilvl w:val="0"/>
                <w:numId w:val="0"/>
              </w:numPr>
              <w:spacing w:line="240" w:lineRule="auto"/>
              <w:ind w:left="420" w:hanging="420" w:hangingChars="200"/>
              <w:jc w:val="both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3、收到建卫关于项目资料要求的联系单；</w:t>
            </w:r>
          </w:p>
          <w:p>
            <w:pPr>
              <w:pStyle w:val="16"/>
              <w:numPr>
                <w:ilvl w:val="0"/>
                <w:numId w:val="0"/>
              </w:numPr>
              <w:spacing w:line="240" w:lineRule="auto"/>
              <w:jc w:val="both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4、跟踪塘口协调进展；</w:t>
            </w:r>
          </w:p>
          <w:p>
            <w:pPr>
              <w:pStyle w:val="16"/>
              <w:numPr>
                <w:ilvl w:val="0"/>
                <w:numId w:val="0"/>
              </w:numPr>
              <w:spacing w:line="240" w:lineRule="auto"/>
              <w:jc w:val="both"/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5、跟踪检测单位和总包单位试桩计划的落实；</w:t>
            </w:r>
          </w:p>
          <w:p>
            <w:pPr>
              <w:pStyle w:val="16"/>
              <w:numPr>
                <w:ilvl w:val="0"/>
                <w:numId w:val="0"/>
              </w:numPr>
              <w:spacing w:line="240" w:lineRule="auto"/>
              <w:ind w:left="420" w:hanging="420" w:hangingChars="200"/>
              <w:jc w:val="both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30" w:type="dxa"/>
            <w:vAlign w:val="top"/>
          </w:tcPr>
          <w:p>
            <w:pPr>
              <w:pStyle w:val="16"/>
              <w:numPr>
                <w:ilvl w:val="0"/>
                <w:numId w:val="0"/>
              </w:numPr>
              <w:spacing w:line="240" w:lineRule="auto"/>
              <w:ind w:leftChars="0"/>
              <w:jc w:val="both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1、跟踪塘口移交；</w:t>
            </w:r>
          </w:p>
          <w:p>
            <w:pPr>
              <w:pStyle w:val="16"/>
              <w:numPr>
                <w:ilvl w:val="0"/>
                <w:numId w:val="0"/>
              </w:numPr>
              <w:spacing w:line="240" w:lineRule="auto"/>
              <w:ind w:leftChars="0"/>
              <w:jc w:val="both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2、跟踪设计进度计划落实；</w:t>
            </w:r>
          </w:p>
          <w:p>
            <w:pPr>
              <w:pStyle w:val="16"/>
              <w:numPr>
                <w:ilvl w:val="0"/>
                <w:numId w:val="0"/>
              </w:numPr>
              <w:spacing w:line="240" w:lineRule="auto"/>
              <w:ind w:left="420" w:hanging="420" w:hangingChars="200"/>
              <w:jc w:val="both"/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3、按业主要求规范总包上报资料的签认；</w:t>
            </w:r>
          </w:p>
          <w:p>
            <w:pPr>
              <w:pStyle w:val="16"/>
              <w:numPr>
                <w:ilvl w:val="0"/>
                <w:numId w:val="0"/>
              </w:numPr>
              <w:spacing w:line="240" w:lineRule="auto"/>
              <w:ind w:left="420" w:hanging="420" w:hangingChars="200"/>
              <w:jc w:val="both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4、项目各区域测控点复核确认；</w:t>
            </w:r>
          </w:p>
          <w:p>
            <w:pPr>
              <w:pStyle w:val="16"/>
              <w:numPr>
                <w:ilvl w:val="0"/>
                <w:numId w:val="0"/>
              </w:numPr>
              <w:spacing w:line="240" w:lineRule="auto"/>
              <w:ind w:left="420" w:hanging="420" w:hangingChars="200"/>
              <w:jc w:val="both"/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5、试桩打桩点确认跟踪；</w:t>
            </w:r>
          </w:p>
          <w:p>
            <w:pPr>
              <w:pStyle w:val="16"/>
              <w:numPr>
                <w:ilvl w:val="0"/>
                <w:numId w:val="0"/>
              </w:numPr>
              <w:spacing w:line="240" w:lineRule="auto"/>
              <w:ind w:left="210" w:leftChars="0" w:hanging="210" w:hangingChars="100"/>
              <w:jc w:val="both"/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718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</w:pPr>
          </w:p>
        </w:tc>
        <w:tc>
          <w:tcPr>
            <w:tcW w:w="205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设备交付进度</w:t>
            </w:r>
          </w:p>
        </w:tc>
        <w:tc>
          <w:tcPr>
            <w:tcW w:w="2923" w:type="dxa"/>
            <w:vAlign w:val="center"/>
          </w:tcPr>
          <w:p>
            <w:pPr>
              <w:pStyle w:val="16"/>
              <w:numPr>
                <w:ilvl w:val="0"/>
                <w:numId w:val="0"/>
              </w:numPr>
              <w:spacing w:line="240" w:lineRule="auto"/>
              <w:ind w:leftChars="0" w:firstLine="1260" w:firstLineChars="600"/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4230" w:type="dxa"/>
            <w:vAlign w:val="center"/>
          </w:tcPr>
          <w:p>
            <w:pPr>
              <w:pStyle w:val="16"/>
              <w:numPr>
                <w:ilvl w:val="0"/>
                <w:numId w:val="0"/>
              </w:numPr>
              <w:spacing w:line="240" w:lineRule="auto"/>
              <w:ind w:firstLine="1260" w:firstLineChars="600"/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718" w:type="dxa"/>
            <w:vMerge w:val="continue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</w:pPr>
          </w:p>
        </w:tc>
        <w:tc>
          <w:tcPr>
            <w:tcW w:w="205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设计交付进度</w:t>
            </w:r>
          </w:p>
        </w:tc>
        <w:tc>
          <w:tcPr>
            <w:tcW w:w="2923" w:type="dxa"/>
            <w:vAlign w:val="center"/>
          </w:tcPr>
          <w:p>
            <w:pPr>
              <w:spacing w:line="240" w:lineRule="auto"/>
              <w:ind w:firstLine="420" w:firstLineChars="200"/>
              <w:jc w:val="both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完成试桩位、试桩检测</w:t>
            </w:r>
          </w:p>
        </w:tc>
        <w:tc>
          <w:tcPr>
            <w:tcW w:w="4230" w:type="dxa"/>
            <w:vAlign w:val="center"/>
          </w:tcPr>
          <w:p>
            <w:pPr>
              <w:spacing w:line="240" w:lineRule="auto"/>
              <w:ind w:firstLine="210" w:firstLineChars="10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出图，图纸审批及会审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718" w:type="dxa"/>
            <w:vMerge w:val="continue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</w:pPr>
          </w:p>
        </w:tc>
        <w:tc>
          <w:tcPr>
            <w:tcW w:w="205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质量体系运作情况</w:t>
            </w:r>
          </w:p>
        </w:tc>
        <w:tc>
          <w:tcPr>
            <w:tcW w:w="2923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正常</w:t>
            </w:r>
          </w:p>
        </w:tc>
        <w:tc>
          <w:tcPr>
            <w:tcW w:w="423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718" w:type="dxa"/>
            <w:vMerge w:val="continue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</w:pPr>
          </w:p>
        </w:tc>
        <w:tc>
          <w:tcPr>
            <w:tcW w:w="205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施工图会审</w:t>
            </w:r>
          </w:p>
        </w:tc>
        <w:tc>
          <w:tcPr>
            <w:tcW w:w="2923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未进行</w:t>
            </w:r>
          </w:p>
        </w:tc>
        <w:tc>
          <w:tcPr>
            <w:tcW w:w="423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施工图会审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18" w:type="dxa"/>
            <w:vMerge w:val="continue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</w:pPr>
          </w:p>
        </w:tc>
        <w:tc>
          <w:tcPr>
            <w:tcW w:w="205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设计交底</w:t>
            </w:r>
          </w:p>
        </w:tc>
        <w:tc>
          <w:tcPr>
            <w:tcW w:w="292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未进行</w:t>
            </w:r>
          </w:p>
        </w:tc>
        <w:tc>
          <w:tcPr>
            <w:tcW w:w="423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设计交底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18" w:type="dxa"/>
            <w:vMerge w:val="continue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</w:pPr>
          </w:p>
        </w:tc>
        <w:tc>
          <w:tcPr>
            <w:tcW w:w="205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方案审查</w:t>
            </w:r>
          </w:p>
        </w:tc>
        <w:tc>
          <w:tcPr>
            <w:tcW w:w="2923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已审查</w:t>
            </w:r>
          </w:p>
        </w:tc>
        <w:tc>
          <w:tcPr>
            <w:tcW w:w="4230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完善补充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718" w:type="dxa"/>
            <w:vMerge w:val="continue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</w:pPr>
          </w:p>
        </w:tc>
        <w:tc>
          <w:tcPr>
            <w:tcW w:w="205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技术交底</w:t>
            </w:r>
          </w:p>
        </w:tc>
        <w:tc>
          <w:tcPr>
            <w:tcW w:w="2923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完成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质量安全交底</w:t>
            </w:r>
          </w:p>
        </w:tc>
        <w:tc>
          <w:tcPr>
            <w:tcW w:w="4230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完成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后续工序交底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718" w:type="dxa"/>
            <w:vMerge w:val="continue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</w:pPr>
          </w:p>
        </w:tc>
        <w:tc>
          <w:tcPr>
            <w:tcW w:w="205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设计变更</w:t>
            </w:r>
          </w:p>
        </w:tc>
        <w:tc>
          <w:tcPr>
            <w:tcW w:w="292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423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718" w:type="dxa"/>
            <w:vMerge w:val="restart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安全</w:t>
            </w:r>
          </w:p>
        </w:tc>
        <w:tc>
          <w:tcPr>
            <w:tcW w:w="2058" w:type="dxa"/>
            <w:vAlign w:val="center"/>
          </w:tcPr>
          <w:p>
            <w:pPr>
              <w:tabs>
                <w:tab w:val="left" w:pos="990"/>
              </w:tabs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安全培训情况</w:t>
            </w:r>
          </w:p>
        </w:tc>
        <w:tc>
          <w:tcPr>
            <w:tcW w:w="2923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已完成</w:t>
            </w:r>
          </w:p>
        </w:tc>
        <w:tc>
          <w:tcPr>
            <w:tcW w:w="423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718" w:type="dxa"/>
            <w:vMerge w:val="continue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5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安全交底情况</w:t>
            </w:r>
          </w:p>
        </w:tc>
        <w:tc>
          <w:tcPr>
            <w:tcW w:w="2923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已完成</w:t>
            </w:r>
          </w:p>
        </w:tc>
        <w:tc>
          <w:tcPr>
            <w:tcW w:w="423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718" w:type="dxa"/>
            <w:vMerge w:val="continue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5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安全措施落实情况</w:t>
            </w:r>
          </w:p>
        </w:tc>
        <w:tc>
          <w:tcPr>
            <w:tcW w:w="2923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不到位方面要求改正</w:t>
            </w:r>
          </w:p>
        </w:tc>
        <w:tc>
          <w:tcPr>
            <w:tcW w:w="4230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要求按制定的方案措施落实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718" w:type="dxa"/>
            <w:vMerge w:val="continue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5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安全文明施工情况</w:t>
            </w:r>
          </w:p>
        </w:tc>
        <w:tc>
          <w:tcPr>
            <w:tcW w:w="2923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改进中</w:t>
            </w:r>
          </w:p>
        </w:tc>
        <w:tc>
          <w:tcPr>
            <w:tcW w:w="4230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安全文明施工费用投入到位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718" w:type="dxa"/>
            <w:vMerge w:val="restart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质量</w:t>
            </w:r>
          </w:p>
        </w:tc>
        <w:tc>
          <w:tcPr>
            <w:tcW w:w="205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主要工序质量</w:t>
            </w:r>
          </w:p>
        </w:tc>
        <w:tc>
          <w:tcPr>
            <w:tcW w:w="2923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423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718" w:type="dxa"/>
            <w:vMerge w:val="continue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5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主要原材料质量</w:t>
            </w:r>
          </w:p>
        </w:tc>
        <w:tc>
          <w:tcPr>
            <w:tcW w:w="2923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423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要求源头把控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18" w:type="dxa"/>
            <w:vMerge w:val="continue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</w:pPr>
          </w:p>
        </w:tc>
        <w:tc>
          <w:tcPr>
            <w:tcW w:w="2058" w:type="dxa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构（配）件质量</w:t>
            </w:r>
          </w:p>
        </w:tc>
        <w:tc>
          <w:tcPr>
            <w:tcW w:w="292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423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718" w:type="dxa"/>
            <w:vMerge w:val="continue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</w:pPr>
          </w:p>
        </w:tc>
        <w:tc>
          <w:tcPr>
            <w:tcW w:w="2058" w:type="dxa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设备质量</w:t>
            </w:r>
          </w:p>
        </w:tc>
        <w:tc>
          <w:tcPr>
            <w:tcW w:w="292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423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</w:trPr>
        <w:tc>
          <w:tcPr>
            <w:tcW w:w="718" w:type="dxa"/>
            <w:vMerge w:val="continue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</w:pPr>
          </w:p>
        </w:tc>
        <w:tc>
          <w:tcPr>
            <w:tcW w:w="2058" w:type="dxa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质量验评情况</w:t>
            </w:r>
          </w:p>
        </w:tc>
        <w:tc>
          <w:tcPr>
            <w:tcW w:w="2923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firstLine="1470" w:firstLineChars="700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423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对现场发现质量缺陷，要求施工单位及时整改消缺。</w:t>
            </w:r>
          </w:p>
        </w:tc>
      </w:tr>
    </w:tbl>
    <w:p>
      <w:pPr>
        <w:pStyle w:val="16"/>
        <w:widowControl w:val="0"/>
        <w:numPr>
          <w:ilvl w:val="0"/>
          <w:numId w:val="0"/>
        </w:numPr>
        <w:spacing w:before="156" w:beforeLines="50" w:after="156" w:afterLines="50" w:line="360" w:lineRule="auto"/>
        <w:jc w:val="left"/>
        <w:rPr>
          <w:rFonts w:hint="eastAsia" w:ascii="宋体" w:hAnsi="宋体" w:eastAsia="宋体" w:cs="宋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ind w:firstLine="0" w:firstLineChars="0"/>
        <w:jc w:val="both"/>
        <w:textAlignment w:val="auto"/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ascii="宋体" w:hAnsi="宋体" w:eastAsia="宋体" w:cs="宋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本月进度情况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0" w:firstLineChars="0"/>
        <w:textAlignment w:val="auto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1、</w:t>
      </w:r>
      <w:r>
        <w:rPr>
          <w:rFonts w:hint="eastAsia" w:ascii="宋体" w:hAnsi="宋体" w:eastAsia="宋体" w:cs="宋体"/>
          <w:color w:val="000000" w:themeColor="text1"/>
          <w:kern w:val="2"/>
          <w:sz w:val="22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61MW区域正和各村村委协调，项目推进中，项目各区域测控点已复核确认，试桩点完成部分塘口打桩，跟踪试桩打桩及桩基检测</w:t>
      </w:r>
      <w:r>
        <w:rPr>
          <w:rFonts w:hint="eastAsia" w:ascii="宋体" w:hAnsi="宋体"/>
          <w:sz w:val="28"/>
          <w:szCs w:val="28"/>
          <w:lang w:val="en-US" w:eastAsia="zh-CN"/>
        </w:rPr>
        <w:t>。</w:t>
      </w:r>
    </w:p>
    <w:p>
      <w:pPr>
        <w:numPr>
          <w:ilvl w:val="0"/>
          <w:numId w:val="0"/>
        </w:numPr>
        <w:tabs>
          <w:tab w:val="center" w:pos="3886"/>
        </w:tabs>
        <w:spacing w:line="440" w:lineRule="exact"/>
        <w:jc w:val="left"/>
        <w:rPr>
          <w:rFonts w:hint="eastAsia" w:ascii="宋体" w:hAnsi="宋体" w:eastAsia="宋体" w:cs="宋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三、</w:t>
      </w:r>
      <w:r>
        <w:rPr>
          <w:rFonts w:hint="eastAsia" w:ascii="宋体" w:hAnsi="宋体" w:eastAsia="宋体" w:cs="宋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下月进度计划</w:t>
      </w:r>
    </w:p>
    <w:p>
      <w:pPr>
        <w:widowControl/>
        <w:spacing w:line="360" w:lineRule="auto"/>
        <w:jc w:val="left"/>
        <w:rPr>
          <w:rFonts w:hint="eastAsia" w:ascii="宋体" w:hAnsi="宋体"/>
          <w:kern w:val="2"/>
          <w:sz w:val="24"/>
          <w:szCs w:val="24"/>
          <w:lang w:val="en-US" w:eastAsia="zh-CN"/>
        </w:rPr>
      </w:pPr>
      <w:r>
        <w:rPr>
          <w:rFonts w:hint="eastAsia" w:ascii="宋体" w:hAnsi="宋体"/>
          <w:kern w:val="2"/>
          <w:sz w:val="24"/>
          <w:szCs w:val="24"/>
          <w:lang w:val="en-US" w:eastAsia="zh-CN"/>
        </w:rPr>
        <w:t>1、跟踪塘口移交；</w:t>
      </w:r>
    </w:p>
    <w:p>
      <w:pPr>
        <w:widowControl/>
        <w:spacing w:line="360" w:lineRule="auto"/>
        <w:jc w:val="left"/>
        <w:rPr>
          <w:rFonts w:hint="eastAsia" w:ascii="宋体" w:hAnsi="宋体"/>
          <w:kern w:val="2"/>
          <w:sz w:val="24"/>
          <w:szCs w:val="24"/>
          <w:lang w:val="en-US" w:eastAsia="zh-CN"/>
        </w:rPr>
      </w:pPr>
      <w:r>
        <w:rPr>
          <w:rFonts w:hint="eastAsia" w:ascii="宋体" w:hAnsi="宋体"/>
          <w:kern w:val="2"/>
          <w:sz w:val="24"/>
          <w:szCs w:val="24"/>
          <w:lang w:val="en-US" w:eastAsia="zh-CN"/>
        </w:rPr>
        <w:t>2、跟踪桩基检测报告；</w:t>
      </w:r>
    </w:p>
    <w:p>
      <w:pPr>
        <w:widowControl/>
        <w:spacing w:line="360" w:lineRule="auto"/>
        <w:jc w:val="left"/>
        <w:rPr>
          <w:rFonts w:hint="eastAsia" w:ascii="宋体" w:hAnsi="宋体"/>
          <w:kern w:val="2"/>
          <w:sz w:val="24"/>
          <w:szCs w:val="24"/>
          <w:lang w:val="en-US" w:eastAsia="zh-CN"/>
        </w:rPr>
      </w:pPr>
      <w:r>
        <w:rPr>
          <w:rFonts w:hint="eastAsia" w:ascii="宋体" w:hAnsi="宋体"/>
          <w:kern w:val="2"/>
          <w:sz w:val="24"/>
          <w:szCs w:val="24"/>
          <w:lang w:val="en-US" w:eastAsia="zh-CN"/>
        </w:rPr>
        <w:t>3、跟踪桩基出图进度；</w:t>
      </w:r>
    </w:p>
    <w:p>
      <w:pPr>
        <w:widowControl/>
        <w:spacing w:line="360" w:lineRule="auto"/>
        <w:jc w:val="left"/>
        <w:rPr>
          <w:rFonts w:hint="eastAsia" w:ascii="宋体" w:hAnsi="宋体"/>
          <w:kern w:val="2"/>
          <w:sz w:val="24"/>
          <w:szCs w:val="24"/>
          <w:lang w:val="en-US" w:eastAsia="zh-CN"/>
        </w:rPr>
      </w:pPr>
      <w:r>
        <w:rPr>
          <w:rFonts w:hint="eastAsia" w:ascii="宋体" w:hAnsi="宋体"/>
          <w:kern w:val="2"/>
          <w:sz w:val="24"/>
          <w:szCs w:val="24"/>
          <w:lang w:val="en-US" w:eastAsia="zh-CN"/>
        </w:rPr>
        <w:t>4、力争塘口打桩进行；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四、</w:t>
      </w:r>
      <w:r>
        <w:rPr>
          <w:rFonts w:hint="eastAsia" w:ascii="宋体" w:hAnsi="宋体" w:eastAsia="宋体" w:cs="宋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安全文明施工情况</w:t>
      </w:r>
    </w:p>
    <w:tbl>
      <w:tblPr>
        <w:tblStyle w:val="13"/>
        <w:tblW w:w="7863" w:type="dxa"/>
        <w:tblInd w:w="1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1160"/>
        <w:gridCol w:w="1080"/>
        <w:gridCol w:w="1667"/>
        <w:gridCol w:w="1186"/>
        <w:gridCol w:w="1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事故（起）</w:t>
            </w:r>
          </w:p>
        </w:tc>
        <w:tc>
          <w:tcPr>
            <w:tcW w:w="16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编制安全策划文件（份）</w:t>
            </w:r>
          </w:p>
        </w:tc>
        <w:tc>
          <w:tcPr>
            <w:tcW w:w="118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施工人数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施工单位数量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27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人身重伤</w:t>
            </w:r>
          </w:p>
        </w:tc>
        <w:tc>
          <w:tcPr>
            <w:tcW w:w="116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机械设备</w:t>
            </w:r>
          </w:p>
        </w:tc>
        <w:tc>
          <w:tcPr>
            <w:tcW w:w="10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电网事故</w:t>
            </w:r>
          </w:p>
        </w:tc>
        <w:tc>
          <w:tcPr>
            <w:tcW w:w="166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127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116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10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166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1份</w:t>
            </w:r>
          </w:p>
        </w:tc>
        <w:tc>
          <w:tcPr>
            <w:tcW w:w="118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5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12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1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20" w:firstLineChars="200"/>
              <w:jc w:val="left"/>
              <w:textAlignment w:val="auto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274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现场辨识危险源和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做好施工现场文明施工准备</w:t>
            </w:r>
          </w:p>
        </w:tc>
        <w:tc>
          <w:tcPr>
            <w:tcW w:w="268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满足要求</w:t>
            </w:r>
          </w:p>
        </w:tc>
      </w:tr>
    </w:tbl>
    <w:p>
      <w:pPr>
        <w:pStyle w:val="16"/>
        <w:numPr>
          <w:ilvl w:val="0"/>
          <w:numId w:val="0"/>
        </w:numPr>
        <w:spacing w:before="156" w:beforeLines="50" w:after="156" w:afterLines="50" w:line="360" w:lineRule="auto"/>
        <w:jc w:val="left"/>
        <w:rPr>
          <w:rFonts w:hint="eastAsia" w:ascii="宋体" w:hAnsi="宋体" w:eastAsia="宋体" w:cs="宋体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16"/>
        <w:numPr>
          <w:ilvl w:val="0"/>
          <w:numId w:val="0"/>
        </w:numPr>
        <w:spacing w:before="156" w:beforeLines="50" w:after="156" w:afterLines="50" w:line="360" w:lineRule="auto"/>
        <w:jc w:val="left"/>
        <w:rPr>
          <w:rFonts w:hint="eastAsia" w:ascii="宋体" w:hAnsi="宋体" w:eastAsia="宋体" w:cs="宋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五、</w:t>
      </w:r>
      <w:r>
        <w:rPr>
          <w:rFonts w:hint="eastAsia" w:ascii="宋体" w:hAnsi="宋体" w:eastAsia="宋体" w:cs="宋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施工重点工作情况</w:t>
      </w:r>
    </w:p>
    <w:tbl>
      <w:tblPr>
        <w:tblStyle w:val="13"/>
        <w:tblW w:w="9184" w:type="dxa"/>
        <w:tblInd w:w="1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0"/>
        <w:gridCol w:w="3600"/>
        <w:gridCol w:w="43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360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本月重点工作情况</w:t>
            </w:r>
          </w:p>
        </w:tc>
        <w:tc>
          <w:tcPr>
            <w:tcW w:w="437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下月重点工作计划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210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进度管理</w:t>
            </w:r>
          </w:p>
        </w:tc>
        <w:tc>
          <w:tcPr>
            <w:tcW w:w="3600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督促总包单位优化人、机、料等资源配置，充分调动各参建单位的积极性</w:t>
            </w:r>
          </w:p>
        </w:tc>
        <w:tc>
          <w:tcPr>
            <w:tcW w:w="4374" w:type="dxa"/>
            <w:vAlign w:val="center"/>
          </w:tcPr>
          <w:p>
            <w:pPr>
              <w:widowControl/>
              <w:numPr>
                <w:ilvl w:val="0"/>
                <w:numId w:val="2"/>
              </w:numPr>
              <w:spacing w:line="360" w:lineRule="auto"/>
              <w:jc w:val="left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对移交塘口进行报审验收；</w:t>
            </w:r>
          </w:p>
          <w:p>
            <w:pPr>
              <w:widowControl/>
              <w:numPr>
                <w:ilvl w:val="0"/>
                <w:numId w:val="2"/>
              </w:numPr>
              <w:spacing w:line="360" w:lineRule="auto"/>
              <w:jc w:val="left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要求总包依据桩基检测报告出桩位图；</w:t>
            </w:r>
          </w:p>
          <w:p>
            <w:pPr>
              <w:pStyle w:val="16"/>
              <w:numPr>
                <w:ilvl w:val="0"/>
                <w:numId w:val="0"/>
              </w:numPr>
              <w:spacing w:line="240" w:lineRule="auto"/>
              <w:ind w:leftChars="0"/>
              <w:jc w:val="both"/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3、要求总包落实管桩进料计划；</w:t>
            </w: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3、对桩位的标高、尺寸进行把控；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安全管理</w:t>
            </w:r>
          </w:p>
        </w:tc>
        <w:tc>
          <w:tcPr>
            <w:tcW w:w="3600" w:type="dxa"/>
            <w:vAlign w:val="center"/>
          </w:tcPr>
          <w:p>
            <w:pPr>
              <w:spacing w:line="360" w:lineRule="auto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督促总包单位报审《安全文明施工管理制度》，定期对现场进行安全检查； 对施工人员进行安全培训、考试，提高作业人员安全防范意识，落实安全文明施工措施。</w:t>
            </w:r>
          </w:p>
        </w:tc>
        <w:tc>
          <w:tcPr>
            <w:tcW w:w="4374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安施工人员安全帽佩戴，反光服穿着，吊装安全管理，现场防火措施落实。全吊装、屋面临时用电安全，动火作业等。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</w:trPr>
        <w:tc>
          <w:tcPr>
            <w:tcW w:w="1210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质量管理</w:t>
            </w:r>
          </w:p>
        </w:tc>
        <w:tc>
          <w:tcPr>
            <w:tcW w:w="3600" w:type="dxa"/>
            <w:vAlign w:val="center"/>
          </w:tcPr>
          <w:p>
            <w:pPr>
              <w:spacing w:line="360" w:lineRule="auto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设备到场进行开箱检查；单位工程重点部位施工进行旁站；督促施工单位质量通病防治措施；监督施工项目部落实强制性条文的执行计划。</w:t>
            </w:r>
          </w:p>
        </w:tc>
        <w:tc>
          <w:tcPr>
            <w:tcW w:w="4374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发现有质量问题并要求施工方整改，整改完成后，进行查验。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1210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技术管理</w:t>
            </w:r>
          </w:p>
        </w:tc>
        <w:tc>
          <w:tcPr>
            <w:tcW w:w="3600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督促施工单位对施工人员进行技术交底，现场检查施工人员是否按照技术交底内容进行施工。</w:t>
            </w:r>
          </w:p>
        </w:tc>
        <w:tc>
          <w:tcPr>
            <w:tcW w:w="437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参与过程中重要（关键）环节的施工技术交底会，监督检查执行情况。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检查现场施工质量。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1210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物资供应</w:t>
            </w:r>
          </w:p>
        </w:tc>
        <w:tc>
          <w:tcPr>
            <w:tcW w:w="3600" w:type="dxa"/>
            <w:vAlign w:val="center"/>
          </w:tcPr>
          <w:p>
            <w:pPr>
              <w:spacing w:line="360" w:lineRule="auto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协助建设单位做好建设物资进场工作，督促施工单位做好物资保管工作，要求施工单位安排人员对施工现场进行巡查，确保物资不遗失。</w:t>
            </w:r>
          </w:p>
        </w:tc>
        <w:tc>
          <w:tcPr>
            <w:tcW w:w="4374" w:type="dxa"/>
            <w:vAlign w:val="center"/>
          </w:tcPr>
          <w:p>
            <w:pPr>
              <w:spacing w:line="360" w:lineRule="auto"/>
              <w:ind w:firstLine="1050" w:firstLineChars="500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督促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施工单位进行</w:t>
            </w:r>
          </w:p>
        </w:tc>
      </w:tr>
    </w:tbl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widowControl/>
        <w:spacing w:line="360" w:lineRule="auto"/>
        <w:jc w:val="left"/>
        <w:rPr>
          <w:rFonts w:hint="eastAsia" w:ascii="宋体" w:hAnsi="宋体"/>
          <w:kern w:val="2"/>
          <w:sz w:val="24"/>
          <w:szCs w:val="24"/>
          <w:lang w:val="en-US" w:eastAsia="zh-CN"/>
        </w:rPr>
      </w:pPr>
      <w:r>
        <w:rPr>
          <w:rFonts w:hint="eastAsia" w:ascii="宋体" w:hAnsi="宋体"/>
          <w:kern w:val="2"/>
          <w:sz w:val="24"/>
          <w:szCs w:val="24"/>
          <w:lang w:val="en-US" w:eastAsia="zh-CN"/>
        </w:rPr>
        <w:t>本月项目监理工作简图：</w:t>
      </w:r>
    </w:p>
    <w:tbl>
      <w:tblPr>
        <w:tblStyle w:val="13"/>
        <w:tblpPr w:leftFromText="180" w:rightFromText="180" w:vertAnchor="text" w:horzAnchor="page" w:tblpX="1494" w:tblpY="10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6"/>
        <w:gridCol w:w="49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0" w:type="auto"/>
          </w:tcPr>
          <w:p>
            <w:pPr>
              <w:widowControl/>
              <w:spacing w:line="360" w:lineRule="auto"/>
              <w:jc w:val="left"/>
              <w:rPr>
                <w:rFonts w:hint="default" w:ascii="宋体" w:hAnsi="宋体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kern w:val="2"/>
                <w:sz w:val="24"/>
                <w:szCs w:val="24"/>
                <w:vertAlign w:val="baseline"/>
                <w:lang w:val="en-US" w:eastAsia="zh-CN"/>
              </w:rPr>
              <w:t xml:space="preserve">           和总包交流进度计划</w:t>
            </w:r>
          </w:p>
        </w:tc>
        <w:tc>
          <w:tcPr>
            <w:tcW w:w="0" w:type="auto"/>
          </w:tcPr>
          <w:p>
            <w:pPr>
              <w:widowControl/>
              <w:spacing w:line="360" w:lineRule="auto"/>
              <w:jc w:val="left"/>
              <w:rPr>
                <w:rFonts w:hint="default" w:ascii="宋体" w:hAnsi="宋体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kern w:val="2"/>
                <w:sz w:val="24"/>
                <w:szCs w:val="24"/>
                <w:vertAlign w:val="baseline"/>
                <w:lang w:val="en-US" w:eastAsia="zh-CN"/>
              </w:rPr>
              <w:t xml:space="preserve">             各区域测控点复核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4" w:hRule="atLeast"/>
        </w:trPr>
        <w:tc>
          <w:tcPr>
            <w:tcW w:w="0" w:type="auto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kern w:val="2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974975" cy="2439670"/>
                  <wp:effectExtent l="0" t="0" r="15875" b="17780"/>
                  <wp:docPr id="1" name="图片 1" descr="45bf20da52181e2d5b90306f6fa5b9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45bf20da52181e2d5b90306f6fa5b9f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4975" cy="2439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kern w:val="2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974975" cy="2478405"/>
                  <wp:effectExtent l="0" t="0" r="15875" b="17145"/>
                  <wp:docPr id="2" name="图片 2" descr="445e00ccf8d662a3acf5b7c52c66c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445e00ccf8d662a3acf5b7c52c66c4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4975" cy="2478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0" w:type="auto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kern w:val="2"/>
                <w:sz w:val="24"/>
                <w:szCs w:val="24"/>
                <w:vertAlign w:val="baseline"/>
                <w:lang w:val="en-US" w:eastAsia="zh-CN"/>
              </w:rPr>
              <w:t>各区域测控点复核</w:t>
            </w:r>
          </w:p>
        </w:tc>
        <w:tc>
          <w:tcPr>
            <w:tcW w:w="0" w:type="auto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kern w:val="2"/>
                <w:sz w:val="24"/>
                <w:szCs w:val="24"/>
                <w:vertAlign w:val="baseline"/>
                <w:lang w:val="en-US" w:eastAsia="zh-CN"/>
              </w:rPr>
              <w:t>各区域测控点复核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0" w:hRule="atLeast"/>
        </w:trPr>
        <w:tc>
          <w:tcPr>
            <w:tcW w:w="0" w:type="auto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kern w:val="2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988310" cy="2241550"/>
                  <wp:effectExtent l="0" t="0" r="2540" b="6350"/>
                  <wp:docPr id="3" name="图片 3" descr="081ad1432871a6dc78377490ed04dc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081ad1432871a6dc78377490ed04dc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8310" cy="2241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kern w:val="2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988310" cy="2241550"/>
                  <wp:effectExtent l="0" t="0" r="2540" b="6350"/>
                  <wp:docPr id="4" name="图片 4" descr="85750840f16adcf045cb52596d2c8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85750840f16adcf045cb52596d2c827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8310" cy="2241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kern w:val="2"/>
                <w:sz w:val="24"/>
                <w:szCs w:val="24"/>
                <w:vertAlign w:val="baseline"/>
                <w:lang w:val="en-US" w:eastAsia="zh-CN"/>
              </w:rPr>
              <w:t>各区域测控点复核</w:t>
            </w:r>
          </w:p>
        </w:tc>
        <w:tc>
          <w:tcPr>
            <w:tcW w:w="0" w:type="auto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kern w:val="2"/>
                <w:sz w:val="24"/>
                <w:szCs w:val="24"/>
                <w:vertAlign w:val="baseline"/>
                <w:lang w:val="en-US" w:eastAsia="zh-CN"/>
              </w:rPr>
              <w:t>各区域测控点复核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1" w:hRule="atLeast"/>
        </w:trPr>
        <w:tc>
          <w:tcPr>
            <w:tcW w:w="0" w:type="auto"/>
          </w:tcPr>
          <w:p>
            <w:pPr>
              <w:widowControl/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inline distT="0" distB="0" distL="114300" distR="114300">
                  <wp:extent cx="2974975" cy="2231390"/>
                  <wp:effectExtent l="0" t="0" r="15875" b="16510"/>
                  <wp:docPr id="6" name="图片 6" descr="41ff51bf04b0dabe8981387b520b1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41ff51bf04b0dabe8981387b520b182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4975" cy="2231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kern w:val="2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974975" cy="2231390"/>
                  <wp:effectExtent l="0" t="0" r="15875" b="16510"/>
                  <wp:docPr id="5" name="图片 5" descr="f301bcc42e81e24c6a80ac822ec7b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f301bcc42e81e24c6a80ac822ec7b66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4975" cy="2231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widowControl/>
        <w:spacing w:line="360" w:lineRule="auto"/>
        <w:jc w:val="left"/>
        <w:rPr>
          <w:rFonts w:hint="eastAsia" w:ascii="宋体" w:hAnsi="宋体"/>
          <w:kern w:val="2"/>
          <w:sz w:val="24"/>
          <w:szCs w:val="24"/>
          <w:lang w:val="en-US" w:eastAsia="zh-CN"/>
        </w:rPr>
      </w:pPr>
      <w:r>
        <w:rPr>
          <w:rFonts w:hint="eastAsia" w:ascii="宋体" w:hAnsi="宋体"/>
          <w:kern w:val="2"/>
          <w:sz w:val="24"/>
          <w:szCs w:val="24"/>
          <w:lang w:val="en-US" w:eastAsia="zh-CN"/>
        </w:rPr>
        <w:t xml:space="preserve">                                       </w:t>
      </w:r>
    </w:p>
    <w:p>
      <w:pPr>
        <w:widowControl/>
        <w:spacing w:line="360" w:lineRule="auto"/>
        <w:ind w:firstLine="4800" w:firstLineChars="2000"/>
        <w:jc w:val="left"/>
        <w:rPr>
          <w:rFonts w:hint="default" w:ascii="宋体" w:hAnsi="宋体"/>
          <w:kern w:val="2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="宋体" w:hAnsi="宋体"/>
          <w:kern w:val="2"/>
          <w:sz w:val="24"/>
          <w:szCs w:val="24"/>
          <w:lang w:val="en-US" w:eastAsia="zh-CN"/>
        </w:rPr>
        <w:t>(完）</w:t>
      </w:r>
    </w:p>
    <w:sectPr>
      <w:footerReference r:id="rId4" w:type="first"/>
      <w:footerReference r:id="rId3" w:type="default"/>
      <w:pgSz w:w="11906" w:h="16838"/>
      <w:pgMar w:top="1417" w:right="850" w:bottom="850" w:left="1417" w:header="851" w:footer="992" w:gutter="0"/>
      <w:pgNumType w:start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E74782"/>
    <w:multiLevelType w:val="multilevel"/>
    <w:tmpl w:val="25E74782"/>
    <w:lvl w:ilvl="0" w:tentative="0">
      <w:start w:val="1"/>
      <w:numFmt w:val="japaneseCounting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393696A"/>
    <w:multiLevelType w:val="singleLevel"/>
    <w:tmpl w:val="5393696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FlZjJmMDc0MjkyZjZmZmU5YTI2MzkyYzg1NzUwMWIifQ=="/>
  </w:docVars>
  <w:rsids>
    <w:rsidRoot w:val="00914097"/>
    <w:rsid w:val="00011723"/>
    <w:rsid w:val="00013654"/>
    <w:rsid w:val="000749E3"/>
    <w:rsid w:val="00077CC1"/>
    <w:rsid w:val="00097764"/>
    <w:rsid w:val="00141B91"/>
    <w:rsid w:val="00144C26"/>
    <w:rsid w:val="00155D85"/>
    <w:rsid w:val="00236CF4"/>
    <w:rsid w:val="00285532"/>
    <w:rsid w:val="00392D99"/>
    <w:rsid w:val="003A5A33"/>
    <w:rsid w:val="003A5D2F"/>
    <w:rsid w:val="003F2278"/>
    <w:rsid w:val="00471426"/>
    <w:rsid w:val="00502559"/>
    <w:rsid w:val="00610000"/>
    <w:rsid w:val="00624B5B"/>
    <w:rsid w:val="007402CA"/>
    <w:rsid w:val="007C51F9"/>
    <w:rsid w:val="00812E5F"/>
    <w:rsid w:val="008878D1"/>
    <w:rsid w:val="00890A11"/>
    <w:rsid w:val="008960B9"/>
    <w:rsid w:val="00914097"/>
    <w:rsid w:val="00940405"/>
    <w:rsid w:val="00940639"/>
    <w:rsid w:val="00982770"/>
    <w:rsid w:val="009D775B"/>
    <w:rsid w:val="009F1FCB"/>
    <w:rsid w:val="00A54B17"/>
    <w:rsid w:val="00A7236B"/>
    <w:rsid w:val="00AA2FFC"/>
    <w:rsid w:val="00AD701C"/>
    <w:rsid w:val="00B327D6"/>
    <w:rsid w:val="00B41BAE"/>
    <w:rsid w:val="00B86917"/>
    <w:rsid w:val="00BD6F84"/>
    <w:rsid w:val="00CA6B9A"/>
    <w:rsid w:val="00CB0F9B"/>
    <w:rsid w:val="00D858ED"/>
    <w:rsid w:val="00DC684A"/>
    <w:rsid w:val="00EB1CD3"/>
    <w:rsid w:val="00F20C3B"/>
    <w:rsid w:val="00F7297C"/>
    <w:rsid w:val="00F85F8E"/>
    <w:rsid w:val="00FD4BE9"/>
    <w:rsid w:val="013C246A"/>
    <w:rsid w:val="01722330"/>
    <w:rsid w:val="018F4C90"/>
    <w:rsid w:val="025008C3"/>
    <w:rsid w:val="02991BFD"/>
    <w:rsid w:val="02B20C36"/>
    <w:rsid w:val="02FA25DD"/>
    <w:rsid w:val="033A6707"/>
    <w:rsid w:val="03675EC4"/>
    <w:rsid w:val="04470620"/>
    <w:rsid w:val="045808C7"/>
    <w:rsid w:val="04FF212C"/>
    <w:rsid w:val="06331EEA"/>
    <w:rsid w:val="06532730"/>
    <w:rsid w:val="06744E59"/>
    <w:rsid w:val="06DF3FC3"/>
    <w:rsid w:val="07095BC0"/>
    <w:rsid w:val="07117EF5"/>
    <w:rsid w:val="07133C6D"/>
    <w:rsid w:val="076A249B"/>
    <w:rsid w:val="07A82607"/>
    <w:rsid w:val="07C37441"/>
    <w:rsid w:val="08495617"/>
    <w:rsid w:val="08791BDE"/>
    <w:rsid w:val="08F5187C"/>
    <w:rsid w:val="0935436E"/>
    <w:rsid w:val="0A7964DD"/>
    <w:rsid w:val="0A9926DB"/>
    <w:rsid w:val="0AD11E75"/>
    <w:rsid w:val="0B436951"/>
    <w:rsid w:val="0B70168E"/>
    <w:rsid w:val="0C0A1F33"/>
    <w:rsid w:val="0C7358DA"/>
    <w:rsid w:val="0D830EA6"/>
    <w:rsid w:val="0DB51AE3"/>
    <w:rsid w:val="0DC9777B"/>
    <w:rsid w:val="0E012A71"/>
    <w:rsid w:val="0E0367E9"/>
    <w:rsid w:val="0E0B7D94"/>
    <w:rsid w:val="0E1867C8"/>
    <w:rsid w:val="0EA63619"/>
    <w:rsid w:val="10FF7124"/>
    <w:rsid w:val="11013837"/>
    <w:rsid w:val="11205904"/>
    <w:rsid w:val="11A0337E"/>
    <w:rsid w:val="122B4561"/>
    <w:rsid w:val="128A1139"/>
    <w:rsid w:val="12CB18A0"/>
    <w:rsid w:val="13347445"/>
    <w:rsid w:val="134024EC"/>
    <w:rsid w:val="138403CC"/>
    <w:rsid w:val="13F015BE"/>
    <w:rsid w:val="14384620"/>
    <w:rsid w:val="14E86C03"/>
    <w:rsid w:val="152D6842"/>
    <w:rsid w:val="15631C3A"/>
    <w:rsid w:val="159535BE"/>
    <w:rsid w:val="16847473"/>
    <w:rsid w:val="16C136E5"/>
    <w:rsid w:val="16C62AAA"/>
    <w:rsid w:val="172B4C6F"/>
    <w:rsid w:val="17321EED"/>
    <w:rsid w:val="17365367"/>
    <w:rsid w:val="177B5642"/>
    <w:rsid w:val="17946704"/>
    <w:rsid w:val="17EC02EE"/>
    <w:rsid w:val="18191102"/>
    <w:rsid w:val="18DA45EA"/>
    <w:rsid w:val="192817FA"/>
    <w:rsid w:val="19566367"/>
    <w:rsid w:val="19666246"/>
    <w:rsid w:val="198C1D89"/>
    <w:rsid w:val="19E3649F"/>
    <w:rsid w:val="1A134258"/>
    <w:rsid w:val="1AB8229E"/>
    <w:rsid w:val="1AD0039B"/>
    <w:rsid w:val="1ADA4D76"/>
    <w:rsid w:val="1AEF1D35"/>
    <w:rsid w:val="1B216547"/>
    <w:rsid w:val="1B3B1CB8"/>
    <w:rsid w:val="1B430B6D"/>
    <w:rsid w:val="1B446693"/>
    <w:rsid w:val="1B6612DF"/>
    <w:rsid w:val="1B746C38"/>
    <w:rsid w:val="1B7E1BA5"/>
    <w:rsid w:val="1B8C2514"/>
    <w:rsid w:val="1BAA7F40"/>
    <w:rsid w:val="1BFD0D1C"/>
    <w:rsid w:val="1C6A739E"/>
    <w:rsid w:val="1D445393"/>
    <w:rsid w:val="1D497F91"/>
    <w:rsid w:val="1D4D7A81"/>
    <w:rsid w:val="1D7B2840"/>
    <w:rsid w:val="1EB11C69"/>
    <w:rsid w:val="1EF43063"/>
    <w:rsid w:val="1F073C5F"/>
    <w:rsid w:val="1F8326BC"/>
    <w:rsid w:val="20104D96"/>
    <w:rsid w:val="21182154"/>
    <w:rsid w:val="21EB7868"/>
    <w:rsid w:val="23D507D0"/>
    <w:rsid w:val="23F5286D"/>
    <w:rsid w:val="24186FBC"/>
    <w:rsid w:val="248B0E8F"/>
    <w:rsid w:val="248D2E59"/>
    <w:rsid w:val="24D9609E"/>
    <w:rsid w:val="24EC30DB"/>
    <w:rsid w:val="2500660A"/>
    <w:rsid w:val="250C0222"/>
    <w:rsid w:val="252E0198"/>
    <w:rsid w:val="25A42208"/>
    <w:rsid w:val="25E22D30"/>
    <w:rsid w:val="26284BE7"/>
    <w:rsid w:val="26A36795"/>
    <w:rsid w:val="26AE2448"/>
    <w:rsid w:val="27B32BD6"/>
    <w:rsid w:val="27CC5360"/>
    <w:rsid w:val="27F207B2"/>
    <w:rsid w:val="27FE2FC6"/>
    <w:rsid w:val="28235FAE"/>
    <w:rsid w:val="285717B4"/>
    <w:rsid w:val="288B3C14"/>
    <w:rsid w:val="28E058EF"/>
    <w:rsid w:val="28ED3EC6"/>
    <w:rsid w:val="294A30C6"/>
    <w:rsid w:val="2A1C442B"/>
    <w:rsid w:val="2A461AE0"/>
    <w:rsid w:val="2BA47406"/>
    <w:rsid w:val="2C815051"/>
    <w:rsid w:val="2CD0422B"/>
    <w:rsid w:val="2CE455E0"/>
    <w:rsid w:val="2D12039F"/>
    <w:rsid w:val="2D371BB4"/>
    <w:rsid w:val="2DFB7085"/>
    <w:rsid w:val="2E1A6113"/>
    <w:rsid w:val="2E8E614B"/>
    <w:rsid w:val="2E905A1F"/>
    <w:rsid w:val="2E9D013C"/>
    <w:rsid w:val="2EC456C9"/>
    <w:rsid w:val="2EC67693"/>
    <w:rsid w:val="2F3D00C6"/>
    <w:rsid w:val="2F61116A"/>
    <w:rsid w:val="2FD162F0"/>
    <w:rsid w:val="3034062C"/>
    <w:rsid w:val="30AF7428"/>
    <w:rsid w:val="30B254F4"/>
    <w:rsid w:val="30D50061"/>
    <w:rsid w:val="30FE6134"/>
    <w:rsid w:val="3116731A"/>
    <w:rsid w:val="3207249C"/>
    <w:rsid w:val="320A5AE9"/>
    <w:rsid w:val="322841C1"/>
    <w:rsid w:val="327D450D"/>
    <w:rsid w:val="32D85BE7"/>
    <w:rsid w:val="32F742BF"/>
    <w:rsid w:val="33A87367"/>
    <w:rsid w:val="33D91C17"/>
    <w:rsid w:val="33EC194A"/>
    <w:rsid w:val="33F26834"/>
    <w:rsid w:val="33F27507"/>
    <w:rsid w:val="342A2472"/>
    <w:rsid w:val="34607C42"/>
    <w:rsid w:val="346534AA"/>
    <w:rsid w:val="347100A1"/>
    <w:rsid w:val="34AC2E87"/>
    <w:rsid w:val="34C26F7D"/>
    <w:rsid w:val="34C644F9"/>
    <w:rsid w:val="355F439E"/>
    <w:rsid w:val="364610BA"/>
    <w:rsid w:val="364D41F6"/>
    <w:rsid w:val="36952D75"/>
    <w:rsid w:val="36987B67"/>
    <w:rsid w:val="36C344B8"/>
    <w:rsid w:val="36E277B8"/>
    <w:rsid w:val="377F2AD5"/>
    <w:rsid w:val="37920A5A"/>
    <w:rsid w:val="37DE3C9F"/>
    <w:rsid w:val="380D1E8F"/>
    <w:rsid w:val="38980A15"/>
    <w:rsid w:val="38A30A45"/>
    <w:rsid w:val="38AA3B82"/>
    <w:rsid w:val="38B8629F"/>
    <w:rsid w:val="38BF4998"/>
    <w:rsid w:val="38C369F1"/>
    <w:rsid w:val="39050DB8"/>
    <w:rsid w:val="390A63CE"/>
    <w:rsid w:val="3A085004"/>
    <w:rsid w:val="3A0C5E4C"/>
    <w:rsid w:val="3A43428E"/>
    <w:rsid w:val="3B1E5F19"/>
    <w:rsid w:val="3B2E2848"/>
    <w:rsid w:val="3B7B35B3"/>
    <w:rsid w:val="3BD26CFD"/>
    <w:rsid w:val="3C3A6FCB"/>
    <w:rsid w:val="3CA1135A"/>
    <w:rsid w:val="3D2263DC"/>
    <w:rsid w:val="3D672041"/>
    <w:rsid w:val="3DA9265A"/>
    <w:rsid w:val="3E5A1BA6"/>
    <w:rsid w:val="3E8804C1"/>
    <w:rsid w:val="3F19736B"/>
    <w:rsid w:val="3F8769CB"/>
    <w:rsid w:val="3FB157F6"/>
    <w:rsid w:val="3FCC0881"/>
    <w:rsid w:val="40302BBE"/>
    <w:rsid w:val="40A435AC"/>
    <w:rsid w:val="410F4ECA"/>
    <w:rsid w:val="41203EA5"/>
    <w:rsid w:val="4142704D"/>
    <w:rsid w:val="415F1ED4"/>
    <w:rsid w:val="417116E0"/>
    <w:rsid w:val="4194536F"/>
    <w:rsid w:val="41B82E6B"/>
    <w:rsid w:val="41C81024"/>
    <w:rsid w:val="42274495"/>
    <w:rsid w:val="422B5F99"/>
    <w:rsid w:val="426A6803"/>
    <w:rsid w:val="42D31F27"/>
    <w:rsid w:val="437159C8"/>
    <w:rsid w:val="43C57AC2"/>
    <w:rsid w:val="442C4E3E"/>
    <w:rsid w:val="443E7B2D"/>
    <w:rsid w:val="444A6219"/>
    <w:rsid w:val="448F4857"/>
    <w:rsid w:val="449E0956"/>
    <w:rsid w:val="44CD1163"/>
    <w:rsid w:val="44CE29A6"/>
    <w:rsid w:val="44D0671E"/>
    <w:rsid w:val="45047D62"/>
    <w:rsid w:val="45557E0F"/>
    <w:rsid w:val="45FD1795"/>
    <w:rsid w:val="46001285"/>
    <w:rsid w:val="46003033"/>
    <w:rsid w:val="46401681"/>
    <w:rsid w:val="46B362F7"/>
    <w:rsid w:val="47887784"/>
    <w:rsid w:val="479F062A"/>
    <w:rsid w:val="48790E7B"/>
    <w:rsid w:val="48AA087F"/>
    <w:rsid w:val="48C04CFB"/>
    <w:rsid w:val="48CB3DCC"/>
    <w:rsid w:val="491237A9"/>
    <w:rsid w:val="49583186"/>
    <w:rsid w:val="4A2F3EE7"/>
    <w:rsid w:val="4A8C1339"/>
    <w:rsid w:val="4ADD3943"/>
    <w:rsid w:val="4B603386"/>
    <w:rsid w:val="4BB5041C"/>
    <w:rsid w:val="4C247811"/>
    <w:rsid w:val="4D3B1A90"/>
    <w:rsid w:val="4D5A3970"/>
    <w:rsid w:val="4D93478D"/>
    <w:rsid w:val="4DF27705"/>
    <w:rsid w:val="4DFC67D6"/>
    <w:rsid w:val="4E4723F5"/>
    <w:rsid w:val="4E593DA1"/>
    <w:rsid w:val="4EA07161"/>
    <w:rsid w:val="4EAE6BA4"/>
    <w:rsid w:val="4EBE1630"/>
    <w:rsid w:val="4EE47996"/>
    <w:rsid w:val="4F0C47F7"/>
    <w:rsid w:val="4F0E2C85"/>
    <w:rsid w:val="4F251D5C"/>
    <w:rsid w:val="4F532425"/>
    <w:rsid w:val="4F70647C"/>
    <w:rsid w:val="4FA233AD"/>
    <w:rsid w:val="4FF162DD"/>
    <w:rsid w:val="4FF754A7"/>
    <w:rsid w:val="504E39F2"/>
    <w:rsid w:val="5075461D"/>
    <w:rsid w:val="50A867A1"/>
    <w:rsid w:val="50B82E88"/>
    <w:rsid w:val="50F9524E"/>
    <w:rsid w:val="512408A7"/>
    <w:rsid w:val="51695F30"/>
    <w:rsid w:val="5181369F"/>
    <w:rsid w:val="51E97071"/>
    <w:rsid w:val="52081BED"/>
    <w:rsid w:val="525A7F6F"/>
    <w:rsid w:val="527E58C8"/>
    <w:rsid w:val="528D20F2"/>
    <w:rsid w:val="52C55BBA"/>
    <w:rsid w:val="52C673B2"/>
    <w:rsid w:val="53807561"/>
    <w:rsid w:val="539D6365"/>
    <w:rsid w:val="539F20DD"/>
    <w:rsid w:val="53EB15FB"/>
    <w:rsid w:val="541D24F3"/>
    <w:rsid w:val="55256612"/>
    <w:rsid w:val="55CD2393"/>
    <w:rsid w:val="561D36BE"/>
    <w:rsid w:val="569101BA"/>
    <w:rsid w:val="56F905B2"/>
    <w:rsid w:val="56FA5A54"/>
    <w:rsid w:val="572A47DF"/>
    <w:rsid w:val="57766A4F"/>
    <w:rsid w:val="57B123DF"/>
    <w:rsid w:val="583D71CA"/>
    <w:rsid w:val="5853793A"/>
    <w:rsid w:val="59101387"/>
    <w:rsid w:val="5933590A"/>
    <w:rsid w:val="59401C6C"/>
    <w:rsid w:val="59B44408"/>
    <w:rsid w:val="5A3317D1"/>
    <w:rsid w:val="5A5359CF"/>
    <w:rsid w:val="5A70032F"/>
    <w:rsid w:val="5AB9201E"/>
    <w:rsid w:val="5B1E7D8B"/>
    <w:rsid w:val="5B9E663D"/>
    <w:rsid w:val="5C116D80"/>
    <w:rsid w:val="5C6B2D9C"/>
    <w:rsid w:val="5D5F6439"/>
    <w:rsid w:val="5D7F11DC"/>
    <w:rsid w:val="5DE57F1D"/>
    <w:rsid w:val="5E6261E1"/>
    <w:rsid w:val="5EDC2437"/>
    <w:rsid w:val="5EFD3D34"/>
    <w:rsid w:val="5F8D54E0"/>
    <w:rsid w:val="5FD44EBD"/>
    <w:rsid w:val="605E50CE"/>
    <w:rsid w:val="60634492"/>
    <w:rsid w:val="60651FB9"/>
    <w:rsid w:val="609B7124"/>
    <w:rsid w:val="61235A9C"/>
    <w:rsid w:val="61A134C4"/>
    <w:rsid w:val="620121B5"/>
    <w:rsid w:val="626D15F8"/>
    <w:rsid w:val="628726BA"/>
    <w:rsid w:val="62EF6BE7"/>
    <w:rsid w:val="62FA736F"/>
    <w:rsid w:val="630A6E47"/>
    <w:rsid w:val="63624ED5"/>
    <w:rsid w:val="637F7835"/>
    <w:rsid w:val="63BA261B"/>
    <w:rsid w:val="63D25BB7"/>
    <w:rsid w:val="63D47B81"/>
    <w:rsid w:val="6488096B"/>
    <w:rsid w:val="654E5711"/>
    <w:rsid w:val="65F00688"/>
    <w:rsid w:val="660160D6"/>
    <w:rsid w:val="66A852F5"/>
    <w:rsid w:val="66BF63B1"/>
    <w:rsid w:val="67135FD0"/>
    <w:rsid w:val="67414C6B"/>
    <w:rsid w:val="67424E02"/>
    <w:rsid w:val="68442DFB"/>
    <w:rsid w:val="68B7181F"/>
    <w:rsid w:val="68C33D20"/>
    <w:rsid w:val="693C3AD3"/>
    <w:rsid w:val="69750844"/>
    <w:rsid w:val="6976022A"/>
    <w:rsid w:val="69AD0B3C"/>
    <w:rsid w:val="6A102F95"/>
    <w:rsid w:val="6AE755AA"/>
    <w:rsid w:val="6AF6242A"/>
    <w:rsid w:val="6B4D449B"/>
    <w:rsid w:val="6BF6265F"/>
    <w:rsid w:val="6C5D623A"/>
    <w:rsid w:val="6C64581A"/>
    <w:rsid w:val="6C6475C8"/>
    <w:rsid w:val="6D3276C6"/>
    <w:rsid w:val="6DE940F3"/>
    <w:rsid w:val="6E4F199A"/>
    <w:rsid w:val="6E511395"/>
    <w:rsid w:val="6E767955"/>
    <w:rsid w:val="6E7855AD"/>
    <w:rsid w:val="6E963588"/>
    <w:rsid w:val="6EE113A4"/>
    <w:rsid w:val="6EF015E7"/>
    <w:rsid w:val="6F8D6E36"/>
    <w:rsid w:val="6F975F07"/>
    <w:rsid w:val="6F9C3E76"/>
    <w:rsid w:val="71072C18"/>
    <w:rsid w:val="71324139"/>
    <w:rsid w:val="71866233"/>
    <w:rsid w:val="71902C0D"/>
    <w:rsid w:val="71946BA2"/>
    <w:rsid w:val="71A768D5"/>
    <w:rsid w:val="72231CD3"/>
    <w:rsid w:val="72F1592E"/>
    <w:rsid w:val="72FD0776"/>
    <w:rsid w:val="73700F48"/>
    <w:rsid w:val="73832A2A"/>
    <w:rsid w:val="741144D9"/>
    <w:rsid w:val="754206C3"/>
    <w:rsid w:val="75447E74"/>
    <w:rsid w:val="755325D9"/>
    <w:rsid w:val="75CD2682"/>
    <w:rsid w:val="75DD576F"/>
    <w:rsid w:val="76206C56"/>
    <w:rsid w:val="762A1882"/>
    <w:rsid w:val="764F12E9"/>
    <w:rsid w:val="76A55366"/>
    <w:rsid w:val="770420D4"/>
    <w:rsid w:val="77183DD1"/>
    <w:rsid w:val="776B2153"/>
    <w:rsid w:val="77D00208"/>
    <w:rsid w:val="77F9775E"/>
    <w:rsid w:val="78321606"/>
    <w:rsid w:val="783833EA"/>
    <w:rsid w:val="783E1615"/>
    <w:rsid w:val="7854496A"/>
    <w:rsid w:val="7875524F"/>
    <w:rsid w:val="78801C2E"/>
    <w:rsid w:val="78DB3308"/>
    <w:rsid w:val="78F65A4C"/>
    <w:rsid w:val="79117F3D"/>
    <w:rsid w:val="79626B52"/>
    <w:rsid w:val="797A074D"/>
    <w:rsid w:val="7A41719B"/>
    <w:rsid w:val="7AAF05A8"/>
    <w:rsid w:val="7AB43E11"/>
    <w:rsid w:val="7AE65E1A"/>
    <w:rsid w:val="7B845591"/>
    <w:rsid w:val="7C3D3992"/>
    <w:rsid w:val="7C574A54"/>
    <w:rsid w:val="7C9E2682"/>
    <w:rsid w:val="7D300941"/>
    <w:rsid w:val="7D3B4375"/>
    <w:rsid w:val="7E060951"/>
    <w:rsid w:val="7E372D8F"/>
    <w:rsid w:val="7EA232D1"/>
    <w:rsid w:val="7ECB24A2"/>
    <w:rsid w:val="7F0A53AE"/>
    <w:rsid w:val="7F5434CC"/>
    <w:rsid w:val="7F995383"/>
    <w:rsid w:val="7FE64A6C"/>
    <w:rsid w:val="7FFE7BE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nhideWhenUsed="0" w:uiPriority="99" w:semiHidden="0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99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99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adjustRightInd w:val="0"/>
      <w:spacing w:before="260" w:beforeLines="0" w:after="260" w:afterLines="0"/>
      <w:ind w:firstLine="0" w:firstLineChars="0"/>
      <w:textAlignment w:val="baseline"/>
      <w:outlineLvl w:val="1"/>
    </w:pPr>
    <w:rPr>
      <w:rFonts w:ascii="Arial" w:hAnsi="Arial"/>
      <w:b/>
      <w:bCs/>
      <w:kern w:val="0"/>
      <w:sz w:val="28"/>
      <w:szCs w:val="32"/>
    </w:rPr>
  </w:style>
  <w:style w:type="character" w:default="1" w:styleId="14">
    <w:name w:val="Default Paragraph Font"/>
    <w:unhideWhenUsed/>
    <w:qFormat/>
    <w:uiPriority w:val="1"/>
  </w:style>
  <w:style w:type="table" w:default="1" w:styleId="1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99"/>
    <w:pPr>
      <w:spacing w:before="120"/>
    </w:pPr>
    <w:rPr>
      <w:rFonts w:ascii="Arial" w:hAnsi="Arial" w:cs="Arial"/>
    </w:rPr>
  </w:style>
  <w:style w:type="paragraph" w:styleId="4">
    <w:name w:val="Body Text"/>
    <w:basedOn w:val="1"/>
    <w:qFormat/>
    <w:uiPriority w:val="99"/>
    <w:pPr>
      <w:spacing w:after="120"/>
    </w:pPr>
  </w:style>
  <w:style w:type="paragraph" w:styleId="5">
    <w:name w:val="Body Text Indent"/>
    <w:basedOn w:val="1"/>
    <w:unhideWhenUsed/>
    <w:qFormat/>
    <w:uiPriority w:val="99"/>
  </w:style>
  <w:style w:type="paragraph" w:styleId="6">
    <w:name w:val="Balloon Text"/>
    <w:basedOn w:val="1"/>
    <w:link w:val="15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0">
    <w:name w:val="Body Text First Indent"/>
    <w:basedOn w:val="4"/>
    <w:qFormat/>
    <w:uiPriority w:val="99"/>
    <w:pPr>
      <w:spacing w:line="312" w:lineRule="auto"/>
      <w:ind w:firstLine="420"/>
    </w:pPr>
  </w:style>
  <w:style w:type="paragraph" w:styleId="11">
    <w:name w:val="Body Text First Indent 2"/>
    <w:basedOn w:val="5"/>
    <w:qFormat/>
    <w:uiPriority w:val="0"/>
    <w:pPr>
      <w:adjustRightInd w:val="0"/>
      <w:spacing w:line="312" w:lineRule="atLeast"/>
      <w:ind w:left="0" w:leftChars="0" w:firstLine="420"/>
      <w:textAlignment w:val="baseline"/>
    </w:pPr>
  </w:style>
  <w:style w:type="table" w:styleId="13">
    <w:name w:val="Table Grid"/>
    <w:basedOn w:val="1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">
    <w:name w:val="批注框文本 Char"/>
    <w:basedOn w:val="14"/>
    <w:link w:val="6"/>
    <w:semiHidden/>
    <w:qFormat/>
    <w:uiPriority w:val="99"/>
    <w:rPr>
      <w:sz w:val="18"/>
      <w:szCs w:val="18"/>
    </w:rPr>
  </w:style>
  <w:style w:type="paragraph" w:customStyle="1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页眉 Char"/>
    <w:basedOn w:val="14"/>
    <w:link w:val="8"/>
    <w:qFormat/>
    <w:uiPriority w:val="99"/>
    <w:rPr>
      <w:sz w:val="18"/>
      <w:szCs w:val="18"/>
    </w:rPr>
  </w:style>
  <w:style w:type="character" w:customStyle="1" w:styleId="18">
    <w:name w:val="页脚 Char"/>
    <w:basedOn w:val="14"/>
    <w:link w:val="7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numbering" Target="numbering.xml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741834-C429-4566-8314-903C6EA9106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1250</Words>
  <Characters>1292</Characters>
  <Lines>1</Lines>
  <Paragraphs>1</Paragraphs>
  <TotalTime>12</TotalTime>
  <ScaleCrop>false</ScaleCrop>
  <LinksUpToDate>false</LinksUpToDate>
  <CharactersWithSpaces>1389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2014-08-21T07:50:00Z</dcterms:created>
  <dc:creator>DELL-N4050</dc:creator>
  <cp:lastModifiedBy>秦邦学</cp:lastModifiedBy>
  <cp:lastPrinted>2024-12-04T13:26:00Z</cp:lastPrinted>
  <dcterms:modified xsi:type="dcterms:W3CDTF">2024-12-29T12:27:45Z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D165F7BE5C154CFAAC4015FF7C392552</vt:lpwstr>
  </property>
</Properties>
</file>