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6000" w:firstLineChars="2500"/>
        <w:rPr>
          <w:sz w:val="24"/>
          <w:szCs w:val="28"/>
        </w:rPr>
      </w:pPr>
      <w:r>
        <w:rPr>
          <w:rFonts w:hint="eastAsia"/>
          <w:sz w:val="24"/>
          <w:szCs w:val="28"/>
        </w:rPr>
        <w:t>编号：</w:t>
      </w:r>
      <w:r>
        <w:rPr>
          <w:rFonts w:hint="eastAsia"/>
          <w:sz w:val="24"/>
          <w:szCs w:val="28"/>
          <w:lang w:val="en-US" w:eastAsia="zh-CN"/>
        </w:rPr>
        <w:t>TZ-SAJL-YB-2024-11-005</w:t>
      </w: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jc w:val="center"/>
        <w:rPr>
          <w:rFonts w:hint="eastAsia" w:ascii="黑体" w:hAnsi="黑体" w:eastAsia="黑体"/>
          <w:color w:val="000000" w:themeColor="text1"/>
          <w:spacing w:val="-28"/>
          <w:sz w:val="40"/>
          <w:szCs w:val="40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jc w:val="center"/>
        <w:rPr>
          <w:rFonts w:hint="eastAsia" w:ascii="黑体" w:hAnsi="黑体" w:eastAsia="黑体"/>
          <w:color w:val="000000" w:themeColor="text1"/>
          <w:spacing w:val="-28"/>
          <w:sz w:val="40"/>
          <w:szCs w:val="40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jc w:val="center"/>
        <w:rPr>
          <w:rFonts w:hint="eastAsia" w:ascii="黑体" w:hAnsi="黑体" w:eastAsia="黑体"/>
          <w:color w:val="000000" w:themeColor="text1"/>
          <w:spacing w:val="-28"/>
          <w:sz w:val="40"/>
          <w:szCs w:val="40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/>
          <w:color w:val="000000" w:themeColor="text1"/>
          <w:spacing w:val="-28"/>
          <w:sz w:val="40"/>
          <w:szCs w:val="40"/>
          <w:lang w:val="en-US" w:eastAsia="zh-CN"/>
          <w14:textFill>
            <w14:solidFill>
              <w14:schemeClr w14:val="tx1"/>
            </w14:solidFill>
          </w14:textFill>
        </w:rPr>
        <w:t>高邮市鑫辰新能源有限公司汤庄镇78MW渔光互补光伏发电项目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 w:line="360" w:lineRule="auto"/>
        <w:ind w:right="0" w:firstLine="2160" w:firstLineChars="600"/>
        <w:jc w:val="both"/>
        <w:rPr>
          <w:rFonts w:hint="default"/>
          <w:sz w:val="36"/>
          <w:szCs w:val="36"/>
          <w:lang w:val="en-US"/>
        </w:rPr>
      </w:pPr>
    </w:p>
    <w:p>
      <w:pPr>
        <w:pStyle w:val="2"/>
        <w:rPr>
          <w:rFonts w:hint="default"/>
          <w:sz w:val="36"/>
          <w:szCs w:val="36"/>
          <w:lang w:val="en-US"/>
        </w:rPr>
      </w:pPr>
    </w:p>
    <w:p>
      <w:pPr>
        <w:pStyle w:val="2"/>
        <w:rPr>
          <w:rFonts w:hint="default"/>
          <w:lang w:val="en-US"/>
        </w:rPr>
      </w:pPr>
    </w:p>
    <w:p>
      <w:pPr>
        <w:spacing w:before="1248" w:beforeLines="400" w:after="468" w:afterLines="150" w:line="480" w:lineRule="auto"/>
        <w:ind w:firstLine="2600" w:firstLineChars="500"/>
        <w:jc w:val="both"/>
        <w:rPr>
          <w:rFonts w:ascii="黑体" w:hAnsi="黑体" w:eastAsia="黑体"/>
          <w:color w:val="000000" w:themeColor="text1"/>
          <w:sz w:val="52"/>
          <w:szCs w:val="5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/>
          <w:color w:val="000000" w:themeColor="text1"/>
          <w:sz w:val="52"/>
          <w:szCs w:val="52"/>
          <w14:textFill>
            <w14:solidFill>
              <w14:schemeClr w14:val="tx1"/>
            </w14:solidFill>
          </w14:textFill>
        </w:rPr>
        <w:t>监  理  月  报</w:t>
      </w:r>
    </w:p>
    <w:p>
      <w:pPr>
        <w:jc w:val="center"/>
        <w:rPr>
          <w:rFonts w:hint="eastAsia" w:asciiTheme="minorEastAsia" w:hAnsiTheme="minorEastAsia"/>
          <w:color w:val="000000" w:themeColor="text1"/>
          <w:sz w:val="32"/>
          <w:szCs w:val="36"/>
          <w:lang w:val="en-US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/>
          <w:color w:val="000000" w:themeColor="text1"/>
          <w:sz w:val="32"/>
          <w:szCs w:val="36"/>
          <w14:textFill>
            <w14:solidFill>
              <w14:schemeClr w14:val="tx1"/>
            </w14:solidFill>
          </w14:textFill>
        </w:rPr>
        <w:t xml:space="preserve"> </w:t>
      </w:r>
    </w:p>
    <w:p>
      <w:pPr>
        <w:pStyle w:val="11"/>
        <w:rPr>
          <w:rFonts w:hint="eastAsia" w:asciiTheme="minorEastAsia" w:hAnsiTheme="minorEastAsia"/>
          <w:color w:val="000000" w:themeColor="text1"/>
          <w:sz w:val="32"/>
          <w:szCs w:val="36"/>
          <w:lang w:val="en-US"/>
          <w14:textFill>
            <w14:solidFill>
              <w14:schemeClr w14:val="tx1"/>
            </w14:solidFill>
          </w14:textFill>
        </w:rPr>
      </w:pPr>
    </w:p>
    <w:p>
      <w:pPr>
        <w:pStyle w:val="11"/>
        <w:rPr>
          <w:rFonts w:hint="eastAsia" w:asciiTheme="minorEastAsia" w:hAnsiTheme="minorEastAsia"/>
          <w:color w:val="000000" w:themeColor="text1"/>
          <w:sz w:val="32"/>
          <w:szCs w:val="36"/>
          <w:lang w:val="en-US"/>
          <w14:textFill>
            <w14:solidFill>
              <w14:schemeClr w14:val="tx1"/>
            </w14:solidFill>
          </w14:textFill>
        </w:rPr>
      </w:pPr>
    </w:p>
    <w:p>
      <w:pPr>
        <w:spacing w:before="156" w:beforeLines="50" w:after="156" w:afterLines="50"/>
        <w:jc w:val="center"/>
        <w:rPr>
          <w:rFonts w:hint="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spacing w:before="156" w:beforeLines="50" w:after="156" w:afterLines="50"/>
        <w:ind w:firstLine="2640" w:firstLineChars="1100"/>
        <w:jc w:val="both"/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项目监理部（章）：</w:t>
      </w:r>
    </w:p>
    <w:p>
      <w:pPr>
        <w:spacing w:before="468" w:beforeLines="150" w:after="468" w:afterLines="150"/>
        <w:ind w:firstLine="2400" w:firstLineChars="800"/>
        <w:rPr>
          <w:rFonts w:hint="default"/>
          <w:color w:val="000000" w:themeColor="text1"/>
          <w:sz w:val="30"/>
          <w:szCs w:val="30"/>
          <w:lang w:val="en-US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总监理工程师</w:t>
      </w:r>
      <w:r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：</w:t>
      </w:r>
      <w:r>
        <w:rPr>
          <w:rFonts w:hint="eastAsia"/>
          <w:color w:val="000000" w:themeColor="text1"/>
          <w:sz w:val="30"/>
          <w:szCs w:val="30"/>
          <w:u w:val="single"/>
          <w:lang w:val="en-US" w:eastAsia="zh-CN"/>
          <w14:textFill>
            <w14:solidFill>
              <w14:schemeClr w14:val="tx1"/>
            </w14:solidFill>
          </w14:textFill>
        </w:rPr>
        <w:t xml:space="preserve">   宗 浩   </w:t>
      </w:r>
    </w:p>
    <w:p>
      <w:pPr>
        <w:ind w:firstLine="2520" w:firstLineChars="900"/>
        <w:jc w:val="both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日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期：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>20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8"/>
          <w:szCs w:val="28"/>
          <w:u w:val="single"/>
          <w:lang w:val="en-US" w:eastAsia="zh-CN"/>
          <w14:textFill>
            <w14:solidFill>
              <w14:schemeClr w14:val="tx1"/>
            </w14:solidFill>
          </w14:textFill>
        </w:rPr>
        <w:t>24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8"/>
          <w:szCs w:val="28"/>
          <w:u w:val="single"/>
          <w:lang w:val="en-US" w:eastAsia="zh-CN"/>
          <w14:textFill>
            <w14:solidFill>
              <w14:schemeClr w14:val="tx1"/>
            </w14:solidFill>
          </w14:textFill>
        </w:rPr>
        <w:t>11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8"/>
          <w:szCs w:val="28"/>
          <w:u w:val="single"/>
          <w:lang w:val="en-US" w:eastAsia="zh-CN"/>
          <w14:textFill>
            <w14:solidFill>
              <w14:schemeClr w14:val="tx1"/>
            </w14:solidFill>
          </w14:textFill>
        </w:rPr>
        <w:t>30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号</w:t>
      </w:r>
    </w:p>
    <w:p>
      <w:pPr>
        <w:widowControl/>
        <w:jc w:val="left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br w:type="page"/>
      </w:r>
    </w:p>
    <w:p>
      <w:pPr>
        <w:jc w:val="center"/>
        <w:rPr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监  理  月  报</w:t>
      </w:r>
    </w:p>
    <w:p>
      <w:pPr>
        <w:spacing w:before="312" w:beforeLines="100" w:after="468" w:afterLines="150" w:line="480" w:lineRule="auto"/>
        <w:jc w:val="center"/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开始时间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 xml:space="preserve"> 20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>24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>11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>01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 xml:space="preserve">日 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结束日期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 xml:space="preserve"> 20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>24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>11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>30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4"/>
          <w:szCs w:val="24"/>
          <w:u w:val="single"/>
          <w14:textFill>
            <w14:solidFill>
              <w14:schemeClr w14:val="tx1"/>
            </w14:solidFill>
          </w14:textFill>
        </w:rPr>
        <w:t>日</w:t>
      </w:r>
    </w:p>
    <w:p>
      <w:pPr>
        <w:pStyle w:val="16"/>
        <w:numPr>
          <w:ilvl w:val="0"/>
          <w:numId w:val="1"/>
        </w:numPr>
        <w:spacing w:before="156" w:beforeLines="50" w:after="156" w:afterLines="50" w:line="360" w:lineRule="auto"/>
        <w:ind w:left="510" w:hanging="612" w:hangingChars="170"/>
        <w:jc w:val="left"/>
        <w:rPr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监理重点工作情况</w:t>
      </w:r>
    </w:p>
    <w:tbl>
      <w:tblPr>
        <w:tblStyle w:val="13"/>
        <w:tblW w:w="85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8"/>
        <w:gridCol w:w="2058"/>
        <w:gridCol w:w="2850"/>
        <w:gridCol w:w="29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18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专业</w:t>
            </w:r>
          </w:p>
        </w:tc>
        <w:tc>
          <w:tcPr>
            <w:tcW w:w="2058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事项</w:t>
            </w:r>
          </w:p>
        </w:tc>
        <w:tc>
          <w:tcPr>
            <w:tcW w:w="285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本月重点工作情况</w:t>
            </w:r>
          </w:p>
        </w:tc>
        <w:tc>
          <w:tcPr>
            <w:tcW w:w="2902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下月重点工作计划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1" w:hRule="atLeast"/>
        </w:trPr>
        <w:tc>
          <w:tcPr>
            <w:tcW w:w="718" w:type="dxa"/>
            <w:vMerge w:val="restart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FF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进度</w:t>
            </w:r>
          </w:p>
        </w:tc>
        <w:tc>
          <w:tcPr>
            <w:tcW w:w="2058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FF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主要工作</w:t>
            </w:r>
          </w:p>
        </w:tc>
        <w:tc>
          <w:tcPr>
            <w:tcW w:w="2850" w:type="dxa"/>
            <w:vAlign w:val="center"/>
          </w:tcPr>
          <w:p>
            <w:pPr>
              <w:pStyle w:val="16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1、78MW区域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40#、14#、15#、7#、11#、16#塘口打桩完成，31号塘口打桩中，32号塘口进桩准备打桩，共打桩3195根；</w:t>
            </w:r>
          </w:p>
          <w:p>
            <w:pPr>
              <w:pStyle w:val="16"/>
              <w:numPr>
                <w:ilvl w:val="0"/>
                <w:numId w:val="0"/>
              </w:numPr>
              <w:spacing w:line="240" w:lineRule="auto"/>
              <w:rPr>
                <w:rFonts w:hint="default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2、对塘口移交持续跟踪；</w:t>
            </w:r>
          </w:p>
          <w:p>
            <w:pPr>
              <w:pStyle w:val="16"/>
              <w:numPr>
                <w:ilvl w:val="0"/>
                <w:numId w:val="0"/>
              </w:numPr>
              <w:spacing w:line="24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3、土地流转和村委会协调中；</w:t>
            </w:r>
          </w:p>
        </w:tc>
        <w:tc>
          <w:tcPr>
            <w:tcW w:w="2902" w:type="dxa"/>
            <w:vAlign w:val="top"/>
          </w:tcPr>
          <w:p>
            <w:pPr>
              <w:pStyle w:val="16"/>
              <w:numPr>
                <w:ilvl w:val="0"/>
                <w:numId w:val="0"/>
              </w:numPr>
              <w:spacing w:line="240" w:lineRule="auto"/>
              <w:ind w:leftChars="0"/>
              <w:jc w:val="both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6"/>
              <w:numPr>
                <w:ilvl w:val="0"/>
                <w:numId w:val="0"/>
              </w:numPr>
              <w:spacing w:line="240" w:lineRule="auto"/>
              <w:ind w:leftChars="0"/>
              <w:jc w:val="both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1、跟踪塘口移交；</w:t>
            </w:r>
          </w:p>
          <w:p>
            <w:pPr>
              <w:pStyle w:val="16"/>
              <w:numPr>
                <w:ilvl w:val="0"/>
                <w:numId w:val="0"/>
              </w:numPr>
              <w:spacing w:line="240" w:lineRule="auto"/>
              <w:ind w:leftChars="0"/>
              <w:jc w:val="both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2、跟踪进桩进度计划；</w:t>
            </w:r>
          </w:p>
          <w:p>
            <w:pPr>
              <w:pStyle w:val="16"/>
              <w:numPr>
                <w:ilvl w:val="0"/>
                <w:numId w:val="0"/>
              </w:numPr>
              <w:spacing w:line="240" w:lineRule="auto"/>
              <w:ind w:leftChars="0"/>
              <w:jc w:val="both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3、现场跟踪打桩进度；</w:t>
            </w:r>
          </w:p>
          <w:p>
            <w:pPr>
              <w:pStyle w:val="16"/>
              <w:numPr>
                <w:ilvl w:val="0"/>
                <w:numId w:val="0"/>
              </w:numPr>
              <w:spacing w:line="240" w:lineRule="auto"/>
              <w:ind w:leftChars="0"/>
              <w:jc w:val="both"/>
              <w:rPr>
                <w:rFonts w:hint="default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4、质量抽查；</w:t>
            </w:r>
          </w:p>
          <w:p>
            <w:pPr>
              <w:pStyle w:val="16"/>
              <w:numPr>
                <w:ilvl w:val="0"/>
                <w:numId w:val="0"/>
              </w:numPr>
              <w:spacing w:line="240" w:lineRule="auto"/>
              <w:ind w:leftChars="0"/>
              <w:jc w:val="both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16"/>
              <w:numPr>
                <w:ilvl w:val="0"/>
                <w:numId w:val="0"/>
              </w:numPr>
              <w:spacing w:line="240" w:lineRule="auto"/>
              <w:ind w:leftChars="0"/>
              <w:jc w:val="both"/>
              <w:rPr>
                <w:rFonts w:hint="default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设备交付进度</w:t>
            </w:r>
          </w:p>
        </w:tc>
        <w:tc>
          <w:tcPr>
            <w:tcW w:w="2850" w:type="dxa"/>
            <w:vAlign w:val="center"/>
          </w:tcPr>
          <w:p>
            <w:pPr>
              <w:pStyle w:val="16"/>
              <w:numPr>
                <w:ilvl w:val="0"/>
                <w:numId w:val="0"/>
              </w:numPr>
              <w:spacing w:line="240" w:lineRule="auto"/>
              <w:ind w:leftChars="0" w:firstLine="1260" w:firstLineChars="600"/>
              <w:rPr>
                <w:rFonts w:hint="default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2902" w:type="dxa"/>
            <w:vAlign w:val="center"/>
          </w:tcPr>
          <w:p>
            <w:pPr>
              <w:pStyle w:val="16"/>
              <w:numPr>
                <w:ilvl w:val="0"/>
                <w:numId w:val="0"/>
              </w:numPr>
              <w:spacing w:line="240" w:lineRule="auto"/>
              <w:ind w:firstLine="1260" w:firstLineChars="600"/>
              <w:rPr>
                <w:rFonts w:hint="default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设计交付进度</w:t>
            </w:r>
          </w:p>
        </w:tc>
        <w:tc>
          <w:tcPr>
            <w:tcW w:w="2850" w:type="dxa"/>
            <w:vAlign w:val="center"/>
          </w:tcPr>
          <w:p>
            <w:pPr>
              <w:spacing w:line="240" w:lineRule="auto"/>
              <w:ind w:firstLine="420" w:firstLineChars="200"/>
              <w:jc w:val="both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试桩位、试桩</w:t>
            </w: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图纸</w:t>
            </w:r>
          </w:p>
        </w:tc>
        <w:tc>
          <w:tcPr>
            <w:tcW w:w="2902" w:type="dxa"/>
            <w:vAlign w:val="center"/>
          </w:tcPr>
          <w:p>
            <w:pPr>
              <w:spacing w:line="240" w:lineRule="auto"/>
              <w:ind w:firstLine="210" w:firstLineChars="100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出图，图纸审批及会审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6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质量体系运作情况</w:t>
            </w:r>
          </w:p>
        </w:tc>
        <w:tc>
          <w:tcPr>
            <w:tcW w:w="2850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良好</w:t>
            </w:r>
          </w:p>
        </w:tc>
        <w:tc>
          <w:tcPr>
            <w:tcW w:w="2902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持续改进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施工图会审</w:t>
            </w:r>
          </w:p>
        </w:tc>
        <w:tc>
          <w:tcPr>
            <w:tcW w:w="2850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未进行</w:t>
            </w:r>
          </w:p>
        </w:tc>
        <w:tc>
          <w:tcPr>
            <w:tcW w:w="2902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施工图会审</w:t>
            </w: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完成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设计交底</w:t>
            </w:r>
          </w:p>
        </w:tc>
        <w:tc>
          <w:tcPr>
            <w:tcW w:w="285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未进行</w:t>
            </w:r>
          </w:p>
        </w:tc>
        <w:tc>
          <w:tcPr>
            <w:tcW w:w="2902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设计交底</w:t>
            </w: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完成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方案审查</w:t>
            </w:r>
          </w:p>
        </w:tc>
        <w:tc>
          <w:tcPr>
            <w:tcW w:w="2850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已审查</w:t>
            </w:r>
          </w:p>
        </w:tc>
        <w:tc>
          <w:tcPr>
            <w:tcW w:w="2902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完善补充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技术交底</w:t>
            </w:r>
          </w:p>
        </w:tc>
        <w:tc>
          <w:tcPr>
            <w:tcW w:w="2850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完成</w:t>
            </w: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打桩交底</w:t>
            </w:r>
          </w:p>
        </w:tc>
        <w:tc>
          <w:tcPr>
            <w:tcW w:w="2902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完成</w:t>
            </w: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后续工序交底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设计变更</w:t>
            </w:r>
          </w:p>
        </w:tc>
        <w:tc>
          <w:tcPr>
            <w:tcW w:w="285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2902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718" w:type="dxa"/>
            <w:vMerge w:val="restart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安全</w:t>
            </w:r>
          </w:p>
        </w:tc>
        <w:tc>
          <w:tcPr>
            <w:tcW w:w="2058" w:type="dxa"/>
            <w:vAlign w:val="center"/>
          </w:tcPr>
          <w:p>
            <w:pPr>
              <w:tabs>
                <w:tab w:val="left" w:pos="990"/>
              </w:tabs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安全培训情况</w:t>
            </w:r>
          </w:p>
        </w:tc>
        <w:tc>
          <w:tcPr>
            <w:tcW w:w="2850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已完成</w:t>
            </w:r>
          </w:p>
        </w:tc>
        <w:tc>
          <w:tcPr>
            <w:tcW w:w="2902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安全交底情况</w:t>
            </w:r>
          </w:p>
        </w:tc>
        <w:tc>
          <w:tcPr>
            <w:tcW w:w="2850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已完成</w:t>
            </w:r>
          </w:p>
        </w:tc>
        <w:tc>
          <w:tcPr>
            <w:tcW w:w="2902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安全措施落实情况</w:t>
            </w:r>
          </w:p>
        </w:tc>
        <w:tc>
          <w:tcPr>
            <w:tcW w:w="2850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不到位方面要求改正</w:t>
            </w:r>
          </w:p>
        </w:tc>
        <w:tc>
          <w:tcPr>
            <w:tcW w:w="2902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要求按制定的方案措施落实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安全文明施工情况</w:t>
            </w:r>
          </w:p>
        </w:tc>
        <w:tc>
          <w:tcPr>
            <w:tcW w:w="2850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改进中</w:t>
            </w:r>
          </w:p>
        </w:tc>
        <w:tc>
          <w:tcPr>
            <w:tcW w:w="2902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安全文明施工费用投入到位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</w:trPr>
        <w:tc>
          <w:tcPr>
            <w:tcW w:w="718" w:type="dxa"/>
            <w:vMerge w:val="restart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</w:t>
            </w: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主要工序质量</w:t>
            </w:r>
          </w:p>
        </w:tc>
        <w:tc>
          <w:tcPr>
            <w:tcW w:w="2850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源头控制 现场控制</w:t>
            </w:r>
          </w:p>
        </w:tc>
        <w:tc>
          <w:tcPr>
            <w:tcW w:w="2902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主要原材料质量</w:t>
            </w:r>
          </w:p>
        </w:tc>
        <w:tc>
          <w:tcPr>
            <w:tcW w:w="2850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管桩质量不稳定</w:t>
            </w:r>
          </w:p>
        </w:tc>
        <w:tc>
          <w:tcPr>
            <w:tcW w:w="2902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要求源头把控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构（配）件质量</w:t>
            </w:r>
          </w:p>
        </w:tc>
        <w:tc>
          <w:tcPr>
            <w:tcW w:w="285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2902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设备质量</w:t>
            </w:r>
          </w:p>
        </w:tc>
        <w:tc>
          <w:tcPr>
            <w:tcW w:w="285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2902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5" w:hRule="atLeast"/>
        </w:trPr>
        <w:tc>
          <w:tcPr>
            <w:tcW w:w="718" w:type="dxa"/>
            <w:vMerge w:val="continue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</w:p>
        </w:tc>
        <w:tc>
          <w:tcPr>
            <w:tcW w:w="2058" w:type="dxa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质量验评情况</w:t>
            </w:r>
          </w:p>
        </w:tc>
        <w:tc>
          <w:tcPr>
            <w:tcW w:w="2850" w:type="dxa"/>
            <w:vAlign w:val="center"/>
          </w:tcPr>
          <w:p>
            <w:pPr>
              <w:numPr>
                <w:ilvl w:val="0"/>
                <w:numId w:val="0"/>
              </w:numPr>
              <w:spacing w:line="24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打桩标高、垂直度、平行度、桩距安装基本符合要求。</w:t>
            </w:r>
          </w:p>
        </w:tc>
        <w:tc>
          <w:tcPr>
            <w:tcW w:w="2902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对现场发现质量缺陷，要求施工单位及时整改消缺。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ind w:firstLine="0" w:firstLineChars="0"/>
        <w:jc w:val="both"/>
        <w:textAlignment w:val="auto"/>
        <w:rPr>
          <w:rFonts w:hint="eastAsia" w:ascii="宋体" w:hAnsi="宋体" w:eastAsia="宋体" w:cs="宋体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二、</w:t>
      </w:r>
      <w:r>
        <w:rPr>
          <w:rFonts w:hint="eastAsia" w:ascii="宋体" w:hAnsi="宋体" w:eastAsia="宋体" w:cs="宋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本月进度情况</w:t>
      </w:r>
    </w:p>
    <w:p>
      <w:pPr>
        <w:widowControl/>
        <w:spacing w:line="360" w:lineRule="auto"/>
        <w:jc w:val="left"/>
        <w:rPr>
          <w:rFonts w:hint="eastAsia" w:ascii="宋体" w:hAnsi="宋体"/>
          <w:kern w:val="2"/>
          <w:sz w:val="24"/>
          <w:szCs w:val="24"/>
          <w:lang w:val="en-US" w:eastAsia="zh-CN"/>
        </w:rPr>
      </w:pPr>
      <w:r>
        <w:rPr>
          <w:rFonts w:hint="eastAsia" w:ascii="宋体" w:hAnsi="宋体"/>
          <w:kern w:val="2"/>
          <w:sz w:val="24"/>
          <w:szCs w:val="24"/>
          <w:lang w:val="en-US" w:eastAsia="zh-CN"/>
        </w:rPr>
        <w:t>1、78MW区域40#、14#、15#、7#、11#、16#塘口打桩完成，31号塘口打桩中，32号塘口进桩后准备打桩，此区域共打桩3195根；</w:t>
      </w:r>
    </w:p>
    <w:p>
      <w:pPr>
        <w:numPr>
          <w:ilvl w:val="0"/>
          <w:numId w:val="0"/>
        </w:numPr>
        <w:tabs>
          <w:tab w:val="center" w:pos="3886"/>
        </w:tabs>
        <w:spacing w:line="440" w:lineRule="exact"/>
        <w:jc w:val="left"/>
        <w:rPr>
          <w:rFonts w:hint="eastAsia" w:ascii="宋体" w:hAnsi="宋体" w:eastAsia="宋体" w:cs="宋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三、</w:t>
      </w:r>
      <w:r>
        <w:rPr>
          <w:rFonts w:hint="eastAsia" w:ascii="宋体" w:hAnsi="宋体" w:eastAsia="宋体" w:cs="宋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下月进度计划</w:t>
      </w:r>
    </w:p>
    <w:p>
      <w:pPr>
        <w:widowControl/>
        <w:spacing w:line="360" w:lineRule="auto"/>
        <w:jc w:val="left"/>
        <w:rPr>
          <w:rFonts w:hint="eastAsia" w:ascii="宋体" w:hAnsi="宋体"/>
          <w:kern w:val="2"/>
          <w:sz w:val="24"/>
          <w:szCs w:val="24"/>
          <w:lang w:val="en-US" w:eastAsia="zh-CN"/>
        </w:rPr>
      </w:pPr>
      <w:r>
        <w:rPr>
          <w:rFonts w:hint="eastAsia" w:ascii="宋体" w:hAnsi="宋体"/>
          <w:kern w:val="2"/>
          <w:sz w:val="24"/>
          <w:szCs w:val="24"/>
          <w:lang w:val="en-US" w:eastAsia="zh-CN"/>
        </w:rPr>
        <w:t>1、跟踪塘口移交；</w:t>
      </w:r>
    </w:p>
    <w:p>
      <w:pPr>
        <w:widowControl/>
        <w:spacing w:line="360" w:lineRule="auto"/>
        <w:jc w:val="left"/>
        <w:rPr>
          <w:rFonts w:hint="eastAsia" w:ascii="宋体" w:hAnsi="宋体"/>
          <w:kern w:val="2"/>
          <w:sz w:val="24"/>
          <w:szCs w:val="24"/>
          <w:lang w:val="en-US" w:eastAsia="zh-CN"/>
        </w:rPr>
      </w:pPr>
      <w:r>
        <w:rPr>
          <w:rFonts w:hint="eastAsia" w:ascii="宋体" w:hAnsi="宋体"/>
          <w:kern w:val="2"/>
          <w:sz w:val="24"/>
          <w:szCs w:val="24"/>
          <w:lang w:val="en-US" w:eastAsia="zh-CN"/>
        </w:rPr>
        <w:t>2、跟踪进桩进度计划；</w:t>
      </w:r>
    </w:p>
    <w:p>
      <w:pPr>
        <w:widowControl/>
        <w:spacing w:line="360" w:lineRule="auto"/>
        <w:jc w:val="left"/>
        <w:rPr>
          <w:rFonts w:hint="eastAsia" w:ascii="宋体" w:hAnsi="宋体"/>
          <w:kern w:val="2"/>
          <w:sz w:val="24"/>
          <w:szCs w:val="24"/>
          <w:lang w:val="en-US" w:eastAsia="zh-CN"/>
        </w:rPr>
      </w:pPr>
      <w:r>
        <w:rPr>
          <w:rFonts w:hint="eastAsia" w:ascii="宋体" w:hAnsi="宋体"/>
          <w:kern w:val="2"/>
          <w:sz w:val="24"/>
          <w:szCs w:val="24"/>
          <w:lang w:val="en-US" w:eastAsia="zh-CN"/>
        </w:rPr>
        <w:t>3、现场跟踪打桩进度；</w:t>
      </w:r>
    </w:p>
    <w:p>
      <w:pPr>
        <w:widowControl/>
        <w:spacing w:line="360" w:lineRule="auto"/>
        <w:jc w:val="left"/>
        <w:rPr>
          <w:rFonts w:hint="eastAsia" w:ascii="宋体" w:hAnsi="宋体" w:eastAsia="宋体" w:cs="宋体"/>
          <w:color w:val="000000" w:themeColor="text1"/>
          <w:kern w:val="2"/>
          <w:sz w:val="21"/>
          <w:szCs w:val="21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kern w:val="2"/>
          <w:sz w:val="24"/>
          <w:szCs w:val="24"/>
          <w:lang w:val="en-US" w:eastAsia="zh-CN"/>
        </w:rPr>
        <w:t>4、对已打桩进行抽查和条件成熟后质量验收；</w:t>
      </w:r>
    </w:p>
    <w:p>
      <w:pPr>
        <w:pStyle w:val="16"/>
        <w:numPr>
          <w:ilvl w:val="0"/>
          <w:numId w:val="0"/>
        </w:numPr>
        <w:spacing w:before="156" w:beforeLines="50" w:after="156" w:afterLines="50" w:line="360" w:lineRule="auto"/>
        <w:jc w:val="left"/>
        <w:rPr>
          <w:rFonts w:hint="eastAsia" w:ascii="宋体" w:hAnsi="宋体" w:eastAsia="宋体" w:cs="宋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四、</w:t>
      </w:r>
      <w:r>
        <w:rPr>
          <w:rFonts w:hint="eastAsia" w:ascii="宋体" w:hAnsi="宋体" w:eastAsia="宋体" w:cs="宋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安全文明施工情况</w:t>
      </w:r>
    </w:p>
    <w:tbl>
      <w:tblPr>
        <w:tblStyle w:val="13"/>
        <w:tblW w:w="7863" w:type="dxa"/>
        <w:tblInd w:w="14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0"/>
        <w:gridCol w:w="1160"/>
        <w:gridCol w:w="1080"/>
        <w:gridCol w:w="1667"/>
        <w:gridCol w:w="1186"/>
        <w:gridCol w:w="15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10" w:type="dxa"/>
            <w:gridSpan w:val="3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事故（起）</w:t>
            </w:r>
          </w:p>
        </w:tc>
        <w:tc>
          <w:tcPr>
            <w:tcW w:w="1667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编制安全策划文件（份）</w:t>
            </w:r>
          </w:p>
        </w:tc>
        <w:tc>
          <w:tcPr>
            <w:tcW w:w="1186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施工人数</w:t>
            </w:r>
          </w:p>
        </w:tc>
        <w:tc>
          <w:tcPr>
            <w:tcW w:w="1500" w:type="dxa"/>
            <w:vMerge w:val="restart"/>
            <w:vAlign w:val="center"/>
          </w:tcPr>
          <w:p>
            <w:pPr>
              <w:spacing w:line="360" w:lineRule="auto"/>
              <w:jc w:val="both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施工单位数量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</w:trPr>
        <w:tc>
          <w:tcPr>
            <w:tcW w:w="127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人身重伤</w:t>
            </w:r>
          </w:p>
        </w:tc>
        <w:tc>
          <w:tcPr>
            <w:tcW w:w="116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机械设备</w:t>
            </w:r>
          </w:p>
        </w:tc>
        <w:tc>
          <w:tcPr>
            <w:tcW w:w="108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电网事故</w:t>
            </w:r>
          </w:p>
        </w:tc>
        <w:tc>
          <w:tcPr>
            <w:tcW w:w="1667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6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0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</w:trPr>
        <w:tc>
          <w:tcPr>
            <w:tcW w:w="127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16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08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667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1份</w:t>
            </w:r>
          </w:p>
        </w:tc>
        <w:tc>
          <w:tcPr>
            <w:tcW w:w="118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7人</w:t>
            </w:r>
          </w:p>
        </w:tc>
        <w:tc>
          <w:tcPr>
            <w:tcW w:w="150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</w:trPr>
        <w:tc>
          <w:tcPr>
            <w:tcW w:w="127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施工安全文明施工交底</w:t>
            </w:r>
          </w:p>
        </w:tc>
        <w:tc>
          <w:tcPr>
            <w:tcW w:w="116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每日班前会已交代</w:t>
            </w:r>
          </w:p>
        </w:tc>
        <w:tc>
          <w:tcPr>
            <w:tcW w:w="274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现场辨识危险源和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做好施工现场文明施工</w:t>
            </w:r>
          </w:p>
        </w:tc>
        <w:tc>
          <w:tcPr>
            <w:tcW w:w="2686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满足要求</w:t>
            </w:r>
          </w:p>
        </w:tc>
      </w:tr>
    </w:tbl>
    <w:p>
      <w:pPr>
        <w:pStyle w:val="16"/>
        <w:numPr>
          <w:ilvl w:val="0"/>
          <w:numId w:val="0"/>
        </w:numPr>
        <w:spacing w:before="156" w:beforeLines="50" w:after="156" w:afterLines="50" w:line="360" w:lineRule="auto"/>
        <w:jc w:val="left"/>
        <w:rPr>
          <w:rFonts w:hint="eastAsia" w:ascii="宋体" w:hAnsi="宋体" w:eastAsia="宋体" w:cs="宋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五、</w:t>
      </w:r>
      <w:r>
        <w:rPr>
          <w:rFonts w:hint="eastAsia" w:ascii="宋体" w:hAnsi="宋体" w:eastAsia="宋体" w:cs="宋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施工重点工作情况</w:t>
      </w:r>
    </w:p>
    <w:tbl>
      <w:tblPr>
        <w:tblStyle w:val="13"/>
        <w:tblW w:w="9470" w:type="dxa"/>
        <w:tblInd w:w="17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10"/>
        <w:gridCol w:w="3600"/>
        <w:gridCol w:w="46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0" w:type="dxa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专业</w:t>
            </w:r>
          </w:p>
        </w:tc>
        <w:tc>
          <w:tcPr>
            <w:tcW w:w="3600" w:type="dxa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本月重点工作情况</w:t>
            </w:r>
          </w:p>
        </w:tc>
        <w:tc>
          <w:tcPr>
            <w:tcW w:w="4660" w:type="dxa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下月重点工作计划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1210" w:type="dxa"/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进度管理</w:t>
            </w:r>
          </w:p>
        </w:tc>
        <w:tc>
          <w:tcPr>
            <w:tcW w:w="3600" w:type="dxa"/>
            <w:vAlign w:val="center"/>
          </w:tcPr>
          <w:p>
            <w:pPr>
              <w:widowControl/>
              <w:spacing w:line="360" w:lineRule="auto"/>
              <w:jc w:val="left"/>
              <w:rPr>
                <w:rFonts w:hint="default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督促施工单位优化人、机、料等资源配置，充分调动施工人员的积极性</w:t>
            </w:r>
          </w:p>
        </w:tc>
        <w:tc>
          <w:tcPr>
            <w:tcW w:w="4660" w:type="dxa"/>
            <w:vAlign w:val="center"/>
          </w:tcPr>
          <w:p>
            <w:pPr>
              <w:widowControl/>
              <w:numPr>
                <w:ilvl w:val="0"/>
                <w:numId w:val="2"/>
              </w:numPr>
              <w:spacing w:line="360" w:lineRule="auto"/>
              <w:jc w:val="left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对移交塘口进行报审验收；</w:t>
            </w:r>
          </w:p>
          <w:p>
            <w:pPr>
              <w:widowControl/>
              <w:numPr>
                <w:ilvl w:val="0"/>
                <w:numId w:val="2"/>
              </w:numPr>
              <w:spacing w:line="360" w:lineRule="auto"/>
              <w:jc w:val="left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对进场管桩总包要进行严格自检自查；</w:t>
            </w:r>
          </w:p>
          <w:p>
            <w:pPr>
              <w:pStyle w:val="16"/>
              <w:numPr>
                <w:ilvl w:val="0"/>
                <w:numId w:val="0"/>
              </w:numPr>
              <w:spacing w:line="240" w:lineRule="auto"/>
              <w:ind w:leftChars="0"/>
              <w:jc w:val="both"/>
              <w:rPr>
                <w:rFonts w:hint="default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3、对管桩吊卸进行旁站；</w:t>
            </w:r>
          </w:p>
          <w:p>
            <w:pPr>
              <w:widowControl/>
              <w:spacing w:line="360" w:lineRule="auto"/>
              <w:jc w:val="left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3、对打桩标高、平行度、垂直度进行把控；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安全管理</w:t>
            </w:r>
          </w:p>
        </w:tc>
        <w:tc>
          <w:tcPr>
            <w:tcW w:w="3600" w:type="dxa"/>
            <w:vAlign w:val="center"/>
          </w:tcPr>
          <w:p>
            <w:pPr>
              <w:spacing w:line="360" w:lineRule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督促施工单位报审《安全文明施工管理制度》，定期对现场进行安全检查；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rFonts w:hint="eastAsia"/>
                <w:color w:val="000000"/>
                <w:sz w:val="20"/>
                <w:szCs w:val="20"/>
              </w:rPr>
              <w:t>对施工人员进行安全培训、考试，提高作业人员安全防范意识，落实安全文明施工措施。</w:t>
            </w:r>
          </w:p>
        </w:tc>
        <w:tc>
          <w:tcPr>
            <w:tcW w:w="466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专职安全员佩戴帽，反光服，吊装安全旁站管理，现场防火措施落实。吊卸、临时用电安全，动火作业等。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1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质量管理</w:t>
            </w:r>
          </w:p>
        </w:tc>
        <w:tc>
          <w:tcPr>
            <w:tcW w:w="3600" w:type="dxa"/>
            <w:vAlign w:val="center"/>
          </w:tcPr>
          <w:p>
            <w:pPr>
              <w:spacing w:line="360" w:lineRule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/>
                <w:sz w:val="20"/>
                <w:szCs w:val="20"/>
                <w:lang w:val="en-US" w:eastAsia="zh-CN"/>
              </w:rPr>
              <w:t>管桩进</w:t>
            </w:r>
            <w:r>
              <w:rPr>
                <w:rFonts w:hint="eastAsia"/>
                <w:color w:val="000000"/>
                <w:sz w:val="20"/>
                <w:szCs w:val="20"/>
              </w:rPr>
              <w:t>场进行</w:t>
            </w:r>
            <w:r>
              <w:rPr>
                <w:rFonts w:hint="eastAsia"/>
                <w:color w:val="000000"/>
                <w:sz w:val="20"/>
                <w:szCs w:val="20"/>
                <w:lang w:val="en-US" w:eastAsia="zh-CN"/>
              </w:rPr>
              <w:t>严格</w:t>
            </w:r>
            <w:r>
              <w:rPr>
                <w:rFonts w:hint="eastAsia"/>
                <w:color w:val="000000"/>
                <w:sz w:val="20"/>
                <w:szCs w:val="20"/>
              </w:rPr>
              <w:t>检查；</w:t>
            </w:r>
            <w:r>
              <w:rPr>
                <w:rFonts w:hint="eastAsia"/>
                <w:color w:val="000000"/>
                <w:sz w:val="20"/>
                <w:szCs w:val="20"/>
                <w:lang w:val="en-US" w:eastAsia="zh-CN"/>
              </w:rPr>
              <w:t>吊卸现场</w:t>
            </w:r>
            <w:r>
              <w:rPr>
                <w:rFonts w:hint="eastAsia"/>
                <w:color w:val="000000"/>
                <w:sz w:val="20"/>
                <w:szCs w:val="20"/>
              </w:rPr>
              <w:t>进行旁站；督促施工单位质量通病防治措施；监督施工项目部落实强制性条文的执行计划。</w:t>
            </w:r>
          </w:p>
        </w:tc>
        <w:tc>
          <w:tcPr>
            <w:tcW w:w="466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发现有质量问题并要求施工方整改，整改完成后，进行查验。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8" w:hRule="atLeast"/>
        </w:trPr>
        <w:tc>
          <w:tcPr>
            <w:tcW w:w="121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技术管理</w:t>
            </w:r>
          </w:p>
        </w:tc>
        <w:tc>
          <w:tcPr>
            <w:tcW w:w="360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督促施工单位对施工人员进行技术交底，现场检查施工人员是否按照技术交底内容进行施工。</w:t>
            </w:r>
          </w:p>
        </w:tc>
        <w:tc>
          <w:tcPr>
            <w:tcW w:w="466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参与过程中重要（关键）环节的施工技术交底会，监督检查执行情况。</w:t>
            </w: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检查现场施工质量。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</w:trPr>
        <w:tc>
          <w:tcPr>
            <w:tcW w:w="121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物资供应</w:t>
            </w:r>
          </w:p>
        </w:tc>
        <w:tc>
          <w:tcPr>
            <w:tcW w:w="3600" w:type="dxa"/>
            <w:vAlign w:val="center"/>
          </w:tcPr>
          <w:p>
            <w:pPr>
              <w:spacing w:line="360" w:lineRule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协助建设单位做好建设物资进场工作，督促施工单位做好物资保管工作，要求施工单位安排人员对施工现场进行巡查，确保物资不遗失。</w:t>
            </w:r>
          </w:p>
        </w:tc>
        <w:tc>
          <w:tcPr>
            <w:tcW w:w="4660" w:type="dxa"/>
            <w:vAlign w:val="center"/>
          </w:tcPr>
          <w:p>
            <w:pPr>
              <w:spacing w:line="360" w:lineRule="auto"/>
              <w:ind w:firstLine="1050" w:firstLineChars="500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督促</w:t>
            </w: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施工单位进行</w:t>
            </w:r>
          </w:p>
        </w:tc>
      </w:tr>
    </w:tbl>
    <w:p>
      <w:pPr>
        <w:widowControl/>
        <w:spacing w:line="360" w:lineRule="auto"/>
        <w:jc w:val="left"/>
        <w:rPr>
          <w:rFonts w:hint="eastAsia" w:ascii="宋体" w:hAnsi="宋体"/>
          <w:kern w:val="2"/>
          <w:sz w:val="24"/>
          <w:szCs w:val="24"/>
          <w:lang w:val="en-US" w:eastAsia="zh-CN"/>
        </w:rPr>
      </w:pPr>
    </w:p>
    <w:p>
      <w:pPr>
        <w:widowControl/>
        <w:spacing w:line="360" w:lineRule="auto"/>
        <w:jc w:val="left"/>
        <w:rPr>
          <w:rFonts w:hint="default" w:ascii="宋体" w:hAnsi="宋体"/>
          <w:kern w:val="2"/>
          <w:sz w:val="24"/>
          <w:szCs w:val="24"/>
          <w:lang w:val="en-US" w:eastAsia="zh-CN"/>
        </w:rPr>
      </w:pPr>
      <w:r>
        <w:rPr>
          <w:rFonts w:hint="eastAsia" w:ascii="宋体" w:hAnsi="宋体"/>
          <w:kern w:val="2"/>
          <w:sz w:val="24"/>
          <w:szCs w:val="24"/>
          <w:lang w:val="en-US" w:eastAsia="zh-CN"/>
        </w:rPr>
        <w:t>本月项目监理工作简图：</w:t>
      </w:r>
    </w:p>
    <w:tbl>
      <w:tblPr>
        <w:tblStyle w:val="13"/>
        <w:tblpPr w:leftFromText="180" w:rightFromText="180" w:vertAnchor="text" w:horzAnchor="page" w:tblpX="1617" w:tblpY="103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46"/>
        <w:gridCol w:w="46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</w:trPr>
        <w:tc>
          <w:tcPr>
            <w:tcW w:w="4881" w:type="dxa"/>
          </w:tcPr>
          <w:p>
            <w:pPr>
              <w:widowControl/>
              <w:spacing w:line="360" w:lineRule="auto"/>
              <w:jc w:val="left"/>
              <w:rPr>
                <w:rFonts w:hint="default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t xml:space="preserve">              龙虬观摩</w:t>
            </w:r>
          </w:p>
        </w:tc>
        <w:tc>
          <w:tcPr>
            <w:tcW w:w="4656" w:type="dxa"/>
          </w:tcPr>
          <w:p>
            <w:pPr>
              <w:widowControl/>
              <w:spacing w:line="360" w:lineRule="auto"/>
              <w:ind w:firstLine="1440" w:firstLineChars="600"/>
              <w:jc w:val="left"/>
              <w:rPr>
                <w:rFonts w:hint="default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t>检查参与站班会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8" w:hRule="atLeast"/>
        </w:trPr>
        <w:tc>
          <w:tcPr>
            <w:tcW w:w="4881" w:type="dxa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drawing>
                <wp:inline distT="0" distB="0" distL="114300" distR="114300">
                  <wp:extent cx="3053715" cy="2018665"/>
                  <wp:effectExtent l="0" t="0" r="13335" b="635"/>
                  <wp:docPr id="4" name="图片 4" descr="bec000d9274e61bbdec337df3c71e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bec000d9274e61bbdec337df3c71e73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53715" cy="20186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56" w:type="dxa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drawing>
                <wp:inline distT="0" distB="0" distL="114300" distR="114300">
                  <wp:extent cx="2805430" cy="2002155"/>
                  <wp:effectExtent l="0" t="0" r="13970" b="17145"/>
                  <wp:docPr id="5" name="图片 5" descr="9825b74e0f49e2d32a94ed867ad6cf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9825b74e0f49e2d32a94ed867ad6cf0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5430" cy="20021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</w:trPr>
        <w:tc>
          <w:tcPr>
            <w:tcW w:w="4881" w:type="dxa"/>
          </w:tcPr>
          <w:p>
            <w:pPr>
              <w:widowControl/>
              <w:spacing w:line="360" w:lineRule="auto"/>
              <w:ind w:firstLine="1680" w:firstLineChars="700"/>
              <w:jc w:val="both"/>
              <w:rPr>
                <w:rFonts w:hint="default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t>标高复核</w:t>
            </w:r>
          </w:p>
        </w:tc>
        <w:tc>
          <w:tcPr>
            <w:tcW w:w="4656" w:type="dxa"/>
          </w:tcPr>
          <w:p>
            <w:pPr>
              <w:widowControl/>
              <w:spacing w:line="360" w:lineRule="auto"/>
              <w:jc w:val="center"/>
              <w:rPr>
                <w:rFonts w:hint="default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t>管桩检查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8" w:hRule="atLeast"/>
        </w:trPr>
        <w:tc>
          <w:tcPr>
            <w:tcW w:w="4881" w:type="dxa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drawing>
                <wp:inline distT="0" distB="0" distL="114300" distR="114300">
                  <wp:extent cx="2994660" cy="2422525"/>
                  <wp:effectExtent l="0" t="0" r="15240" b="15875"/>
                  <wp:docPr id="10" name="图片 10" descr="cb333b20de3e5913d502cfbf9f09db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图片 10" descr="cb333b20de3e5913d502cfbf9f09db7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94660" cy="2422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56" w:type="dxa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drawing>
                <wp:inline distT="0" distB="0" distL="114300" distR="114300">
                  <wp:extent cx="2778760" cy="2378075"/>
                  <wp:effectExtent l="0" t="0" r="2540" b="3175"/>
                  <wp:docPr id="11" name="图片 11" descr="4d341c1ef5289b0e0506f17cd010d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图片 11" descr="4d341c1ef5289b0e0506f17cd010d04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78760" cy="2378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atLeast"/>
        </w:trPr>
        <w:tc>
          <w:tcPr>
            <w:tcW w:w="4881" w:type="dxa"/>
          </w:tcPr>
          <w:p>
            <w:pPr>
              <w:widowControl/>
              <w:spacing w:line="360" w:lineRule="auto"/>
              <w:jc w:val="center"/>
              <w:rPr>
                <w:rFonts w:hint="default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t>塘埂桩告之</w:t>
            </w:r>
          </w:p>
        </w:tc>
        <w:tc>
          <w:tcPr>
            <w:tcW w:w="4656" w:type="dxa"/>
          </w:tcPr>
          <w:p>
            <w:pPr>
              <w:widowControl/>
              <w:spacing w:line="360" w:lineRule="auto"/>
              <w:jc w:val="center"/>
              <w:rPr>
                <w:rFonts w:hint="default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t>检查打桩现场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15" w:hRule="atLeast"/>
        </w:trPr>
        <w:tc>
          <w:tcPr>
            <w:tcW w:w="4881" w:type="dxa"/>
          </w:tcPr>
          <w:p>
            <w:pPr>
              <w:widowControl/>
              <w:spacing w:line="360" w:lineRule="auto"/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drawing>
                <wp:inline distT="0" distB="0" distL="114300" distR="114300">
                  <wp:extent cx="2778760" cy="2083435"/>
                  <wp:effectExtent l="0" t="0" r="2540" b="12065"/>
                  <wp:docPr id="7" name="图片 7" descr="97ecdd45b9f9f420c69f65f27dd7eb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 descr="97ecdd45b9f9f420c69f65f27dd7ebf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78760" cy="20834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56" w:type="dxa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drawing>
                <wp:inline distT="0" distB="0" distL="114300" distR="114300">
                  <wp:extent cx="2713990" cy="2077085"/>
                  <wp:effectExtent l="0" t="0" r="10160" b="18415"/>
                  <wp:docPr id="6" name="图片 6" descr="8414caa55cd8b101d15fc511dc746b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8414caa55cd8b101d15fc511dc746b0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13990" cy="20770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9" w:hRule="atLeast"/>
        </w:trPr>
        <w:tc>
          <w:tcPr>
            <w:tcW w:w="4881" w:type="dxa"/>
          </w:tcPr>
          <w:p>
            <w:pPr>
              <w:widowControl/>
              <w:spacing w:line="360" w:lineRule="auto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不合格管桩撤场</w:t>
            </w:r>
          </w:p>
        </w:tc>
        <w:tc>
          <w:tcPr>
            <w:tcW w:w="4656" w:type="dxa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3" w:hRule="atLeast"/>
        </w:trPr>
        <w:tc>
          <w:tcPr>
            <w:tcW w:w="4881" w:type="dxa"/>
          </w:tcPr>
          <w:p>
            <w:pPr>
              <w:widowControl/>
              <w:spacing w:line="360" w:lineRule="auto"/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drawing>
                <wp:inline distT="0" distB="0" distL="114300" distR="114300">
                  <wp:extent cx="2778760" cy="2083435"/>
                  <wp:effectExtent l="0" t="0" r="2540" b="12065"/>
                  <wp:docPr id="12" name="图片 12" descr="f4785bc36fa2727e3168f41dfba05b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图片 12" descr="f4785bc36fa2727e3168f41dfba05b8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78760" cy="20834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56" w:type="dxa"/>
          </w:tcPr>
          <w:p>
            <w:pPr>
              <w:widowControl/>
              <w:spacing w:line="360" w:lineRule="auto"/>
              <w:jc w:val="both"/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drawing>
                <wp:inline distT="0" distB="0" distL="114300" distR="114300">
                  <wp:extent cx="2777490" cy="2052955"/>
                  <wp:effectExtent l="0" t="0" r="3810" b="4445"/>
                  <wp:docPr id="13" name="图片 13" descr="9478366ce3ce2fb0c704e9a11b303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图片 13" descr="9478366ce3ce2fb0c704e9a11b30375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77490" cy="20529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6" w:hRule="atLeast"/>
        </w:trPr>
        <w:tc>
          <w:tcPr>
            <w:tcW w:w="4881" w:type="dxa"/>
          </w:tcPr>
          <w:p>
            <w:pPr>
              <w:widowControl/>
              <w:spacing w:line="360" w:lineRule="auto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周安全检查</w:t>
            </w:r>
          </w:p>
        </w:tc>
        <w:tc>
          <w:tcPr>
            <w:tcW w:w="4656" w:type="dxa"/>
          </w:tcPr>
          <w:p>
            <w:pPr>
              <w:widowControl/>
              <w:spacing w:line="360" w:lineRule="auto"/>
              <w:jc w:val="both"/>
              <w:rPr>
                <w:rFonts w:hint="default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t xml:space="preserve">            月安全检查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8" w:hRule="atLeast"/>
        </w:trPr>
        <w:tc>
          <w:tcPr>
            <w:tcW w:w="4881" w:type="dxa"/>
          </w:tcPr>
          <w:p>
            <w:pPr>
              <w:widowControl/>
              <w:spacing w:line="360" w:lineRule="auto"/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drawing>
                <wp:inline distT="0" distB="0" distL="114300" distR="114300">
                  <wp:extent cx="2957195" cy="2529205"/>
                  <wp:effectExtent l="0" t="0" r="14605" b="4445"/>
                  <wp:docPr id="14" name="图片 14" descr="9591cb2e903c08c72fccbf7526177b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图片 14" descr="9591cb2e903c08c72fccbf7526177b5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57195" cy="25292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56" w:type="dxa"/>
          </w:tcPr>
          <w:p>
            <w:pPr>
              <w:widowControl/>
              <w:spacing w:line="360" w:lineRule="auto"/>
              <w:jc w:val="both"/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vertAlign w:val="baseline"/>
                <w:lang w:val="en-US" w:eastAsia="zh-CN"/>
              </w:rPr>
              <w:drawing>
                <wp:inline distT="0" distB="0" distL="114300" distR="114300">
                  <wp:extent cx="2811145" cy="2531110"/>
                  <wp:effectExtent l="0" t="0" r="8255" b="2540"/>
                  <wp:docPr id="15" name="图片 15" descr="187ae4f8790af791869b7d2071d8dd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图片 15" descr="187ae4f8790af791869b7d2071d8dd4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11145" cy="25311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widowControl/>
        <w:spacing w:line="360" w:lineRule="auto"/>
        <w:jc w:val="left"/>
        <w:rPr>
          <w:rFonts w:hint="eastAsia" w:ascii="宋体" w:hAnsi="宋体"/>
          <w:kern w:val="2"/>
          <w:sz w:val="24"/>
          <w:szCs w:val="24"/>
          <w:lang w:val="en-US" w:eastAsia="zh-CN"/>
        </w:rPr>
      </w:pPr>
    </w:p>
    <w:p>
      <w:pPr>
        <w:pStyle w:val="2"/>
        <w:rPr>
          <w:rFonts w:hint="eastAsia" w:ascii="宋体" w:hAnsi="宋体"/>
          <w:kern w:val="2"/>
          <w:sz w:val="24"/>
          <w:szCs w:val="24"/>
          <w:lang w:val="en-US" w:eastAsia="zh-CN"/>
        </w:rPr>
      </w:pPr>
    </w:p>
    <w:p>
      <w:pPr>
        <w:rPr>
          <w:rFonts w:hint="default"/>
          <w:lang w:val="en-US" w:eastAsia="zh-CN"/>
        </w:rPr>
      </w:pPr>
      <w:r>
        <w:rPr>
          <w:rFonts w:hint="eastAsia" w:ascii="宋体" w:hAnsi="宋体"/>
          <w:kern w:val="2"/>
          <w:sz w:val="24"/>
          <w:szCs w:val="24"/>
          <w:lang w:val="en-US" w:eastAsia="zh-CN"/>
        </w:rPr>
        <w:t xml:space="preserve">                                    （完）</w:t>
      </w:r>
    </w:p>
    <w:sectPr>
      <w:footerReference r:id="rId4" w:type="first"/>
      <w:footerReference r:id="rId3" w:type="default"/>
      <w:pgSz w:w="11906" w:h="16838"/>
      <w:pgMar w:top="1417" w:right="850" w:bottom="850" w:left="1417" w:header="851" w:footer="992" w:gutter="0"/>
      <w:pgNumType w:start="0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5E74782"/>
    <w:multiLevelType w:val="multilevel"/>
    <w:tmpl w:val="25E74782"/>
    <w:lvl w:ilvl="0" w:tentative="0">
      <w:start w:val="1"/>
      <w:numFmt w:val="japaneseCounting"/>
      <w:lvlText w:val="%1、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5393696A"/>
    <w:multiLevelType w:val="singleLevel"/>
    <w:tmpl w:val="5393696A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FlZjJmMDc0MjkyZjZmZmU5YTI2MzkyYzg1NzUwMWIifQ=="/>
  </w:docVars>
  <w:rsids>
    <w:rsidRoot w:val="00914097"/>
    <w:rsid w:val="00011723"/>
    <w:rsid w:val="00013654"/>
    <w:rsid w:val="000749E3"/>
    <w:rsid w:val="00077CC1"/>
    <w:rsid w:val="00097764"/>
    <w:rsid w:val="00141B91"/>
    <w:rsid w:val="00144C26"/>
    <w:rsid w:val="00155D85"/>
    <w:rsid w:val="00236CF4"/>
    <w:rsid w:val="00285532"/>
    <w:rsid w:val="00392D99"/>
    <w:rsid w:val="003A5A33"/>
    <w:rsid w:val="003A5D2F"/>
    <w:rsid w:val="003F2278"/>
    <w:rsid w:val="00471426"/>
    <w:rsid w:val="00502559"/>
    <w:rsid w:val="00610000"/>
    <w:rsid w:val="00624B5B"/>
    <w:rsid w:val="007402CA"/>
    <w:rsid w:val="007C51F9"/>
    <w:rsid w:val="00812E5F"/>
    <w:rsid w:val="008878D1"/>
    <w:rsid w:val="00890A11"/>
    <w:rsid w:val="008960B9"/>
    <w:rsid w:val="00914097"/>
    <w:rsid w:val="00940405"/>
    <w:rsid w:val="00940639"/>
    <w:rsid w:val="00982770"/>
    <w:rsid w:val="009D775B"/>
    <w:rsid w:val="009F1FCB"/>
    <w:rsid w:val="00A54B17"/>
    <w:rsid w:val="00A7236B"/>
    <w:rsid w:val="00AA2FFC"/>
    <w:rsid w:val="00AD701C"/>
    <w:rsid w:val="00B327D6"/>
    <w:rsid w:val="00B41BAE"/>
    <w:rsid w:val="00B86917"/>
    <w:rsid w:val="00BD6F84"/>
    <w:rsid w:val="00CA6B9A"/>
    <w:rsid w:val="00CB0F9B"/>
    <w:rsid w:val="00D858ED"/>
    <w:rsid w:val="00DC684A"/>
    <w:rsid w:val="00EB1CD3"/>
    <w:rsid w:val="00F20C3B"/>
    <w:rsid w:val="00F7297C"/>
    <w:rsid w:val="00F85F8E"/>
    <w:rsid w:val="00FD4BE9"/>
    <w:rsid w:val="013C246A"/>
    <w:rsid w:val="01722330"/>
    <w:rsid w:val="018F4C90"/>
    <w:rsid w:val="025008C3"/>
    <w:rsid w:val="02991BFD"/>
    <w:rsid w:val="02FA25DD"/>
    <w:rsid w:val="033A6707"/>
    <w:rsid w:val="03675EC4"/>
    <w:rsid w:val="04470620"/>
    <w:rsid w:val="045808C7"/>
    <w:rsid w:val="04FF212C"/>
    <w:rsid w:val="06331EEA"/>
    <w:rsid w:val="06532730"/>
    <w:rsid w:val="06744E59"/>
    <w:rsid w:val="06DF3FC3"/>
    <w:rsid w:val="07095BC0"/>
    <w:rsid w:val="07117EF5"/>
    <w:rsid w:val="07133C6D"/>
    <w:rsid w:val="076A249B"/>
    <w:rsid w:val="07A82607"/>
    <w:rsid w:val="07C37441"/>
    <w:rsid w:val="08495617"/>
    <w:rsid w:val="08791BDE"/>
    <w:rsid w:val="08F5187C"/>
    <w:rsid w:val="0935436E"/>
    <w:rsid w:val="0A7964DD"/>
    <w:rsid w:val="0A9926DB"/>
    <w:rsid w:val="0AD11E75"/>
    <w:rsid w:val="0B436951"/>
    <w:rsid w:val="0C0A1F33"/>
    <w:rsid w:val="0C7358DA"/>
    <w:rsid w:val="0D830EA6"/>
    <w:rsid w:val="0DC9777B"/>
    <w:rsid w:val="0E012A71"/>
    <w:rsid w:val="0E0B7D94"/>
    <w:rsid w:val="0E1867C8"/>
    <w:rsid w:val="0EA63619"/>
    <w:rsid w:val="10FF7124"/>
    <w:rsid w:val="11013837"/>
    <w:rsid w:val="11205904"/>
    <w:rsid w:val="11A0337E"/>
    <w:rsid w:val="122B4561"/>
    <w:rsid w:val="1247634F"/>
    <w:rsid w:val="128A1139"/>
    <w:rsid w:val="13347445"/>
    <w:rsid w:val="134024EC"/>
    <w:rsid w:val="138403CC"/>
    <w:rsid w:val="13F015BE"/>
    <w:rsid w:val="14384620"/>
    <w:rsid w:val="14E86C03"/>
    <w:rsid w:val="152D6842"/>
    <w:rsid w:val="15631C3A"/>
    <w:rsid w:val="159535BE"/>
    <w:rsid w:val="16847473"/>
    <w:rsid w:val="16C136E5"/>
    <w:rsid w:val="16C62AAA"/>
    <w:rsid w:val="172B4C6F"/>
    <w:rsid w:val="17365367"/>
    <w:rsid w:val="177B5642"/>
    <w:rsid w:val="17946704"/>
    <w:rsid w:val="17EC02EE"/>
    <w:rsid w:val="18191102"/>
    <w:rsid w:val="18DA45EA"/>
    <w:rsid w:val="192817FA"/>
    <w:rsid w:val="19566367"/>
    <w:rsid w:val="19666246"/>
    <w:rsid w:val="198C1D89"/>
    <w:rsid w:val="19E3649F"/>
    <w:rsid w:val="1A134258"/>
    <w:rsid w:val="1AB8229E"/>
    <w:rsid w:val="1AD0039B"/>
    <w:rsid w:val="1ADA4D76"/>
    <w:rsid w:val="1AEF1D35"/>
    <w:rsid w:val="1B216547"/>
    <w:rsid w:val="1B3B1CB8"/>
    <w:rsid w:val="1B430B6D"/>
    <w:rsid w:val="1B446693"/>
    <w:rsid w:val="1B6612DF"/>
    <w:rsid w:val="1B746C38"/>
    <w:rsid w:val="1B7E1BA5"/>
    <w:rsid w:val="1B8C2514"/>
    <w:rsid w:val="1BAA7F40"/>
    <w:rsid w:val="1BFD0D1C"/>
    <w:rsid w:val="1C6A739E"/>
    <w:rsid w:val="1D445393"/>
    <w:rsid w:val="1D497F91"/>
    <w:rsid w:val="1D4D7A81"/>
    <w:rsid w:val="1D7B2840"/>
    <w:rsid w:val="1EB11C69"/>
    <w:rsid w:val="1EF43063"/>
    <w:rsid w:val="1F073C5F"/>
    <w:rsid w:val="1F8326BC"/>
    <w:rsid w:val="21EB7868"/>
    <w:rsid w:val="23D507D0"/>
    <w:rsid w:val="23F5286D"/>
    <w:rsid w:val="24186FBC"/>
    <w:rsid w:val="248B0E8F"/>
    <w:rsid w:val="248D2E59"/>
    <w:rsid w:val="24D9609E"/>
    <w:rsid w:val="24EC30DB"/>
    <w:rsid w:val="2500660A"/>
    <w:rsid w:val="250C0222"/>
    <w:rsid w:val="252E0198"/>
    <w:rsid w:val="25A42208"/>
    <w:rsid w:val="25E22D30"/>
    <w:rsid w:val="26284BE7"/>
    <w:rsid w:val="26A36795"/>
    <w:rsid w:val="26AE2448"/>
    <w:rsid w:val="27B32BD6"/>
    <w:rsid w:val="27CC5360"/>
    <w:rsid w:val="27F207B2"/>
    <w:rsid w:val="27FE2FC6"/>
    <w:rsid w:val="28235FAE"/>
    <w:rsid w:val="285717B4"/>
    <w:rsid w:val="288B3C14"/>
    <w:rsid w:val="28E058EF"/>
    <w:rsid w:val="28ED3EC6"/>
    <w:rsid w:val="294A30C6"/>
    <w:rsid w:val="2A1C442B"/>
    <w:rsid w:val="2A461AE0"/>
    <w:rsid w:val="2B950327"/>
    <w:rsid w:val="2BA47406"/>
    <w:rsid w:val="2C815051"/>
    <w:rsid w:val="2CD0422B"/>
    <w:rsid w:val="2CE455E0"/>
    <w:rsid w:val="2D12039F"/>
    <w:rsid w:val="2D371BB4"/>
    <w:rsid w:val="2DFB7085"/>
    <w:rsid w:val="2E1A6113"/>
    <w:rsid w:val="2E8E614B"/>
    <w:rsid w:val="2E905A1F"/>
    <w:rsid w:val="2E9D013C"/>
    <w:rsid w:val="2EC456C9"/>
    <w:rsid w:val="2EC67693"/>
    <w:rsid w:val="2F3D00C6"/>
    <w:rsid w:val="2F61116A"/>
    <w:rsid w:val="2FD162F0"/>
    <w:rsid w:val="3034062C"/>
    <w:rsid w:val="30AF7428"/>
    <w:rsid w:val="30B254F4"/>
    <w:rsid w:val="30D50061"/>
    <w:rsid w:val="30FE6134"/>
    <w:rsid w:val="3116731A"/>
    <w:rsid w:val="3207249C"/>
    <w:rsid w:val="320A5AE9"/>
    <w:rsid w:val="322841C1"/>
    <w:rsid w:val="327D450D"/>
    <w:rsid w:val="32D85BE7"/>
    <w:rsid w:val="32F742BF"/>
    <w:rsid w:val="33A87367"/>
    <w:rsid w:val="33D91C17"/>
    <w:rsid w:val="33EC194A"/>
    <w:rsid w:val="33F26834"/>
    <w:rsid w:val="33F27507"/>
    <w:rsid w:val="342A2472"/>
    <w:rsid w:val="34607C42"/>
    <w:rsid w:val="346534AA"/>
    <w:rsid w:val="347100A1"/>
    <w:rsid w:val="34C26F7D"/>
    <w:rsid w:val="355F439E"/>
    <w:rsid w:val="364610BA"/>
    <w:rsid w:val="364D41F6"/>
    <w:rsid w:val="36952D75"/>
    <w:rsid w:val="36987B67"/>
    <w:rsid w:val="36C344B8"/>
    <w:rsid w:val="36E277B8"/>
    <w:rsid w:val="377F2AD5"/>
    <w:rsid w:val="37920A5A"/>
    <w:rsid w:val="37DE3C9F"/>
    <w:rsid w:val="380D1E8F"/>
    <w:rsid w:val="38980A15"/>
    <w:rsid w:val="38A30A45"/>
    <w:rsid w:val="38AA3B82"/>
    <w:rsid w:val="38B8629F"/>
    <w:rsid w:val="38BF4998"/>
    <w:rsid w:val="38C369F1"/>
    <w:rsid w:val="39050DB8"/>
    <w:rsid w:val="390A63CE"/>
    <w:rsid w:val="3A085004"/>
    <w:rsid w:val="3A43428E"/>
    <w:rsid w:val="3B1E5F19"/>
    <w:rsid w:val="3B2E2848"/>
    <w:rsid w:val="3B7B35B3"/>
    <w:rsid w:val="3BD26CFD"/>
    <w:rsid w:val="3C3A6FCB"/>
    <w:rsid w:val="3CA1135A"/>
    <w:rsid w:val="3D2263DC"/>
    <w:rsid w:val="3D672041"/>
    <w:rsid w:val="3DA9265A"/>
    <w:rsid w:val="3E5A1BA6"/>
    <w:rsid w:val="3E8804C1"/>
    <w:rsid w:val="3F19736B"/>
    <w:rsid w:val="3F8769CB"/>
    <w:rsid w:val="3FCC0881"/>
    <w:rsid w:val="40302BBE"/>
    <w:rsid w:val="40A435AC"/>
    <w:rsid w:val="410F4ECA"/>
    <w:rsid w:val="4142704D"/>
    <w:rsid w:val="415F1ED4"/>
    <w:rsid w:val="417116E0"/>
    <w:rsid w:val="4194536F"/>
    <w:rsid w:val="41B82E6B"/>
    <w:rsid w:val="41C81024"/>
    <w:rsid w:val="42274495"/>
    <w:rsid w:val="422B5F99"/>
    <w:rsid w:val="426A6803"/>
    <w:rsid w:val="42D31F27"/>
    <w:rsid w:val="437159C8"/>
    <w:rsid w:val="43C57AC2"/>
    <w:rsid w:val="442C4E3E"/>
    <w:rsid w:val="443E7B2D"/>
    <w:rsid w:val="444A6219"/>
    <w:rsid w:val="448F4857"/>
    <w:rsid w:val="449E0956"/>
    <w:rsid w:val="44CD1163"/>
    <w:rsid w:val="44CE29A6"/>
    <w:rsid w:val="45047D62"/>
    <w:rsid w:val="45557E0F"/>
    <w:rsid w:val="45FD1795"/>
    <w:rsid w:val="46001285"/>
    <w:rsid w:val="46003033"/>
    <w:rsid w:val="46401681"/>
    <w:rsid w:val="46B362F7"/>
    <w:rsid w:val="47887784"/>
    <w:rsid w:val="479F062A"/>
    <w:rsid w:val="48790E7B"/>
    <w:rsid w:val="48AA087F"/>
    <w:rsid w:val="48C04CFB"/>
    <w:rsid w:val="48CB3DCC"/>
    <w:rsid w:val="491237A9"/>
    <w:rsid w:val="49583186"/>
    <w:rsid w:val="4A8C1339"/>
    <w:rsid w:val="4ADD3943"/>
    <w:rsid w:val="4B603386"/>
    <w:rsid w:val="4BB5041C"/>
    <w:rsid w:val="4C247811"/>
    <w:rsid w:val="4D3B1A90"/>
    <w:rsid w:val="4D5A3970"/>
    <w:rsid w:val="4D93478D"/>
    <w:rsid w:val="4DF27705"/>
    <w:rsid w:val="4DFC67D6"/>
    <w:rsid w:val="4E4723F5"/>
    <w:rsid w:val="4EA07161"/>
    <w:rsid w:val="4EAE6BA4"/>
    <w:rsid w:val="4EBE1630"/>
    <w:rsid w:val="4EE47996"/>
    <w:rsid w:val="4F0C47F7"/>
    <w:rsid w:val="4F0E2C85"/>
    <w:rsid w:val="4F251D5C"/>
    <w:rsid w:val="4F532425"/>
    <w:rsid w:val="4F70647C"/>
    <w:rsid w:val="4FA233AD"/>
    <w:rsid w:val="4FF162DD"/>
    <w:rsid w:val="4FF754A7"/>
    <w:rsid w:val="504E39F2"/>
    <w:rsid w:val="5075461D"/>
    <w:rsid w:val="50A867A1"/>
    <w:rsid w:val="50B82E88"/>
    <w:rsid w:val="50F9524E"/>
    <w:rsid w:val="512408A7"/>
    <w:rsid w:val="51695F30"/>
    <w:rsid w:val="5181369F"/>
    <w:rsid w:val="51E97071"/>
    <w:rsid w:val="52081BED"/>
    <w:rsid w:val="525A7F6F"/>
    <w:rsid w:val="527E58C8"/>
    <w:rsid w:val="528D20F2"/>
    <w:rsid w:val="52C55BBA"/>
    <w:rsid w:val="52C673B2"/>
    <w:rsid w:val="53807561"/>
    <w:rsid w:val="539D6365"/>
    <w:rsid w:val="539F20DD"/>
    <w:rsid w:val="53EB15FB"/>
    <w:rsid w:val="541D24F3"/>
    <w:rsid w:val="55256612"/>
    <w:rsid w:val="55CD2393"/>
    <w:rsid w:val="561D36BE"/>
    <w:rsid w:val="569101BA"/>
    <w:rsid w:val="56F905B2"/>
    <w:rsid w:val="56FA5A54"/>
    <w:rsid w:val="572A47DF"/>
    <w:rsid w:val="57766A4F"/>
    <w:rsid w:val="57B123DF"/>
    <w:rsid w:val="583D71CA"/>
    <w:rsid w:val="5853793A"/>
    <w:rsid w:val="59101387"/>
    <w:rsid w:val="5933590A"/>
    <w:rsid w:val="59401C6C"/>
    <w:rsid w:val="59B44408"/>
    <w:rsid w:val="5A3317D1"/>
    <w:rsid w:val="5A5359CF"/>
    <w:rsid w:val="5A70032F"/>
    <w:rsid w:val="5AB9201E"/>
    <w:rsid w:val="5B1E7D8B"/>
    <w:rsid w:val="5B9E663D"/>
    <w:rsid w:val="5C116D80"/>
    <w:rsid w:val="5C6B2D9C"/>
    <w:rsid w:val="5D5F6439"/>
    <w:rsid w:val="5DE57F1D"/>
    <w:rsid w:val="5E6261E1"/>
    <w:rsid w:val="5EDC2437"/>
    <w:rsid w:val="5EFD3D34"/>
    <w:rsid w:val="5F8D54E0"/>
    <w:rsid w:val="5FD44EBD"/>
    <w:rsid w:val="605E50CE"/>
    <w:rsid w:val="60634492"/>
    <w:rsid w:val="60651FB9"/>
    <w:rsid w:val="609B7124"/>
    <w:rsid w:val="61235A9C"/>
    <w:rsid w:val="61A134C4"/>
    <w:rsid w:val="620121B5"/>
    <w:rsid w:val="626D15F8"/>
    <w:rsid w:val="628726BA"/>
    <w:rsid w:val="62EF6BE7"/>
    <w:rsid w:val="62FA736F"/>
    <w:rsid w:val="630A6E47"/>
    <w:rsid w:val="63624ED5"/>
    <w:rsid w:val="637F7835"/>
    <w:rsid w:val="63BA261B"/>
    <w:rsid w:val="63D25BB7"/>
    <w:rsid w:val="63D47B81"/>
    <w:rsid w:val="6488096B"/>
    <w:rsid w:val="654E5711"/>
    <w:rsid w:val="65F00688"/>
    <w:rsid w:val="660160D6"/>
    <w:rsid w:val="66A852F5"/>
    <w:rsid w:val="66BF63B1"/>
    <w:rsid w:val="67414C6B"/>
    <w:rsid w:val="67424E02"/>
    <w:rsid w:val="68442DFB"/>
    <w:rsid w:val="68B7181F"/>
    <w:rsid w:val="68C33D20"/>
    <w:rsid w:val="693C3AD3"/>
    <w:rsid w:val="69750844"/>
    <w:rsid w:val="6976022A"/>
    <w:rsid w:val="6A102F95"/>
    <w:rsid w:val="6AE755AA"/>
    <w:rsid w:val="6AF6242A"/>
    <w:rsid w:val="6B4D449B"/>
    <w:rsid w:val="6BF6265F"/>
    <w:rsid w:val="6C5D623A"/>
    <w:rsid w:val="6C64581A"/>
    <w:rsid w:val="6C6475C8"/>
    <w:rsid w:val="6D3276C6"/>
    <w:rsid w:val="6DE940F3"/>
    <w:rsid w:val="6E4F199A"/>
    <w:rsid w:val="6E511395"/>
    <w:rsid w:val="6E767955"/>
    <w:rsid w:val="6E7855AD"/>
    <w:rsid w:val="6E963588"/>
    <w:rsid w:val="6EE113A4"/>
    <w:rsid w:val="6EF015E7"/>
    <w:rsid w:val="6F8D6E36"/>
    <w:rsid w:val="6F975F07"/>
    <w:rsid w:val="6F9C3E76"/>
    <w:rsid w:val="71072C18"/>
    <w:rsid w:val="71324139"/>
    <w:rsid w:val="71866233"/>
    <w:rsid w:val="71902C0D"/>
    <w:rsid w:val="71946BA2"/>
    <w:rsid w:val="71A768D5"/>
    <w:rsid w:val="72231CD3"/>
    <w:rsid w:val="72F1592E"/>
    <w:rsid w:val="72FD0776"/>
    <w:rsid w:val="73700F48"/>
    <w:rsid w:val="741144D9"/>
    <w:rsid w:val="754206C3"/>
    <w:rsid w:val="75447E74"/>
    <w:rsid w:val="755325D9"/>
    <w:rsid w:val="75CD2682"/>
    <w:rsid w:val="75DD576F"/>
    <w:rsid w:val="76206C56"/>
    <w:rsid w:val="762A1882"/>
    <w:rsid w:val="764F12E9"/>
    <w:rsid w:val="76A55366"/>
    <w:rsid w:val="770420D4"/>
    <w:rsid w:val="77183DD1"/>
    <w:rsid w:val="77D00208"/>
    <w:rsid w:val="77F9775E"/>
    <w:rsid w:val="78321606"/>
    <w:rsid w:val="783833EA"/>
    <w:rsid w:val="783E1615"/>
    <w:rsid w:val="7854496A"/>
    <w:rsid w:val="7875524F"/>
    <w:rsid w:val="78801C2E"/>
    <w:rsid w:val="78DB3308"/>
    <w:rsid w:val="78F65A4C"/>
    <w:rsid w:val="79117F3D"/>
    <w:rsid w:val="79626B52"/>
    <w:rsid w:val="797A074D"/>
    <w:rsid w:val="7AAF05A8"/>
    <w:rsid w:val="7AB43E11"/>
    <w:rsid w:val="7AE65E1A"/>
    <w:rsid w:val="7B845591"/>
    <w:rsid w:val="7B90043F"/>
    <w:rsid w:val="7C3D3992"/>
    <w:rsid w:val="7C574A54"/>
    <w:rsid w:val="7C9E2682"/>
    <w:rsid w:val="7D300941"/>
    <w:rsid w:val="7D3B4375"/>
    <w:rsid w:val="7E060951"/>
    <w:rsid w:val="7E372D8F"/>
    <w:rsid w:val="7EA232D1"/>
    <w:rsid w:val="7ECB24A2"/>
    <w:rsid w:val="7F0A53AE"/>
    <w:rsid w:val="7F5434CC"/>
    <w:rsid w:val="7F995383"/>
    <w:rsid w:val="7FE64A6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qFormat="1" w:unhideWhenUsed="0" w:uiPriority="99" w:semiHidden="0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qFormat="1" w:unhideWhenUsed="0" w:uiPriority="99" w:semiHidden="0" w:name="Body Text"/>
    <w:lsdException w:qFormat="1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nhideWhenUsed="0" w:uiPriority="99" w:semiHidden="0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3">
    <w:name w:val="heading 2"/>
    <w:basedOn w:val="1"/>
    <w:next w:val="1"/>
    <w:unhideWhenUsed/>
    <w:qFormat/>
    <w:uiPriority w:val="9"/>
    <w:pPr>
      <w:keepNext/>
      <w:keepLines/>
      <w:adjustRightInd w:val="0"/>
      <w:spacing w:before="260" w:beforeLines="0" w:after="260" w:afterLines="0"/>
      <w:ind w:firstLine="0" w:firstLineChars="0"/>
      <w:textAlignment w:val="baseline"/>
      <w:outlineLvl w:val="1"/>
    </w:pPr>
    <w:rPr>
      <w:rFonts w:ascii="Arial" w:hAnsi="Arial"/>
      <w:b/>
      <w:bCs/>
      <w:kern w:val="0"/>
      <w:sz w:val="28"/>
      <w:szCs w:val="32"/>
    </w:rPr>
  </w:style>
  <w:style w:type="character" w:default="1" w:styleId="14">
    <w:name w:val="Default Paragraph Font"/>
    <w:unhideWhenUsed/>
    <w:qFormat/>
    <w:uiPriority w:val="1"/>
  </w:style>
  <w:style w:type="table" w:default="1" w:styleId="12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basedOn w:val="1"/>
    <w:next w:val="1"/>
    <w:qFormat/>
    <w:uiPriority w:val="99"/>
    <w:pPr>
      <w:spacing w:before="120"/>
    </w:pPr>
    <w:rPr>
      <w:rFonts w:ascii="Arial" w:hAnsi="Arial" w:cs="Arial"/>
    </w:rPr>
  </w:style>
  <w:style w:type="paragraph" w:styleId="4">
    <w:name w:val="Body Text"/>
    <w:basedOn w:val="1"/>
    <w:qFormat/>
    <w:uiPriority w:val="99"/>
    <w:pPr>
      <w:spacing w:after="120"/>
    </w:pPr>
  </w:style>
  <w:style w:type="paragraph" w:styleId="5">
    <w:name w:val="Body Text Indent"/>
    <w:basedOn w:val="1"/>
    <w:unhideWhenUsed/>
    <w:qFormat/>
    <w:uiPriority w:val="99"/>
  </w:style>
  <w:style w:type="paragraph" w:styleId="6">
    <w:name w:val="Balloon Text"/>
    <w:basedOn w:val="1"/>
    <w:link w:val="15"/>
    <w:unhideWhenUsed/>
    <w:qFormat/>
    <w:uiPriority w:val="99"/>
    <w:rPr>
      <w:sz w:val="18"/>
      <w:szCs w:val="18"/>
    </w:rPr>
  </w:style>
  <w:style w:type="paragraph" w:styleId="7">
    <w:name w:val="footer"/>
    <w:basedOn w:val="1"/>
    <w:link w:val="1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HTML Preformatted"/>
    <w:basedOn w:val="1"/>
    <w:semiHidden/>
    <w:unhideWhenUsed/>
    <w:qFormat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10">
    <w:name w:val="Body Text First Indent"/>
    <w:basedOn w:val="4"/>
    <w:qFormat/>
    <w:uiPriority w:val="99"/>
    <w:pPr>
      <w:spacing w:line="312" w:lineRule="auto"/>
      <w:ind w:firstLine="420"/>
    </w:pPr>
  </w:style>
  <w:style w:type="paragraph" w:styleId="11">
    <w:name w:val="Body Text First Indent 2"/>
    <w:basedOn w:val="5"/>
    <w:qFormat/>
    <w:uiPriority w:val="0"/>
    <w:pPr>
      <w:adjustRightInd w:val="0"/>
      <w:spacing w:line="312" w:lineRule="atLeast"/>
      <w:ind w:left="0" w:leftChars="0" w:firstLine="420"/>
      <w:textAlignment w:val="baseline"/>
    </w:pPr>
  </w:style>
  <w:style w:type="table" w:styleId="13">
    <w:name w:val="Table Grid"/>
    <w:basedOn w:val="12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5">
    <w:name w:val="批注框文本 Char"/>
    <w:basedOn w:val="14"/>
    <w:link w:val="6"/>
    <w:semiHidden/>
    <w:qFormat/>
    <w:uiPriority w:val="99"/>
    <w:rPr>
      <w:sz w:val="18"/>
      <w:szCs w:val="18"/>
    </w:rPr>
  </w:style>
  <w:style w:type="paragraph" w:customStyle="1" w:styleId="16">
    <w:name w:val="List Paragraph"/>
    <w:basedOn w:val="1"/>
    <w:qFormat/>
    <w:uiPriority w:val="34"/>
    <w:pPr>
      <w:ind w:firstLine="420" w:firstLineChars="200"/>
    </w:pPr>
  </w:style>
  <w:style w:type="character" w:customStyle="1" w:styleId="17">
    <w:name w:val="页眉 Char"/>
    <w:basedOn w:val="14"/>
    <w:link w:val="8"/>
    <w:qFormat/>
    <w:uiPriority w:val="99"/>
    <w:rPr>
      <w:sz w:val="18"/>
      <w:szCs w:val="18"/>
    </w:rPr>
  </w:style>
  <w:style w:type="character" w:customStyle="1" w:styleId="18">
    <w:name w:val="页脚 Char"/>
    <w:basedOn w:val="14"/>
    <w:link w:val="7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8" Type="http://schemas.openxmlformats.org/officeDocument/2006/relationships/fontTable" Target="fontTable.xml"/><Relationship Id="rId17" Type="http://schemas.openxmlformats.org/officeDocument/2006/relationships/customXml" Target="../customXml/item1.xml"/><Relationship Id="rId16" Type="http://schemas.openxmlformats.org/officeDocument/2006/relationships/numbering" Target="numbering.xml"/><Relationship Id="rId15" Type="http://schemas.openxmlformats.org/officeDocument/2006/relationships/image" Target="media/image10.jpeg"/><Relationship Id="rId14" Type="http://schemas.openxmlformats.org/officeDocument/2006/relationships/image" Target="media/image9.jpeg"/><Relationship Id="rId13" Type="http://schemas.openxmlformats.org/officeDocument/2006/relationships/image" Target="media/image8.jpeg"/><Relationship Id="rId12" Type="http://schemas.openxmlformats.org/officeDocument/2006/relationships/image" Target="media/image7.jpeg"/><Relationship Id="rId11" Type="http://schemas.openxmlformats.org/officeDocument/2006/relationships/image" Target="media/image6.jpeg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741834-C429-4566-8314-903C6EA9106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5</Pages>
  <Words>1279</Words>
  <Characters>1358</Characters>
  <Lines>1</Lines>
  <Paragraphs>1</Paragraphs>
  <TotalTime>1</TotalTime>
  <ScaleCrop>false</ScaleCrop>
  <LinksUpToDate>false</LinksUpToDate>
  <CharactersWithSpaces>1453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2014-08-21T07:50:00Z</dcterms:created>
  <dc:creator>DELL-N4050</dc:creator>
  <cp:lastModifiedBy>秦邦学</cp:lastModifiedBy>
  <cp:lastPrinted>2020-06-30T10:43:00Z</cp:lastPrinted>
  <dcterms:modified xsi:type="dcterms:W3CDTF">2024-12-04T13:35:09Z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D165F7BE5C154CFAAC4015FF7C392552</vt:lpwstr>
  </property>
</Properties>
</file>