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65CD" w:rsidRDefault="00D165CD" w:rsidP="00D165CD">
      <w:pPr>
        <w:pStyle w:val="5"/>
        <w:spacing w:before="300" w:after="300" w:line="500" w:lineRule="exact"/>
      </w:pPr>
      <w:bookmarkStart w:id="0" w:name="_Toc388020198"/>
      <w:r w:rsidRPr="00BC3E99">
        <w:rPr>
          <w:rFonts w:hint="eastAsia"/>
        </w:rPr>
        <w:t>奥瑟亚（嘉兴）光伏科技有限公司嘉兴秀洲</w:t>
      </w:r>
      <w:r w:rsidRPr="00BC3E99">
        <w:rPr>
          <w:rFonts w:hint="eastAsia"/>
        </w:rPr>
        <w:t>2.52MW</w:t>
      </w:r>
      <w:r w:rsidRPr="00BC3E99">
        <w:rPr>
          <w:rFonts w:hint="eastAsia"/>
        </w:rPr>
        <w:t>分布式光伏电站工程</w:t>
      </w:r>
      <w:r>
        <w:br/>
      </w:r>
      <w:r>
        <w:rPr>
          <w:rFonts w:hint="eastAsia"/>
        </w:rPr>
        <w:t>监</w:t>
      </w:r>
      <w:r>
        <w:rPr>
          <w:rFonts w:hint="eastAsia"/>
        </w:rPr>
        <w:t xml:space="preserve"> </w:t>
      </w:r>
      <w:r>
        <w:rPr>
          <w:rFonts w:hint="eastAsia"/>
        </w:rPr>
        <w:t>理</w:t>
      </w:r>
      <w:r>
        <w:rPr>
          <w:rFonts w:hint="eastAsia"/>
        </w:rPr>
        <w:t xml:space="preserve"> </w:t>
      </w:r>
      <w:r>
        <w:rPr>
          <w:rFonts w:hint="eastAsia"/>
        </w:rPr>
        <w:t>工</w:t>
      </w:r>
      <w:r>
        <w:rPr>
          <w:rFonts w:hint="eastAsia"/>
        </w:rPr>
        <w:t xml:space="preserve"> </w:t>
      </w:r>
      <w:r>
        <w:rPr>
          <w:rFonts w:hint="eastAsia"/>
        </w:rPr>
        <w:t>作</w:t>
      </w:r>
      <w:r>
        <w:rPr>
          <w:rFonts w:hint="eastAsia"/>
        </w:rPr>
        <w:t xml:space="preserve"> </w:t>
      </w:r>
      <w:r>
        <w:rPr>
          <w:rFonts w:hint="eastAsia"/>
        </w:rPr>
        <w:t>总</w:t>
      </w:r>
      <w:r>
        <w:rPr>
          <w:rFonts w:hint="eastAsia"/>
        </w:rPr>
        <w:t xml:space="preserve"> </w:t>
      </w:r>
      <w:r>
        <w:rPr>
          <w:rFonts w:hint="eastAsia"/>
        </w:rPr>
        <w:t>结</w:t>
      </w:r>
      <w:bookmarkEnd w:id="0"/>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left="1418"/>
        <w:rPr>
          <w:szCs w:val="21"/>
        </w:rPr>
      </w:pPr>
      <w:r>
        <w:rPr>
          <w:rFonts w:hint="eastAsia"/>
          <w:szCs w:val="21"/>
        </w:rPr>
        <w:t>批准：</w:t>
      </w:r>
      <w:r w:rsidRPr="006B444F">
        <w:rPr>
          <w:rFonts w:hint="eastAsia"/>
          <w:szCs w:val="21"/>
          <w:u w:val="single"/>
        </w:rPr>
        <w:t>（分管领导）</w:t>
      </w:r>
      <w:r w:rsidRPr="006B444F">
        <w:rPr>
          <w:rFonts w:hint="eastAsia"/>
          <w:szCs w:val="21"/>
          <w:u w:val="single"/>
        </w:rPr>
        <w:t xml:space="preserve"> </w:t>
      </w:r>
      <w:r>
        <w:rPr>
          <w:rFonts w:hint="eastAsia"/>
          <w:szCs w:val="21"/>
          <w:u w:val="single"/>
        </w:rPr>
        <w:t xml:space="preserve"> </w:t>
      </w:r>
      <w:r w:rsidRPr="006B444F">
        <w:rPr>
          <w:rFonts w:hint="eastAsia"/>
          <w:szCs w:val="21"/>
          <w:u w:val="single"/>
        </w:rPr>
        <w:t xml:space="preserve">  </w:t>
      </w:r>
      <w:r>
        <w:rPr>
          <w:rFonts w:hint="eastAsia"/>
          <w:szCs w:val="21"/>
          <w:u w:val="single"/>
        </w:rPr>
        <w:t xml:space="preserve"> </w:t>
      </w:r>
      <w:r w:rsidRPr="006B444F">
        <w:rPr>
          <w:rFonts w:hint="eastAsia"/>
          <w:szCs w:val="21"/>
          <w:u w:val="single"/>
        </w:rPr>
        <w:t>朱学明</w:t>
      </w:r>
      <w:r w:rsidRPr="006B444F">
        <w:rPr>
          <w:rFonts w:hint="eastAsia"/>
          <w:szCs w:val="21"/>
          <w:u w:val="single"/>
        </w:rPr>
        <w:t xml:space="preserve">       </w:t>
      </w:r>
      <w:r>
        <w:rPr>
          <w:rFonts w:hint="eastAsia"/>
          <w:szCs w:val="21"/>
          <w:u w:val="single"/>
        </w:rPr>
        <w:t xml:space="preserve">     </w:t>
      </w:r>
      <w:r w:rsidRPr="006B444F">
        <w:rPr>
          <w:rFonts w:hint="eastAsia"/>
          <w:szCs w:val="21"/>
          <w:u w:val="single"/>
        </w:rPr>
        <w:t xml:space="preserve">     </w:t>
      </w:r>
      <w:r w:rsidRPr="00B03B57">
        <w:rPr>
          <w:rFonts w:hint="eastAsia"/>
          <w:szCs w:val="21"/>
        </w:rPr>
        <w:t xml:space="preserve"> 2015 </w:t>
      </w:r>
      <w:r>
        <w:rPr>
          <w:rFonts w:hint="eastAsia"/>
          <w:szCs w:val="21"/>
        </w:rPr>
        <w:t>年</w:t>
      </w:r>
      <w:r>
        <w:rPr>
          <w:rFonts w:hint="eastAsia"/>
          <w:szCs w:val="21"/>
        </w:rPr>
        <w:t>9</w:t>
      </w:r>
      <w:r>
        <w:rPr>
          <w:rFonts w:hint="eastAsia"/>
          <w:szCs w:val="21"/>
        </w:rPr>
        <w:t>月</w:t>
      </w:r>
      <w:r>
        <w:rPr>
          <w:rFonts w:hint="eastAsia"/>
          <w:szCs w:val="21"/>
        </w:rPr>
        <w:t>1</w:t>
      </w:r>
      <w:r>
        <w:rPr>
          <w:rFonts w:hint="eastAsia"/>
          <w:szCs w:val="21"/>
        </w:rPr>
        <w:t>日</w:t>
      </w:r>
    </w:p>
    <w:p w:rsidR="00D165CD" w:rsidRDefault="00D165CD" w:rsidP="00D165CD">
      <w:pPr>
        <w:topLinePunct/>
        <w:ind w:left="1418"/>
        <w:rPr>
          <w:szCs w:val="21"/>
        </w:rPr>
      </w:pPr>
    </w:p>
    <w:p w:rsidR="00D165CD" w:rsidRDefault="00D165CD" w:rsidP="00D165CD">
      <w:pPr>
        <w:topLinePunct/>
        <w:ind w:left="1418"/>
        <w:rPr>
          <w:szCs w:val="21"/>
        </w:rPr>
      </w:pPr>
      <w:r>
        <w:rPr>
          <w:szCs w:val="21"/>
        </w:rPr>
        <w:t>审</w:t>
      </w:r>
      <w:r>
        <w:rPr>
          <w:rFonts w:hint="eastAsia"/>
          <w:szCs w:val="21"/>
        </w:rPr>
        <w:t>核：</w:t>
      </w:r>
      <w:r w:rsidRPr="006B444F">
        <w:rPr>
          <w:rFonts w:hint="eastAsia"/>
          <w:szCs w:val="21"/>
          <w:u w:val="single"/>
        </w:rPr>
        <w:t>（公司职能部门）</w:t>
      </w:r>
      <w:r>
        <w:rPr>
          <w:rFonts w:hint="eastAsia"/>
          <w:szCs w:val="21"/>
          <w:u w:val="single"/>
        </w:rPr>
        <w:t xml:space="preserve"> </w:t>
      </w:r>
      <w:r>
        <w:rPr>
          <w:rFonts w:hint="eastAsia"/>
          <w:szCs w:val="21"/>
          <w:u w:val="single"/>
        </w:rPr>
        <w:t>周建成</w:t>
      </w:r>
      <w:r w:rsidRPr="006B444F">
        <w:rPr>
          <w:rFonts w:hint="eastAsia"/>
          <w:szCs w:val="21"/>
          <w:u w:val="single"/>
        </w:rPr>
        <w:t xml:space="preserve">               </w:t>
      </w:r>
      <w:r>
        <w:rPr>
          <w:rFonts w:hint="eastAsia"/>
          <w:szCs w:val="21"/>
          <w:u w:val="single"/>
        </w:rPr>
        <w:t xml:space="preserve">  </w:t>
      </w:r>
      <w:r w:rsidRPr="006B444F">
        <w:rPr>
          <w:rFonts w:hint="eastAsia"/>
          <w:szCs w:val="21"/>
          <w:u w:val="single"/>
        </w:rPr>
        <w:t xml:space="preserve"> </w:t>
      </w:r>
      <w:r w:rsidRPr="00B03B57">
        <w:rPr>
          <w:rFonts w:hint="eastAsia"/>
          <w:szCs w:val="21"/>
        </w:rPr>
        <w:t xml:space="preserve">2015 </w:t>
      </w:r>
      <w:r>
        <w:rPr>
          <w:rFonts w:hint="eastAsia"/>
          <w:szCs w:val="21"/>
        </w:rPr>
        <w:t>年</w:t>
      </w:r>
      <w:r>
        <w:rPr>
          <w:rFonts w:hint="eastAsia"/>
          <w:szCs w:val="21"/>
        </w:rPr>
        <w:t>9</w:t>
      </w:r>
      <w:r>
        <w:rPr>
          <w:rFonts w:hint="eastAsia"/>
          <w:szCs w:val="21"/>
        </w:rPr>
        <w:t>月</w:t>
      </w:r>
      <w:r>
        <w:rPr>
          <w:rFonts w:hint="eastAsia"/>
          <w:szCs w:val="21"/>
        </w:rPr>
        <w:t>1</w:t>
      </w:r>
      <w:r>
        <w:rPr>
          <w:rFonts w:hint="eastAsia"/>
          <w:szCs w:val="21"/>
        </w:rPr>
        <w:t>日</w:t>
      </w:r>
    </w:p>
    <w:p w:rsidR="00D165CD" w:rsidRDefault="00D165CD" w:rsidP="00D165CD">
      <w:pPr>
        <w:topLinePunct/>
        <w:ind w:left="1418"/>
        <w:rPr>
          <w:szCs w:val="21"/>
        </w:rPr>
      </w:pPr>
    </w:p>
    <w:p w:rsidR="00D165CD" w:rsidRDefault="00D165CD" w:rsidP="00D165CD">
      <w:pPr>
        <w:topLinePunct/>
        <w:ind w:left="1418"/>
        <w:rPr>
          <w:szCs w:val="21"/>
        </w:rPr>
      </w:pPr>
      <w:r>
        <w:rPr>
          <w:szCs w:val="21"/>
        </w:rPr>
        <w:t>编写</w:t>
      </w:r>
      <w:r>
        <w:rPr>
          <w:rFonts w:hint="eastAsia"/>
          <w:szCs w:val="21"/>
        </w:rPr>
        <w:t>：</w:t>
      </w:r>
      <w:r w:rsidRPr="006B444F">
        <w:rPr>
          <w:rFonts w:hint="eastAsia"/>
          <w:szCs w:val="21"/>
          <w:u w:val="single"/>
        </w:rPr>
        <w:t>（总监理工程师）</w:t>
      </w:r>
      <w:r w:rsidRPr="006B444F">
        <w:rPr>
          <w:rFonts w:hint="eastAsia"/>
          <w:szCs w:val="21"/>
          <w:u w:val="single"/>
        </w:rPr>
        <w:t xml:space="preserve"> </w:t>
      </w:r>
      <w:r>
        <w:rPr>
          <w:rFonts w:hint="eastAsia"/>
          <w:szCs w:val="21"/>
          <w:u w:val="single"/>
        </w:rPr>
        <w:t>郝志刚</w:t>
      </w:r>
      <w:r w:rsidRPr="006B444F">
        <w:rPr>
          <w:rFonts w:hint="eastAsia"/>
          <w:szCs w:val="21"/>
          <w:u w:val="single"/>
        </w:rPr>
        <w:t xml:space="preserve">     </w:t>
      </w:r>
      <w:r>
        <w:rPr>
          <w:rFonts w:hint="eastAsia"/>
          <w:szCs w:val="21"/>
          <w:u w:val="single"/>
        </w:rPr>
        <w:t xml:space="preserve">      </w:t>
      </w:r>
      <w:r w:rsidRPr="006B444F">
        <w:rPr>
          <w:rFonts w:hint="eastAsia"/>
          <w:szCs w:val="21"/>
          <w:u w:val="single"/>
        </w:rPr>
        <w:t xml:space="preserve">       </w:t>
      </w:r>
      <w:r w:rsidRPr="00B03B57">
        <w:rPr>
          <w:rFonts w:hint="eastAsia"/>
          <w:szCs w:val="21"/>
        </w:rPr>
        <w:t xml:space="preserve">2015 </w:t>
      </w:r>
      <w:r>
        <w:rPr>
          <w:rFonts w:hint="eastAsia"/>
          <w:szCs w:val="21"/>
        </w:rPr>
        <w:t>年</w:t>
      </w:r>
      <w:r>
        <w:rPr>
          <w:rFonts w:hint="eastAsia"/>
          <w:szCs w:val="21"/>
        </w:rPr>
        <w:t>9</w:t>
      </w:r>
      <w:r>
        <w:rPr>
          <w:rFonts w:hint="eastAsia"/>
          <w:szCs w:val="21"/>
        </w:rPr>
        <w:t>月</w:t>
      </w:r>
      <w:r>
        <w:rPr>
          <w:rFonts w:hint="eastAsia"/>
          <w:szCs w:val="21"/>
        </w:rPr>
        <w:t>1</w:t>
      </w:r>
      <w:r>
        <w:rPr>
          <w:rFonts w:hint="eastAsia"/>
          <w:szCs w:val="21"/>
        </w:rPr>
        <w:t>日</w:t>
      </w: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Default="00D165CD" w:rsidP="00D165CD">
      <w:pPr>
        <w:topLinePunct/>
        <w:ind w:firstLine="425"/>
        <w:rPr>
          <w:szCs w:val="21"/>
        </w:rPr>
      </w:pPr>
    </w:p>
    <w:p w:rsidR="00D165CD" w:rsidRPr="00946BFD" w:rsidRDefault="00D165CD" w:rsidP="00D165CD">
      <w:pPr>
        <w:topLinePunct/>
        <w:ind w:firstLine="425"/>
        <w:jc w:val="center"/>
        <w:rPr>
          <w:b/>
          <w:szCs w:val="21"/>
        </w:rPr>
      </w:pPr>
      <w:r w:rsidRPr="00946BFD">
        <w:rPr>
          <w:rFonts w:hint="eastAsia"/>
          <w:b/>
          <w:szCs w:val="21"/>
        </w:rPr>
        <w:t>常州正衡电力工程监理有限公司</w:t>
      </w:r>
    </w:p>
    <w:p w:rsidR="00D165CD" w:rsidRPr="00946BFD" w:rsidRDefault="00D165CD" w:rsidP="00D165CD">
      <w:pPr>
        <w:topLinePunct/>
        <w:ind w:firstLine="425"/>
        <w:jc w:val="center"/>
        <w:rPr>
          <w:b/>
          <w:szCs w:val="21"/>
        </w:rPr>
      </w:pPr>
      <w:r w:rsidRPr="00946BFD">
        <w:rPr>
          <w:rFonts w:hint="eastAsia"/>
          <w:b/>
          <w:szCs w:val="21"/>
        </w:rPr>
        <w:t>（加盖监理公司公章）</w:t>
      </w:r>
    </w:p>
    <w:p w:rsidR="00D165CD" w:rsidRPr="00946BFD" w:rsidRDefault="00D165CD" w:rsidP="00D165CD">
      <w:pPr>
        <w:topLinePunct/>
        <w:ind w:firstLine="425"/>
        <w:jc w:val="center"/>
        <w:rPr>
          <w:b/>
          <w:szCs w:val="21"/>
        </w:rPr>
      </w:pPr>
      <w:r w:rsidRPr="00946BFD">
        <w:rPr>
          <w:rFonts w:hint="eastAsia"/>
          <w:b/>
          <w:szCs w:val="21"/>
        </w:rPr>
        <w:t>二</w:t>
      </w:r>
      <w:r w:rsidRPr="00946BFD">
        <w:rPr>
          <w:rFonts w:hint="eastAsia"/>
          <w:b/>
          <w:szCs w:val="21"/>
        </w:rPr>
        <w:t>0</w:t>
      </w:r>
      <w:r w:rsidRPr="00946BFD">
        <w:rPr>
          <w:rFonts w:hint="eastAsia"/>
          <w:b/>
          <w:szCs w:val="21"/>
        </w:rPr>
        <w:t>一五年</w:t>
      </w:r>
      <w:r>
        <w:rPr>
          <w:rFonts w:hint="eastAsia"/>
          <w:b/>
          <w:szCs w:val="21"/>
        </w:rPr>
        <w:t>九</w:t>
      </w:r>
      <w:r w:rsidRPr="00946BFD">
        <w:rPr>
          <w:rFonts w:hint="eastAsia"/>
          <w:b/>
          <w:szCs w:val="21"/>
        </w:rPr>
        <w:t>月</w:t>
      </w:r>
    </w:p>
    <w:p w:rsidR="00D165CD" w:rsidRPr="00946BFD" w:rsidRDefault="00D165CD" w:rsidP="00D165CD">
      <w:pPr>
        <w:topLinePunct/>
        <w:ind w:firstLine="425"/>
        <w:rPr>
          <w:b/>
          <w:szCs w:val="21"/>
        </w:rPr>
      </w:pPr>
      <w:r w:rsidRPr="00946BFD">
        <w:rPr>
          <w:b/>
          <w:szCs w:val="21"/>
        </w:rPr>
        <w:br w:type="page"/>
      </w:r>
    </w:p>
    <w:p w:rsidR="00D165CD" w:rsidRDefault="00D165CD" w:rsidP="00D165CD">
      <w:pPr>
        <w:topLinePunct/>
        <w:spacing w:line="960" w:lineRule="auto"/>
        <w:jc w:val="center"/>
        <w:rPr>
          <w:rFonts w:ascii="黑体" w:eastAsia="黑体" w:hAnsi="宋体"/>
          <w:kern w:val="21"/>
          <w:sz w:val="28"/>
          <w:szCs w:val="28"/>
        </w:rPr>
      </w:pPr>
      <w:r>
        <w:rPr>
          <w:rFonts w:ascii="黑体" w:eastAsia="黑体" w:hAnsi="宋体"/>
          <w:kern w:val="21"/>
          <w:sz w:val="28"/>
          <w:szCs w:val="28"/>
        </w:rPr>
        <w:lastRenderedPageBreak/>
        <w:t xml:space="preserve">目  </w:t>
      </w:r>
      <w:r>
        <w:rPr>
          <w:rFonts w:ascii="黑体" w:eastAsia="黑体" w:hAnsi="宋体" w:hint="eastAsia"/>
          <w:kern w:val="21"/>
          <w:sz w:val="28"/>
          <w:szCs w:val="28"/>
        </w:rPr>
        <w:t xml:space="preserve">  录</w:t>
      </w:r>
    </w:p>
    <w:p w:rsidR="00D165CD" w:rsidRDefault="00D165CD" w:rsidP="00D165CD">
      <w:pPr>
        <w:tabs>
          <w:tab w:val="right" w:pos="7541"/>
        </w:tabs>
        <w:topLinePunct/>
        <w:adjustRightInd w:val="0"/>
        <w:rPr>
          <w:rFonts w:eastAsia="黑体"/>
          <w:szCs w:val="21"/>
        </w:rPr>
      </w:pPr>
      <w:r>
        <w:rPr>
          <w:rFonts w:eastAsia="黑体" w:hint="eastAsia"/>
          <w:b/>
          <w:szCs w:val="21"/>
        </w:rPr>
        <w:t xml:space="preserve">1  </w:t>
      </w:r>
      <w:r>
        <w:rPr>
          <w:rFonts w:eastAsia="黑体" w:hint="eastAsia"/>
          <w:szCs w:val="21"/>
        </w:rPr>
        <w:t>工程概</w:t>
      </w:r>
      <w:bookmarkStart w:id="1" w:name="_Hlt153508931"/>
      <w:r>
        <w:rPr>
          <w:rFonts w:eastAsia="黑体" w:hint="eastAsia"/>
          <w:szCs w:val="21"/>
        </w:rPr>
        <w:t>况</w:t>
      </w:r>
      <w:bookmarkEnd w:id="1"/>
    </w:p>
    <w:p w:rsidR="00D165CD" w:rsidRPr="00B03B57" w:rsidRDefault="00D165CD" w:rsidP="00D165CD">
      <w:pPr>
        <w:tabs>
          <w:tab w:val="right" w:pos="7541"/>
        </w:tabs>
        <w:topLinePunct/>
        <w:adjustRightInd w:val="0"/>
        <w:rPr>
          <w:color w:val="FF0000"/>
          <w:szCs w:val="21"/>
        </w:rPr>
      </w:pPr>
      <w:r w:rsidRPr="00946BFD">
        <w:rPr>
          <w:rFonts w:eastAsia="黑体" w:hint="eastAsia"/>
          <w:szCs w:val="21"/>
        </w:rPr>
        <w:t>2</w:t>
      </w:r>
      <w:r>
        <w:rPr>
          <w:rFonts w:eastAsia="黑体" w:hint="eastAsia"/>
          <w:szCs w:val="21"/>
        </w:rPr>
        <w:t xml:space="preserve">  </w:t>
      </w:r>
      <w:r w:rsidRPr="00946BFD">
        <w:rPr>
          <w:rFonts w:eastAsia="黑体"/>
          <w:szCs w:val="21"/>
        </w:rPr>
        <w:t>监理过程</w:t>
      </w:r>
      <w:r w:rsidRPr="00B03B57">
        <w:rPr>
          <w:rFonts w:hint="eastAsia"/>
          <w:color w:val="FF0000"/>
          <w:szCs w:val="21"/>
        </w:rPr>
        <w:tab/>
      </w:r>
    </w:p>
    <w:p w:rsidR="00D165CD" w:rsidRPr="0079220B" w:rsidRDefault="00D165CD" w:rsidP="00D165CD">
      <w:pPr>
        <w:tabs>
          <w:tab w:val="right" w:pos="7541"/>
        </w:tabs>
        <w:topLinePunct/>
        <w:adjustRightInd w:val="0"/>
        <w:rPr>
          <w:rFonts w:eastAsia="黑体"/>
          <w:szCs w:val="21"/>
        </w:rPr>
      </w:pPr>
      <w:r w:rsidRPr="0079220B">
        <w:rPr>
          <w:rFonts w:eastAsia="黑体" w:hint="eastAsia"/>
          <w:szCs w:val="21"/>
        </w:rPr>
        <w:t xml:space="preserve">3  </w:t>
      </w:r>
      <w:r w:rsidRPr="0079220B">
        <w:rPr>
          <w:rFonts w:eastAsia="黑体"/>
          <w:szCs w:val="21"/>
        </w:rPr>
        <w:t>监理工作体会</w:t>
      </w:r>
    </w:p>
    <w:p w:rsidR="00D165CD" w:rsidRPr="0079220B" w:rsidRDefault="00D165CD" w:rsidP="00D165CD">
      <w:pPr>
        <w:tabs>
          <w:tab w:val="right" w:pos="7541"/>
        </w:tabs>
        <w:topLinePunct/>
        <w:adjustRightInd w:val="0"/>
        <w:rPr>
          <w:rFonts w:eastAsia="黑体"/>
          <w:szCs w:val="21"/>
        </w:rPr>
      </w:pPr>
      <w:r w:rsidRPr="0079220B">
        <w:rPr>
          <w:rFonts w:eastAsia="黑体" w:hint="eastAsia"/>
          <w:szCs w:val="21"/>
        </w:rPr>
        <w:t xml:space="preserve">4  </w:t>
      </w:r>
      <w:r w:rsidRPr="0079220B">
        <w:rPr>
          <w:rFonts w:eastAsia="黑体"/>
          <w:szCs w:val="21"/>
        </w:rPr>
        <w:t>工程形象记录资料</w:t>
      </w:r>
    </w:p>
    <w:p w:rsidR="00D165CD" w:rsidRDefault="00D165CD" w:rsidP="00D165CD">
      <w:pPr>
        <w:tabs>
          <w:tab w:val="left" w:pos="448"/>
        </w:tabs>
        <w:topLinePunct/>
        <w:ind w:firstLine="425"/>
        <w:rPr>
          <w:szCs w:val="21"/>
        </w:rPr>
      </w:pPr>
    </w:p>
    <w:p w:rsidR="00D165CD" w:rsidRDefault="00D165CD" w:rsidP="00D165CD">
      <w:pPr>
        <w:tabs>
          <w:tab w:val="left" w:pos="448"/>
        </w:tabs>
        <w:topLinePunct/>
        <w:ind w:firstLine="425"/>
        <w:rPr>
          <w:szCs w:val="21"/>
        </w:rPr>
      </w:pPr>
    </w:p>
    <w:p w:rsidR="00D165CD" w:rsidRDefault="00D165CD" w:rsidP="00D165CD">
      <w:pPr>
        <w:tabs>
          <w:tab w:val="left" w:pos="448"/>
        </w:tabs>
        <w:topLinePunct/>
        <w:ind w:firstLine="425"/>
        <w:rPr>
          <w:szCs w:val="21"/>
        </w:rPr>
      </w:pPr>
    </w:p>
    <w:p w:rsidR="00D165CD" w:rsidRDefault="00D165CD" w:rsidP="00D165CD">
      <w:pPr>
        <w:tabs>
          <w:tab w:val="left" w:pos="448"/>
        </w:tabs>
        <w:topLinePunct/>
        <w:ind w:firstLine="425"/>
        <w:rPr>
          <w:szCs w:val="21"/>
        </w:rPr>
      </w:pPr>
    </w:p>
    <w:p w:rsidR="00D165CD" w:rsidRDefault="00D165CD" w:rsidP="00D165CD">
      <w:pPr>
        <w:tabs>
          <w:tab w:val="left" w:pos="448"/>
        </w:tabs>
        <w:topLinePunct/>
        <w:ind w:firstLine="425"/>
        <w:rPr>
          <w:szCs w:val="21"/>
        </w:rPr>
      </w:pPr>
    </w:p>
    <w:p w:rsidR="00D165CD" w:rsidRDefault="00D165CD" w:rsidP="00D165CD">
      <w:pPr>
        <w:tabs>
          <w:tab w:val="left" w:pos="448"/>
        </w:tabs>
        <w:topLinePunct/>
        <w:ind w:firstLine="425"/>
        <w:rPr>
          <w:szCs w:val="21"/>
        </w:rPr>
      </w:pPr>
    </w:p>
    <w:p w:rsidR="00D165CD" w:rsidRDefault="00D165CD" w:rsidP="00D165CD">
      <w:pPr>
        <w:tabs>
          <w:tab w:val="left" w:pos="448"/>
        </w:tabs>
        <w:topLinePunct/>
        <w:ind w:firstLine="425"/>
        <w:rPr>
          <w:szCs w:val="21"/>
        </w:rPr>
      </w:pPr>
    </w:p>
    <w:p w:rsidR="00D165CD" w:rsidRDefault="00D165CD" w:rsidP="00D165CD">
      <w:pPr>
        <w:tabs>
          <w:tab w:val="left" w:pos="448"/>
        </w:tabs>
        <w:topLinePunct/>
        <w:ind w:firstLine="425"/>
        <w:rPr>
          <w:szCs w:val="21"/>
        </w:rPr>
      </w:pPr>
    </w:p>
    <w:p w:rsidR="00D165CD" w:rsidRDefault="00D165CD" w:rsidP="00D165CD">
      <w:pPr>
        <w:tabs>
          <w:tab w:val="left" w:pos="448"/>
        </w:tabs>
        <w:topLinePunct/>
        <w:ind w:firstLine="425"/>
        <w:rPr>
          <w:szCs w:val="21"/>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Default="00D165CD" w:rsidP="00D165CD">
      <w:pPr>
        <w:pStyle w:val="4"/>
        <w:rPr>
          <w:kern w:val="2"/>
        </w:rPr>
      </w:pPr>
    </w:p>
    <w:p w:rsidR="00D165CD" w:rsidRPr="00946BFD" w:rsidRDefault="00D165CD" w:rsidP="00D165CD">
      <w:pPr>
        <w:widowControl/>
        <w:spacing w:before="100" w:beforeAutospacing="1" w:after="100" w:afterAutospacing="1"/>
        <w:ind w:firstLine="480"/>
        <w:jc w:val="left"/>
        <w:rPr>
          <w:rFonts w:ascii="宋体" w:hAnsi="宋体" w:cs="宋体"/>
          <w:b/>
          <w:color w:val="000000"/>
          <w:kern w:val="0"/>
          <w:sz w:val="28"/>
          <w:szCs w:val="28"/>
        </w:rPr>
      </w:pPr>
      <w:r w:rsidRPr="00946BFD">
        <w:rPr>
          <w:rFonts w:ascii="宋体" w:hAnsi="宋体" w:cs="宋体"/>
          <w:b/>
          <w:color w:val="000000"/>
          <w:kern w:val="0"/>
          <w:sz w:val="28"/>
          <w:szCs w:val="28"/>
        </w:rPr>
        <w:lastRenderedPageBreak/>
        <w:t>一、工程概况</w:t>
      </w:r>
    </w:p>
    <w:p w:rsidR="00D165CD" w:rsidRPr="00946BFD" w:rsidRDefault="00D165CD" w:rsidP="00D165CD">
      <w:pPr>
        <w:widowControl/>
        <w:spacing w:before="100" w:beforeAutospacing="1" w:after="100" w:afterAutospacing="1"/>
        <w:ind w:firstLine="480"/>
        <w:jc w:val="left"/>
        <w:rPr>
          <w:rFonts w:ascii="宋体" w:hAnsi="宋体" w:cs="宋体"/>
          <w:b/>
          <w:color w:val="000000"/>
          <w:kern w:val="0"/>
          <w:sz w:val="28"/>
          <w:szCs w:val="28"/>
        </w:rPr>
      </w:pPr>
      <w:r w:rsidRPr="00946BFD">
        <w:rPr>
          <w:rFonts w:ascii="宋体" w:hAnsi="宋体" w:hint="eastAsia"/>
          <w:sz w:val="28"/>
          <w:szCs w:val="28"/>
        </w:rPr>
        <w:t>本</w:t>
      </w:r>
      <w:r w:rsidRPr="00946BFD">
        <w:rPr>
          <w:rFonts w:hAnsi="Times New Roman" w:hint="eastAsia"/>
          <w:sz w:val="28"/>
          <w:szCs w:val="28"/>
        </w:rPr>
        <w:t>项目建设规模为</w:t>
      </w:r>
      <w:r w:rsidRPr="00946BFD">
        <w:rPr>
          <w:rFonts w:hAnsi="Times New Roman" w:hint="eastAsia"/>
          <w:sz w:val="28"/>
          <w:szCs w:val="28"/>
        </w:rPr>
        <w:t>2.52MW,</w:t>
      </w:r>
      <w:r w:rsidRPr="00946BFD">
        <w:rPr>
          <w:rFonts w:hAnsi="Times New Roman" w:hint="eastAsia"/>
          <w:sz w:val="28"/>
          <w:szCs w:val="28"/>
        </w:rPr>
        <w:t>分为：嘉兴雅港</w:t>
      </w:r>
      <w:r w:rsidRPr="00946BFD">
        <w:rPr>
          <w:rFonts w:hAnsi="Times New Roman" w:hint="eastAsia"/>
          <w:sz w:val="28"/>
          <w:szCs w:val="28"/>
        </w:rPr>
        <w:t>1.8768MWp</w:t>
      </w:r>
      <w:r w:rsidRPr="00946BFD">
        <w:rPr>
          <w:rFonts w:hAnsi="Times New Roman" w:hint="eastAsia"/>
          <w:sz w:val="28"/>
          <w:szCs w:val="28"/>
        </w:rPr>
        <w:t>分布式光伏发电工程和嘉兴照明</w:t>
      </w:r>
      <w:r w:rsidRPr="00946BFD">
        <w:rPr>
          <w:rFonts w:hAnsi="Times New Roman" w:hint="eastAsia"/>
          <w:sz w:val="28"/>
          <w:szCs w:val="28"/>
        </w:rPr>
        <w:t>0.6885MWp</w:t>
      </w:r>
      <w:r w:rsidRPr="00946BFD">
        <w:rPr>
          <w:rFonts w:hAnsi="Times New Roman" w:hint="eastAsia"/>
          <w:sz w:val="28"/>
          <w:szCs w:val="28"/>
        </w:rPr>
        <w:t>分布式光伏发电工程。属新建光伏电站，包括太阳能光伏屋顶发电系统及相应的配套并网设施。项目分布在两个厂区，分别位于嘉兴市雅港厂区以及科瑞特照明厂区。其中雅港厂区共</w:t>
      </w:r>
      <w:r w:rsidRPr="00946BFD">
        <w:rPr>
          <w:rFonts w:hAnsi="Times New Roman" w:hint="eastAsia"/>
          <w:sz w:val="28"/>
          <w:szCs w:val="28"/>
        </w:rPr>
        <w:t>11</w:t>
      </w:r>
      <w:r w:rsidRPr="00946BFD">
        <w:rPr>
          <w:rFonts w:hAnsi="Times New Roman" w:hint="eastAsia"/>
          <w:sz w:val="28"/>
          <w:szCs w:val="28"/>
        </w:rPr>
        <w:t>个屋顶，容量为</w:t>
      </w:r>
      <w:r w:rsidRPr="00946BFD">
        <w:rPr>
          <w:rFonts w:hAnsi="Times New Roman" w:hint="eastAsia"/>
          <w:sz w:val="28"/>
          <w:szCs w:val="28"/>
        </w:rPr>
        <w:t>1.8768MW</w:t>
      </w:r>
      <w:r w:rsidRPr="00946BFD">
        <w:rPr>
          <w:rFonts w:hAnsi="Times New Roman" w:hint="eastAsia"/>
          <w:sz w:val="28"/>
          <w:szCs w:val="28"/>
        </w:rPr>
        <w:t>，包括</w:t>
      </w:r>
      <w:r w:rsidRPr="00946BFD">
        <w:rPr>
          <w:rFonts w:hAnsi="Times New Roman" w:hint="eastAsia"/>
          <w:sz w:val="28"/>
          <w:szCs w:val="28"/>
        </w:rPr>
        <w:t>7</w:t>
      </w:r>
      <w:r w:rsidRPr="00946BFD">
        <w:rPr>
          <w:rFonts w:hAnsi="Times New Roman" w:hint="eastAsia"/>
          <w:sz w:val="28"/>
          <w:szCs w:val="28"/>
        </w:rPr>
        <w:t>个水泥屋面以及</w:t>
      </w:r>
      <w:r w:rsidRPr="00946BFD">
        <w:rPr>
          <w:rFonts w:hAnsi="Times New Roman" w:hint="eastAsia"/>
          <w:sz w:val="28"/>
          <w:szCs w:val="28"/>
        </w:rPr>
        <w:t>4</w:t>
      </w:r>
      <w:r w:rsidRPr="00946BFD">
        <w:rPr>
          <w:rFonts w:hAnsi="Times New Roman" w:hint="eastAsia"/>
          <w:sz w:val="28"/>
          <w:szCs w:val="28"/>
        </w:rPr>
        <w:t>个彩钢瓦屋面，科瑞特照明厂区</w:t>
      </w:r>
      <w:r w:rsidRPr="00946BFD">
        <w:rPr>
          <w:rFonts w:hAnsi="Times New Roman" w:hint="eastAsia"/>
          <w:sz w:val="28"/>
          <w:szCs w:val="28"/>
        </w:rPr>
        <w:t>2</w:t>
      </w:r>
      <w:r w:rsidRPr="00946BFD">
        <w:rPr>
          <w:rFonts w:hAnsi="Times New Roman" w:hint="eastAsia"/>
          <w:sz w:val="28"/>
          <w:szCs w:val="28"/>
        </w:rPr>
        <w:t>个水泥屋面，容量为</w:t>
      </w:r>
      <w:r w:rsidRPr="00946BFD">
        <w:rPr>
          <w:rFonts w:hAnsi="Times New Roman" w:hint="eastAsia"/>
          <w:sz w:val="28"/>
          <w:szCs w:val="28"/>
        </w:rPr>
        <w:t>0.685MW</w:t>
      </w:r>
      <w:r w:rsidRPr="00946BFD">
        <w:rPr>
          <w:rFonts w:hAnsi="Times New Roman" w:hint="eastAsia"/>
          <w:sz w:val="28"/>
          <w:szCs w:val="28"/>
        </w:rPr>
        <w:t>，屋面整体情况良好，高度约为</w:t>
      </w:r>
      <w:r w:rsidRPr="00946BFD">
        <w:rPr>
          <w:rFonts w:hAnsi="Times New Roman" w:hint="eastAsia"/>
          <w:sz w:val="28"/>
          <w:szCs w:val="28"/>
        </w:rPr>
        <w:t>15m</w:t>
      </w:r>
      <w:r w:rsidRPr="00946BFD">
        <w:rPr>
          <w:rFonts w:hAnsi="Times New Roman" w:hint="eastAsia"/>
          <w:sz w:val="28"/>
          <w:szCs w:val="28"/>
        </w:rPr>
        <w:t>，</w:t>
      </w:r>
      <w:r w:rsidRPr="00946BFD">
        <w:rPr>
          <w:rFonts w:hAnsi="Times New Roman" w:hint="eastAsia"/>
          <w:sz w:val="28"/>
          <w:szCs w:val="28"/>
        </w:rPr>
        <w:t>4</w:t>
      </w:r>
      <w:r w:rsidRPr="00946BFD">
        <w:rPr>
          <w:rFonts w:hAnsi="Times New Roman" w:hint="eastAsia"/>
          <w:sz w:val="28"/>
          <w:szCs w:val="28"/>
        </w:rPr>
        <w:t>个彩钢瓦屋面需要搭建脚手架以便施工。彩钢瓦屋面为角驰型彩钢瓦屋面，屋面平整牢固无遮挡。水泥屋面采用水泥基础上安装支架形式记进行安装。两个厂区分为两个并网点，并网点都位于厂区内，雅港厂区</w:t>
      </w:r>
      <w:r w:rsidRPr="00946BFD">
        <w:rPr>
          <w:rFonts w:hAnsi="Times New Roman" w:hint="eastAsia"/>
          <w:sz w:val="28"/>
          <w:szCs w:val="28"/>
        </w:rPr>
        <w:t>20kV</w:t>
      </w:r>
      <w:r w:rsidRPr="00946BFD">
        <w:rPr>
          <w:rFonts w:hAnsi="Times New Roman" w:hint="eastAsia"/>
          <w:sz w:val="28"/>
          <w:szCs w:val="28"/>
        </w:rPr>
        <w:t>并网，科瑞特照明厂区</w:t>
      </w:r>
      <w:r w:rsidRPr="00946BFD">
        <w:rPr>
          <w:rFonts w:hAnsi="Times New Roman" w:hint="eastAsia"/>
          <w:sz w:val="28"/>
          <w:szCs w:val="28"/>
        </w:rPr>
        <w:t>400V</w:t>
      </w:r>
      <w:r w:rsidRPr="00946BFD">
        <w:rPr>
          <w:rFonts w:hAnsi="Times New Roman" w:hint="eastAsia"/>
          <w:sz w:val="28"/>
          <w:szCs w:val="28"/>
        </w:rPr>
        <w:t>低压并网。</w:t>
      </w:r>
    </w:p>
    <w:p w:rsidR="00D165CD" w:rsidRPr="00946BFD" w:rsidRDefault="00D165CD" w:rsidP="00D165CD">
      <w:pPr>
        <w:widowControl/>
        <w:spacing w:before="100" w:beforeAutospacing="1" w:after="100" w:afterAutospacing="1"/>
        <w:ind w:firstLineChars="200" w:firstLine="560"/>
        <w:jc w:val="left"/>
        <w:rPr>
          <w:rFonts w:ascii="宋体" w:hAnsi="宋体" w:cs="宋体"/>
          <w:color w:val="000000"/>
          <w:kern w:val="0"/>
          <w:sz w:val="28"/>
          <w:szCs w:val="28"/>
        </w:rPr>
      </w:pPr>
      <w:r w:rsidRPr="00946BFD">
        <w:rPr>
          <w:rFonts w:ascii="宋体" w:hAnsi="宋体" w:cs="宋体"/>
          <w:color w:val="000000"/>
          <w:kern w:val="0"/>
          <w:sz w:val="28"/>
          <w:szCs w:val="28"/>
        </w:rPr>
        <w:t>工程建设地点：</w:t>
      </w:r>
      <w:r w:rsidRPr="00946BFD">
        <w:rPr>
          <w:rFonts w:ascii="宋体" w:hAnsi="宋体" w:hint="eastAsia"/>
          <w:bCs/>
          <w:sz w:val="28"/>
          <w:szCs w:val="28"/>
        </w:rPr>
        <w:t>浙江省嘉兴市秀洲区，</w:t>
      </w:r>
      <w:r w:rsidRPr="00946BFD">
        <w:rPr>
          <w:rFonts w:hint="eastAsia"/>
          <w:sz w:val="28"/>
          <w:szCs w:val="28"/>
        </w:rPr>
        <w:t>雅港</w:t>
      </w:r>
      <w:r w:rsidRPr="00946BFD">
        <w:rPr>
          <w:rFonts w:hint="eastAsia"/>
          <w:sz w:val="28"/>
          <w:szCs w:val="28"/>
        </w:rPr>
        <w:t>(</w:t>
      </w:r>
      <w:r w:rsidRPr="00946BFD">
        <w:rPr>
          <w:rFonts w:hint="eastAsia"/>
          <w:sz w:val="28"/>
          <w:szCs w:val="28"/>
        </w:rPr>
        <w:t>嘉兴</w:t>
      </w:r>
      <w:r w:rsidRPr="00946BFD">
        <w:rPr>
          <w:rFonts w:hint="eastAsia"/>
          <w:sz w:val="28"/>
          <w:szCs w:val="28"/>
        </w:rPr>
        <w:t>)</w:t>
      </w:r>
      <w:r w:rsidRPr="00946BFD">
        <w:rPr>
          <w:rFonts w:hint="eastAsia"/>
          <w:sz w:val="28"/>
          <w:szCs w:val="28"/>
        </w:rPr>
        <w:t>复合材料有限公司厂区内及科瑞特照明电器</w:t>
      </w:r>
      <w:r w:rsidRPr="00946BFD">
        <w:rPr>
          <w:rFonts w:ascii="宋体" w:hAnsi="宋体" w:hint="eastAsia"/>
          <w:bCs/>
          <w:sz w:val="28"/>
          <w:szCs w:val="28"/>
        </w:rPr>
        <w:t>有限公司</w:t>
      </w:r>
      <w:r w:rsidRPr="00946BFD">
        <w:rPr>
          <w:rFonts w:hint="eastAsia"/>
          <w:sz w:val="28"/>
          <w:szCs w:val="28"/>
        </w:rPr>
        <w:t>厂区内</w:t>
      </w:r>
    </w:p>
    <w:p w:rsidR="00D165CD" w:rsidRPr="00946BFD" w:rsidRDefault="00D165CD" w:rsidP="00D165CD">
      <w:pPr>
        <w:widowControl/>
        <w:spacing w:before="100" w:beforeAutospacing="1" w:after="100" w:afterAutospacing="1"/>
        <w:ind w:firstLine="480"/>
        <w:jc w:val="left"/>
        <w:rPr>
          <w:rFonts w:ascii="宋体" w:hAnsi="宋体" w:cs="宋体"/>
          <w:b/>
          <w:color w:val="000000"/>
          <w:kern w:val="0"/>
          <w:sz w:val="28"/>
          <w:szCs w:val="28"/>
        </w:rPr>
      </w:pPr>
      <w:r w:rsidRPr="00946BFD">
        <w:rPr>
          <w:rFonts w:ascii="宋体" w:hAnsi="宋体" w:cs="宋体"/>
          <w:b/>
          <w:color w:val="000000"/>
          <w:kern w:val="0"/>
          <w:sz w:val="28"/>
          <w:szCs w:val="28"/>
        </w:rPr>
        <w:t>二、监理过程</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1、监理组织机构</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受建设单位委托,我公司从工程施工准备阶段开始介入该项目的监理,为更好地履行监理合同目标值,根据工程特点设置了项目监理组织机构,实行总监理工程师负责制,配置土建工程师1、机电专业监</w:t>
      </w:r>
      <w:r w:rsidRPr="00946BFD">
        <w:rPr>
          <w:rFonts w:ascii="宋体" w:hAnsi="宋体" w:cs="宋体"/>
          <w:color w:val="000000"/>
          <w:kern w:val="0"/>
          <w:sz w:val="28"/>
          <w:szCs w:val="28"/>
        </w:rPr>
        <w:lastRenderedPageBreak/>
        <w:t>理工程师1人、资料员1人,并编制了详细的工程监理规划及监理实施细则,建立了完善的监理规章制度,如岗位职责、内部监督管理制度、监理人员工作守则、监理程序等,使监理人员的岗位职责明确,工作积极,以高度的责任感和过硬的专业技能投入到监理工作中去,力争为建设单位提供高素质的服务。</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为确保工程质量,监理组人员确立了以预控为主、跟踪监控、监帮结合的方法对工程质量进行控制,主要体现为:</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2、组织设计与技术交底</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（1）开工前，施工单位将其上级主管部门批准的施工组织设计或施工方案交现场监理部审核。</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（2）接到报送的施工组织设计或施工方案后，项目总监理工程师应及时组织有关专业监理工程师共同进行审核，并将审核结果以书面回复施工单位。</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（3）审查施工组织的方案，应重点审查对保证工程质量是否有可靠的技术和组织措施。</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（4）结合监理工程项目的具体情况，要求施工单位提交针对当前现场施工中的制定的技术措施和为保证工程质量而指定的质量预控措施。现场监理工程师对这些措施应认真审核，确保落实。</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lastRenderedPageBreak/>
        <w:t>（5） 要求总包单位编制“土建、安装、装修”标准工艺流程图，并由项目总监理工程师组织各专业监理工程师进行审查。</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（6）对工程的重大和关键部位的施工，监理部应要求施工单位提出具体的施工方案，经有关专业监理工程师审查认可后方可施工。</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（7）施工组织设计或方案一旦审定，即作为施工依据。施工单位不得随意改变。</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（8）审定的施工组织设计或施工方案应交现场监理部一份，并存档。业主有要求的同时交业主一份。</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3、工程质量</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（1）严把预控关</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熟悉图纸、承包合同、技术规范、验收标准等,严格审核施工组织方案,特别是质量保证体系,安全保障措施及人、材、机的配置是否满足工程施工的需求,并在施工过程中督促实施,</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（2）实施过程监督</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严把进场原材料、半成品、成品质量关,确保合格材料用在工程中,材料进场时除严格审核合格证外,按规定的频率进行现场见证取样,并见证送检,对不符合要求的材料坚决作退场处理,如:φ12钢筋抽检不合格对该批钢筋作退场处理、多次商品砼坍落度偏差大作退场</w:t>
      </w:r>
      <w:r w:rsidRPr="00946BFD">
        <w:rPr>
          <w:rFonts w:ascii="宋体" w:hAnsi="宋体" w:cs="宋体"/>
          <w:color w:val="000000"/>
          <w:kern w:val="0"/>
          <w:sz w:val="28"/>
          <w:szCs w:val="28"/>
        </w:rPr>
        <w:lastRenderedPageBreak/>
        <w:t>处理等,有效地保证了原材料品质,从而确保工,确保了施工安全及工程质量。</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（3）健全旁站制度</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建立健全旁站制度,对关键部位实施旁站监理,确保工序质量,施工过程中对各工序进行严格检查,如大演播厅无粘结预应力筋施工时,未安装预应力钢筋前,对钢筋的定位坐标进行复核,及时纠正了多处严重差偏,确保达到设计及规范要求。</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（4）强化工程验收管理</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严格实行工程施工的报验制度,对每一工序、分项分部工程完成后,要求施工单位自检合格后,申报监理工程师验收,监理工程师以优良工程的目标对分项、分部工程进行验收,规范工程验收制度。</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严格检测、试验制度,原材料如水泥、钢筋、预应力钢绞线及配件、防水卷材、防水涂料、红砖、砂及电器配件、电缆压力试验、接地电阻试验等经检测其质量均达到合格要求,结构性能检测如工程桩经高、低应变动力试验和静载试验、砼试件试压、砂浆试件试压、幕墙结构胶试验等,试验结果均满足设计及验收规范的要求。</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通过从点及面的细致验收,有效地保证了工程质量,使该项目完成后一次通过竣工验收,并达到优良等级,建设单位、设计、质监等部门予以较高评价。</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lastRenderedPageBreak/>
        <w:t>4、工程进度控制</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（1）把好预控第一关</w:t>
      </w:r>
    </w:p>
    <w:p w:rsidR="00D165CD" w:rsidRPr="00946BFD" w:rsidRDefault="00D165CD" w:rsidP="00D165CD">
      <w:pPr>
        <w:numPr>
          <w:ilvl w:val="0"/>
          <w:numId w:val="2"/>
        </w:numPr>
        <w:shd w:val="clear" w:color="auto" w:fill="FFFFFF"/>
        <w:spacing w:before="100" w:beforeAutospacing="1" w:after="100" w:afterAutospacing="1"/>
        <w:ind w:left="0" w:firstLine="480"/>
        <w:jc w:val="left"/>
        <w:rPr>
          <w:rFonts w:ascii="宋体" w:hAnsi="宋体" w:cs="宋体"/>
          <w:color w:val="000000"/>
          <w:kern w:val="0"/>
          <w:sz w:val="28"/>
          <w:szCs w:val="28"/>
        </w:rPr>
      </w:pPr>
      <w:r w:rsidRPr="00946BFD">
        <w:rPr>
          <w:rFonts w:ascii="宋体" w:hAnsi="宋体" w:cs="宋体"/>
          <w:color w:val="000000"/>
          <w:kern w:val="0"/>
          <w:sz w:val="28"/>
          <w:szCs w:val="28"/>
        </w:rPr>
        <w:t>工程开工前,严格审核施工组织设计中人、材、机的配置是否满足本项目施工的强度要求,以及审核进度计划安排是否满足合同工期要求,是否切实可行,并将审核意见与建设单位、施工单位进行交流,取得共识后由施工单位进行调整,施工时严格按调整后的进度计划进行，</w:t>
      </w:r>
      <w:r w:rsidRPr="00946BFD">
        <w:rPr>
          <w:rFonts w:ascii="宋体" w:hAnsi="宋体" w:cs="宋体" w:hint="eastAsia"/>
          <w:color w:val="000000"/>
          <w:kern w:val="0"/>
          <w:sz w:val="28"/>
          <w:szCs w:val="28"/>
        </w:rPr>
        <w:t>于8月21号科瑞特照明厂区低压装表</w:t>
      </w:r>
      <w:r w:rsidRPr="00946BFD">
        <w:rPr>
          <w:rFonts w:hint="eastAsia"/>
          <w:sz w:val="28"/>
          <w:szCs w:val="28"/>
        </w:rPr>
        <w:t>并网成功，</w:t>
      </w:r>
      <w:r w:rsidRPr="00946BFD">
        <w:rPr>
          <w:rFonts w:ascii="宋体" w:hAnsi="宋体" w:cs="宋体" w:hint="eastAsia"/>
          <w:color w:val="000000"/>
          <w:kern w:val="0"/>
          <w:sz w:val="28"/>
          <w:szCs w:val="28"/>
        </w:rPr>
        <w:t>于8月27号</w:t>
      </w:r>
      <w:r w:rsidRPr="00946BFD">
        <w:rPr>
          <w:rFonts w:hint="eastAsia"/>
          <w:sz w:val="28"/>
          <w:szCs w:val="28"/>
        </w:rPr>
        <w:t>雅港厂区高压装表并网成功，</w:t>
      </w:r>
    </w:p>
    <w:p w:rsidR="00D165CD" w:rsidRPr="00946BFD" w:rsidRDefault="00D165CD" w:rsidP="00D165CD">
      <w:pPr>
        <w:numPr>
          <w:ilvl w:val="0"/>
          <w:numId w:val="2"/>
        </w:numPr>
        <w:shd w:val="clear" w:color="auto" w:fill="FFFFFF"/>
        <w:spacing w:before="100" w:beforeAutospacing="1" w:after="100" w:afterAutospacing="1"/>
        <w:ind w:left="0" w:firstLine="480"/>
        <w:jc w:val="left"/>
        <w:rPr>
          <w:rFonts w:ascii="宋体" w:hAnsi="宋体" w:cs="宋体"/>
          <w:color w:val="000000"/>
          <w:kern w:val="0"/>
          <w:sz w:val="28"/>
          <w:szCs w:val="28"/>
        </w:rPr>
      </w:pPr>
      <w:r w:rsidRPr="00946BFD">
        <w:rPr>
          <w:rFonts w:ascii="宋体" w:hAnsi="宋体" w:cs="宋体"/>
          <w:color w:val="000000"/>
          <w:kern w:val="0"/>
          <w:sz w:val="28"/>
          <w:szCs w:val="28"/>
        </w:rPr>
        <w:t>对各专业工艺搭接、穿插施工提前作出部署和安排,减少各专业施工互相拖后腿现象,并及时进行各专业中间验收,确保工程总进度计划。由于本项目监理人员配置合理、有针对性,处理问题及时恰当,有效保证了工程施工的顺利进行。</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w:t>
      </w:r>
      <w:r w:rsidRPr="00946BFD">
        <w:rPr>
          <w:rFonts w:ascii="宋体" w:hAnsi="宋体" w:cs="宋体" w:hint="eastAsia"/>
          <w:color w:val="000000"/>
          <w:kern w:val="0"/>
          <w:sz w:val="28"/>
          <w:szCs w:val="28"/>
        </w:rPr>
        <w:t>2</w:t>
      </w:r>
      <w:r w:rsidRPr="00946BFD">
        <w:rPr>
          <w:rFonts w:ascii="宋体" w:hAnsi="宋体" w:cs="宋体"/>
          <w:color w:val="000000"/>
          <w:kern w:val="0"/>
          <w:sz w:val="28"/>
          <w:szCs w:val="28"/>
        </w:rPr>
        <w:t>）推广新工艺、新技术加快工程进度</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在确保工程质量、施工安全前提下,积极推广新工艺是加快工程进度的有效措施。针对本工程工期紧，环境情况较为复杂、场地高低不平、本工程无疑施工难度较大，为确保工程工期质量达到精品工程的目标，我们针对工地的重点，难点进行了分析，采用立固桩基础，立固桩是本工程的重要受力构件，立固的定位、立固的标高、立固安装与地基之间的关系较为重要，采用先试验后施工的方法施工，找出</w:t>
      </w:r>
      <w:r w:rsidRPr="00946BFD">
        <w:rPr>
          <w:rFonts w:ascii="宋体" w:hAnsi="宋体" w:cs="宋体"/>
          <w:color w:val="000000"/>
          <w:kern w:val="0"/>
          <w:sz w:val="28"/>
          <w:szCs w:val="28"/>
        </w:rPr>
        <w:lastRenderedPageBreak/>
        <w:t>针对地基情况作出合理的施工方法、确保立固安装质量，比设计提出的方案省时、省费用并提高了质量标准。</w:t>
      </w:r>
    </w:p>
    <w:p w:rsidR="00D165CD" w:rsidRPr="00946BFD" w:rsidRDefault="00D165CD" w:rsidP="00D165CD">
      <w:pPr>
        <w:widowControl/>
        <w:numPr>
          <w:ilvl w:val="0"/>
          <w:numId w:val="1"/>
        </w:numPr>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组织协调多专业立体施工,避免互相阻滞影响施工</w:t>
      </w:r>
    </w:p>
    <w:p w:rsidR="00D165CD" w:rsidRPr="00946BFD" w:rsidRDefault="00D165CD" w:rsidP="00D165CD">
      <w:pPr>
        <w:shd w:val="clear" w:color="auto" w:fill="FFFFFF"/>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各专业工艺搭接、穿插施工提前作出部署和安排,减少各专业施工互相拖后腿现象,并及时进行各专业中间验收,确保工程总进度计划。由于本项目监理人员配置合理、有针对性,处理问题及时恰当,有效保证了工程施工的顺利进行。</w:t>
      </w:r>
    </w:p>
    <w:p w:rsidR="00D165CD" w:rsidRPr="00946BFD" w:rsidRDefault="00D165CD" w:rsidP="00D165CD">
      <w:pPr>
        <w:widowControl/>
        <w:numPr>
          <w:ilvl w:val="0"/>
          <w:numId w:val="1"/>
        </w:numPr>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由于进场专业施工队伍多,根据各专业施工顺序积极协调,对各专业工艺搭接、穿插施工提前作出部署和安排,减少各专业施工互相拖后腿现象,并及时进行各专业中间验收,确保工程总进度计划。由于本项目监理人员配置合理、有针对性,处理问题及时恰当,有效保证了工程施工的顺利进行。</w:t>
      </w:r>
    </w:p>
    <w:p w:rsidR="00D165CD" w:rsidRPr="00946BFD" w:rsidRDefault="00D165CD" w:rsidP="00D165CD">
      <w:pPr>
        <w:widowControl/>
        <w:spacing w:before="100" w:beforeAutospacing="1" w:after="100" w:afterAutospacing="1"/>
        <w:ind w:firstLineChars="200" w:firstLine="560"/>
        <w:jc w:val="left"/>
        <w:rPr>
          <w:rFonts w:ascii="宋体" w:hAnsi="宋体" w:cs="宋体"/>
          <w:color w:val="000000"/>
          <w:kern w:val="0"/>
          <w:sz w:val="28"/>
          <w:szCs w:val="28"/>
        </w:rPr>
      </w:pPr>
      <w:r w:rsidRPr="00946BFD">
        <w:rPr>
          <w:rFonts w:ascii="宋体" w:hAnsi="宋体" w:cs="宋体"/>
          <w:color w:val="000000"/>
          <w:kern w:val="0"/>
          <w:sz w:val="28"/>
          <w:szCs w:val="28"/>
        </w:rPr>
        <w:t>5、 工程投资控制</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（1）控制依据</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设计图纸、文件、承包合同、招标文件、补充协议,经建设单位、监理签认的额外增加工程等计量文件及计算规则。</w:t>
      </w:r>
    </w:p>
    <w:p w:rsidR="00D165CD" w:rsidRPr="00946BFD" w:rsidRDefault="00D165CD" w:rsidP="00D165CD">
      <w:pPr>
        <w:widowControl/>
        <w:numPr>
          <w:ilvl w:val="0"/>
          <w:numId w:val="3"/>
        </w:numPr>
        <w:spacing w:before="100" w:beforeAutospacing="1" w:after="100" w:afterAutospacing="1"/>
        <w:jc w:val="left"/>
        <w:rPr>
          <w:rFonts w:ascii="宋体" w:hAnsi="宋体" w:cs="宋体"/>
          <w:color w:val="000000"/>
          <w:kern w:val="0"/>
          <w:sz w:val="28"/>
          <w:szCs w:val="28"/>
        </w:rPr>
      </w:pPr>
      <w:r w:rsidRPr="00946BFD">
        <w:rPr>
          <w:rFonts w:ascii="宋体" w:hAnsi="宋体" w:cs="宋体"/>
          <w:color w:val="000000"/>
          <w:kern w:val="0"/>
          <w:sz w:val="28"/>
          <w:szCs w:val="28"/>
        </w:rPr>
        <w:t>施工前严格进行图纸会审是否准确、合理；</w:t>
      </w:r>
    </w:p>
    <w:p w:rsidR="00D165CD" w:rsidRPr="00946BFD" w:rsidRDefault="00D165CD" w:rsidP="00D165CD">
      <w:pPr>
        <w:widowControl/>
        <w:numPr>
          <w:ilvl w:val="0"/>
          <w:numId w:val="3"/>
        </w:numPr>
        <w:spacing w:before="100" w:beforeAutospacing="1" w:after="100" w:afterAutospacing="1"/>
        <w:jc w:val="left"/>
        <w:rPr>
          <w:rFonts w:ascii="宋体" w:hAnsi="宋体" w:cs="宋体"/>
          <w:color w:val="000000"/>
          <w:kern w:val="0"/>
          <w:sz w:val="28"/>
          <w:szCs w:val="28"/>
        </w:rPr>
      </w:pPr>
      <w:r w:rsidRPr="00946BFD">
        <w:rPr>
          <w:rFonts w:ascii="宋体" w:hAnsi="宋体" w:cs="宋体"/>
          <w:color w:val="000000"/>
          <w:kern w:val="0"/>
          <w:sz w:val="28"/>
          <w:szCs w:val="28"/>
        </w:rPr>
        <w:lastRenderedPageBreak/>
        <w:t>在技术上严格控制工程变更,在确保质量的前提下多提合理建</w:t>
      </w:r>
      <w:r w:rsidRPr="00946BFD">
        <w:rPr>
          <w:rFonts w:ascii="宋体" w:hAnsi="宋体" w:cs="宋体" w:hint="eastAsia"/>
          <w:color w:val="000000"/>
          <w:kern w:val="0"/>
          <w:sz w:val="28"/>
          <w:szCs w:val="28"/>
        </w:rPr>
        <w:t>议</w:t>
      </w:r>
      <w:r w:rsidRPr="00946BFD">
        <w:rPr>
          <w:rFonts w:ascii="宋体" w:hAnsi="宋体" w:cs="宋体"/>
          <w:color w:val="000000"/>
          <w:kern w:val="0"/>
          <w:sz w:val="28"/>
          <w:szCs w:val="28"/>
        </w:rPr>
        <w:t>；</w:t>
      </w:r>
    </w:p>
    <w:p w:rsidR="00D165CD" w:rsidRPr="00946BFD" w:rsidRDefault="00D165CD" w:rsidP="00D165CD">
      <w:pPr>
        <w:widowControl/>
        <w:numPr>
          <w:ilvl w:val="0"/>
          <w:numId w:val="3"/>
        </w:numPr>
        <w:spacing w:before="100" w:beforeAutospacing="1" w:after="100" w:afterAutospacing="1"/>
        <w:jc w:val="left"/>
        <w:rPr>
          <w:rFonts w:ascii="宋体" w:hAnsi="宋体" w:cs="宋体"/>
          <w:color w:val="000000"/>
          <w:kern w:val="0"/>
          <w:sz w:val="28"/>
          <w:szCs w:val="28"/>
        </w:rPr>
      </w:pPr>
      <w:r w:rsidRPr="00946BFD">
        <w:rPr>
          <w:rFonts w:ascii="宋体" w:hAnsi="宋体" w:cs="宋体"/>
          <w:color w:val="000000"/>
          <w:kern w:val="0"/>
          <w:sz w:val="28"/>
          <w:szCs w:val="28"/>
        </w:rPr>
        <w:t>及时、准确签证确认隐蔽工程,为工程结算提供完善；</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（2）措施</w:t>
      </w:r>
    </w:p>
    <w:p w:rsidR="00D165CD" w:rsidRPr="00946BFD" w:rsidRDefault="00D165CD" w:rsidP="00D165CD">
      <w:pPr>
        <w:widowControl/>
        <w:numPr>
          <w:ilvl w:val="0"/>
          <w:numId w:val="5"/>
        </w:numPr>
        <w:spacing w:before="100" w:beforeAutospacing="1" w:after="100" w:afterAutospacing="1"/>
        <w:ind w:left="0" w:firstLine="480"/>
        <w:jc w:val="left"/>
        <w:rPr>
          <w:rFonts w:ascii="宋体" w:hAnsi="宋体" w:cs="宋体"/>
          <w:color w:val="000000"/>
          <w:kern w:val="0"/>
          <w:sz w:val="28"/>
          <w:szCs w:val="28"/>
        </w:rPr>
      </w:pPr>
      <w:r w:rsidRPr="00946BFD">
        <w:rPr>
          <w:rFonts w:ascii="宋体" w:hAnsi="宋体" w:cs="宋体"/>
          <w:color w:val="000000"/>
          <w:kern w:val="0"/>
          <w:sz w:val="28"/>
          <w:szCs w:val="28"/>
        </w:rPr>
        <w:t>施工前严格进行图纸会审是否准确、合理,在技术上严格把关,将图纸未明确的项目在施工前予以明确,审查施工预算,减少工程预算编制后出现过多的修改变更。</w:t>
      </w:r>
    </w:p>
    <w:p w:rsidR="00D165CD" w:rsidRPr="00946BFD" w:rsidRDefault="00D165CD" w:rsidP="00D165CD">
      <w:pPr>
        <w:widowControl/>
        <w:numPr>
          <w:ilvl w:val="0"/>
          <w:numId w:val="5"/>
        </w:numPr>
        <w:spacing w:before="100" w:beforeAutospacing="1" w:after="100" w:afterAutospacing="1"/>
        <w:ind w:left="0" w:firstLine="426"/>
        <w:jc w:val="left"/>
        <w:rPr>
          <w:rFonts w:ascii="宋体" w:hAnsi="宋体" w:cs="宋体"/>
          <w:color w:val="000000"/>
          <w:kern w:val="0"/>
          <w:sz w:val="28"/>
          <w:szCs w:val="28"/>
        </w:rPr>
      </w:pPr>
      <w:r w:rsidRPr="00946BFD">
        <w:rPr>
          <w:rFonts w:ascii="宋体" w:hAnsi="宋体" w:cs="宋体"/>
          <w:color w:val="000000"/>
          <w:kern w:val="0"/>
          <w:sz w:val="28"/>
          <w:szCs w:val="28"/>
        </w:rPr>
        <w:t>严格控制工程变更,在确保质量的前提下多提合理建议,发生修改变更时及时进行技术及经济分析论证,严格控制增加投资,</w:t>
      </w:r>
    </w:p>
    <w:p w:rsidR="00D165CD" w:rsidRPr="00946BFD" w:rsidRDefault="00D165CD" w:rsidP="00D165CD">
      <w:pPr>
        <w:widowControl/>
        <w:numPr>
          <w:ilvl w:val="0"/>
          <w:numId w:val="5"/>
        </w:numPr>
        <w:spacing w:before="100" w:beforeAutospacing="1" w:after="100" w:afterAutospacing="1"/>
        <w:ind w:left="0" w:firstLine="480"/>
        <w:jc w:val="left"/>
        <w:rPr>
          <w:rFonts w:ascii="宋体" w:hAnsi="宋体" w:cs="宋体"/>
          <w:color w:val="000000"/>
          <w:kern w:val="0"/>
          <w:sz w:val="28"/>
          <w:szCs w:val="28"/>
        </w:rPr>
      </w:pPr>
      <w:r w:rsidRPr="00946BFD">
        <w:rPr>
          <w:rFonts w:ascii="宋体" w:hAnsi="宋体" w:cs="宋体"/>
          <w:color w:val="000000"/>
          <w:kern w:val="0"/>
          <w:sz w:val="28"/>
          <w:szCs w:val="28"/>
        </w:rPr>
        <w:t>及时、准确签证确认隐蔽工程,为工程结算提供完善的基础资料,是投资控制的必备手段。</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6、 安全文明施工</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hint="eastAsia"/>
          <w:color w:val="000000"/>
          <w:kern w:val="0"/>
          <w:sz w:val="28"/>
          <w:szCs w:val="28"/>
        </w:rPr>
        <w:t>（1）</w:t>
      </w:r>
      <w:r w:rsidRPr="00946BFD">
        <w:rPr>
          <w:rFonts w:ascii="宋体" w:hAnsi="宋体" w:cs="宋体"/>
          <w:color w:val="000000"/>
          <w:kern w:val="0"/>
          <w:sz w:val="28"/>
          <w:szCs w:val="28"/>
        </w:rPr>
        <w:t>项目监理部在项目建设期间对安全管理负责。建立安全管理组织机构，制定安全管理目标和规划，健全安全管理制度和职责。各责任主体安全管理工作有序开展，安全管理机构健全，安全监督管理体系运行正常，施工现场安全工作可控在控。通过不断加强工程施工安全监督管理工作，建立健全安全生产体系，克服了工程开工面广、人员构成复杂、危险作业多等诸多不利因素的影响，领导组织有力，部门协调控制，参建单位大力配合，使整个施工现场的“四控、两管、</w:t>
      </w:r>
      <w:r w:rsidRPr="00946BFD">
        <w:rPr>
          <w:rFonts w:ascii="宋体" w:hAnsi="宋体" w:cs="宋体"/>
          <w:color w:val="000000"/>
          <w:kern w:val="0"/>
          <w:sz w:val="28"/>
          <w:szCs w:val="28"/>
        </w:rPr>
        <w:lastRenderedPageBreak/>
        <w:t>一协调”工作有条不紊顺畅开展，安全生产、职业健康、环境管理等工作始终处于可控在控状态。按照工程管理标准要求，工程建立了周、月安全施工管理例会汇报制度，时时监控施工现场作业安全。形成了监督到位，快速反应，现场处理，整改闭环的良性管理机制，目前运作良好，监督管理有效，保证了现场施工作业始终处于可控状态。</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hint="eastAsia"/>
          <w:color w:val="000000"/>
          <w:kern w:val="0"/>
          <w:sz w:val="28"/>
          <w:szCs w:val="28"/>
        </w:rPr>
        <w:t>（2）</w:t>
      </w:r>
      <w:r w:rsidRPr="00946BFD">
        <w:rPr>
          <w:rFonts w:ascii="宋体" w:hAnsi="宋体" w:cs="宋体"/>
          <w:color w:val="000000"/>
          <w:kern w:val="0"/>
          <w:sz w:val="28"/>
          <w:szCs w:val="28"/>
        </w:rPr>
        <w:t>成立了安全检查工作领导小组”，项目监理部及各参建管理人员分工包片，从安全管理、工作管理、用户管理、质量管理、违章纠察、后勤保障等六个方面进行分工把关，明确各方面负责人及其职责。结合样板工地建设，认真组织，对表检查，深入开展整改工作。对检查发现问题的整改情况进行了进一步复查落实。对工程进度和安全质量进行了全面梳理和检查，进一步强化了工期、质量、安全、文明施工各项要求。</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hint="eastAsia"/>
          <w:color w:val="000000"/>
          <w:kern w:val="0"/>
          <w:sz w:val="28"/>
          <w:szCs w:val="28"/>
        </w:rPr>
        <w:t>（3）</w:t>
      </w:r>
      <w:r w:rsidRPr="00946BFD">
        <w:rPr>
          <w:rFonts w:ascii="宋体" w:hAnsi="宋体" w:cs="宋体"/>
          <w:color w:val="000000"/>
          <w:kern w:val="0"/>
          <w:sz w:val="28"/>
          <w:szCs w:val="28"/>
        </w:rPr>
        <w:t>结合国家下发的中央企业安全生产九条禁令，检查了施工单位资质及安全生产管理制度，专职安全管理人员资质（上岗证件），特殊工种人员上岗证。</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hint="eastAsia"/>
          <w:color w:val="000000"/>
          <w:kern w:val="0"/>
          <w:sz w:val="28"/>
          <w:szCs w:val="28"/>
        </w:rPr>
        <w:t>（4）</w:t>
      </w:r>
      <w:r w:rsidRPr="00946BFD">
        <w:rPr>
          <w:rFonts w:ascii="宋体" w:hAnsi="宋体" w:cs="宋体"/>
          <w:color w:val="000000"/>
          <w:kern w:val="0"/>
          <w:sz w:val="28"/>
          <w:szCs w:val="28"/>
        </w:rPr>
        <w:t>检查施工现场是否存在违反安全管理的现象，现场查处到安装单位未带安全带及时进行了整改。</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hint="eastAsia"/>
          <w:color w:val="000000"/>
          <w:kern w:val="0"/>
          <w:sz w:val="28"/>
          <w:szCs w:val="28"/>
        </w:rPr>
        <w:lastRenderedPageBreak/>
        <w:t>（5）</w:t>
      </w:r>
      <w:r w:rsidRPr="00946BFD">
        <w:rPr>
          <w:rFonts w:ascii="宋体" w:hAnsi="宋体" w:cs="宋体"/>
          <w:color w:val="000000"/>
          <w:kern w:val="0"/>
          <w:sz w:val="28"/>
          <w:szCs w:val="28"/>
        </w:rPr>
        <w:t>土建队伍新进场的人员比较多，要求施工单位对新进场人员进行安全考试、安全教育，合格后准许上岗；设备的安装及综合楼的砌筑安排专人旁站检查，排查安全隐患，保证施工安全。</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hint="eastAsia"/>
          <w:color w:val="000000"/>
          <w:kern w:val="0"/>
          <w:sz w:val="28"/>
          <w:szCs w:val="28"/>
        </w:rPr>
        <w:t>（6）</w:t>
      </w:r>
      <w:r w:rsidRPr="00946BFD">
        <w:rPr>
          <w:rFonts w:ascii="宋体" w:hAnsi="宋体" w:cs="宋体"/>
          <w:color w:val="000000"/>
          <w:kern w:val="0"/>
          <w:sz w:val="28"/>
          <w:szCs w:val="28"/>
        </w:rPr>
        <w:t>现场文明施工主要检查设备安装区白色垃圾及废弃的包装箱清理，生活区卫生清理情况及现场流动吸烟，土建废旧模板及铁件已摆放整齐；文明施工较好。</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hint="eastAsia"/>
          <w:color w:val="000000"/>
          <w:kern w:val="0"/>
          <w:sz w:val="28"/>
          <w:szCs w:val="28"/>
        </w:rPr>
        <w:t>（7）</w:t>
      </w:r>
      <w:r w:rsidRPr="00946BFD">
        <w:rPr>
          <w:rFonts w:ascii="宋体" w:hAnsi="宋体" w:cs="宋体"/>
          <w:color w:val="000000"/>
          <w:kern w:val="0"/>
          <w:sz w:val="28"/>
          <w:szCs w:val="28"/>
        </w:rPr>
        <w:t>以确保安全施工为重点，按照领导小组现场管理人员的工作要求，认真进行了施工现场安全隐患及安全危险源的检查与排查，消除了安全隐患，做到措施到位，保障安全施工，项目部主要采取了以下措施：</w:t>
      </w:r>
    </w:p>
    <w:p w:rsidR="00D165CD" w:rsidRPr="00946BFD" w:rsidRDefault="00D165CD" w:rsidP="00D165CD">
      <w:pPr>
        <w:widowControl/>
        <w:numPr>
          <w:ilvl w:val="0"/>
          <w:numId w:val="4"/>
        </w:numPr>
        <w:spacing w:before="100" w:beforeAutospacing="1" w:after="100" w:afterAutospacing="1"/>
        <w:ind w:left="0" w:firstLine="567"/>
        <w:jc w:val="left"/>
        <w:rPr>
          <w:rFonts w:ascii="宋体" w:hAnsi="宋体" w:cs="宋体"/>
          <w:color w:val="000000"/>
          <w:kern w:val="0"/>
          <w:sz w:val="28"/>
          <w:szCs w:val="28"/>
        </w:rPr>
      </w:pPr>
      <w:r w:rsidRPr="00946BFD">
        <w:rPr>
          <w:rFonts w:ascii="宋体" w:hAnsi="宋体" w:cs="宋体"/>
          <w:color w:val="000000"/>
          <w:kern w:val="0"/>
          <w:sz w:val="28"/>
          <w:szCs w:val="28"/>
        </w:rPr>
        <w:t>明确目标，强化责任意识，落实责任追究，以责任状和安全协议形式，进一步明确分工、职责和奖惩机制，提高安全监督人员的履职能力。</w:t>
      </w:r>
    </w:p>
    <w:p w:rsidR="00D165CD" w:rsidRPr="00946BFD" w:rsidRDefault="00D165CD" w:rsidP="00D165CD">
      <w:pPr>
        <w:widowControl/>
        <w:numPr>
          <w:ilvl w:val="0"/>
          <w:numId w:val="4"/>
        </w:numPr>
        <w:spacing w:before="100" w:beforeAutospacing="1" w:after="100" w:afterAutospacing="1"/>
        <w:ind w:left="0" w:firstLine="567"/>
        <w:jc w:val="left"/>
        <w:rPr>
          <w:rFonts w:ascii="宋体" w:hAnsi="宋体" w:cs="宋体"/>
          <w:color w:val="000000"/>
          <w:kern w:val="0"/>
          <w:sz w:val="28"/>
          <w:szCs w:val="28"/>
        </w:rPr>
      </w:pPr>
      <w:r w:rsidRPr="00946BFD">
        <w:rPr>
          <w:rFonts w:ascii="宋体" w:hAnsi="宋体" w:cs="宋体"/>
          <w:color w:val="000000"/>
          <w:kern w:val="0"/>
          <w:sz w:val="28"/>
          <w:szCs w:val="28"/>
        </w:rPr>
        <w:t>消除管理缺陷，坚决拒绝安全隐患于场外。一是保证有安全隐患的人员不能进入现场；二是大型起重机械和设备必须提前申请保验，凭技术检验合格证方可进入现场；三是进入现场的原材料必须凭监理单位出具的检验审批合格手续方可进入现场，重要项目和工序的用料，由项目公司和监理单位采用跟踪监督和旁站监理的方式，把住原材料关口；四是施工组织设计必须有安全生产的技术要求、职业健康和环境保护的措施，安全文明组织机构和安全文明施工的网络必</w:t>
      </w:r>
      <w:r w:rsidRPr="00946BFD">
        <w:rPr>
          <w:rFonts w:ascii="宋体" w:hAnsi="宋体" w:cs="宋体"/>
          <w:color w:val="000000"/>
          <w:kern w:val="0"/>
          <w:sz w:val="28"/>
          <w:szCs w:val="28"/>
        </w:rPr>
        <w:lastRenderedPageBreak/>
        <w:t>须健全；五是一经发现已经开始施工的区域有安全隐患、必须关停，在隐患未彻底整改前不得放开施工；六是严格审查考核施工队伍的各项资质和施工队伍的素质，尤其要严格审查特种作业的资质和安全管理人员的资质和素质；</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hint="eastAsia"/>
          <w:color w:val="000000"/>
          <w:kern w:val="0"/>
          <w:sz w:val="28"/>
          <w:szCs w:val="28"/>
        </w:rPr>
        <w:t>（8）</w:t>
      </w:r>
      <w:r w:rsidRPr="00946BFD">
        <w:rPr>
          <w:rFonts w:ascii="宋体" w:hAnsi="宋体" w:cs="宋体"/>
          <w:color w:val="000000"/>
          <w:kern w:val="0"/>
          <w:sz w:val="28"/>
          <w:szCs w:val="28"/>
        </w:rPr>
        <w:t>积极组织事故应急救援预案演练，组织编写了《青铜峡项目安全应急预案》，包括群死群伤事故、机械伤害、重大交通事故、触电事故、中暑事故、火灾事故等10个事故应急救援预案。同时按计划组织演练，开工以来，组织了消防应急预案演练，提高了各施工单位对突发事件的应对能力。</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hint="eastAsia"/>
          <w:color w:val="000000"/>
          <w:kern w:val="0"/>
          <w:sz w:val="28"/>
          <w:szCs w:val="28"/>
        </w:rPr>
        <w:t>（9）</w:t>
      </w:r>
      <w:r w:rsidRPr="00946BFD">
        <w:rPr>
          <w:rFonts w:ascii="宋体" w:hAnsi="宋体" w:cs="宋体"/>
          <w:color w:val="000000"/>
          <w:kern w:val="0"/>
          <w:sz w:val="28"/>
          <w:szCs w:val="28"/>
        </w:rPr>
        <w:t>按照公司安全隐患排查和交通安全综合治理的要求，加强了现场各种车辆的综合治理，建立健全的现场安全交通警示标识及定期维护制度，认真开展人员资质检验和车辆维修保养工作，避免车辆带病出车、人员疲劳驾驶和行车超速，加强车辆出入管理和交通检查，确保交通安全。加强现场保卫工作，始终保持高度的警惕性，严格检查，加强出入管理，确保进入人员在监督视线范围内，确保现场人员和设备物资安全</w:t>
      </w:r>
    </w:p>
    <w:p w:rsidR="00D165CD" w:rsidRPr="00946BFD" w:rsidRDefault="00D165CD" w:rsidP="00D165CD">
      <w:pPr>
        <w:widowControl/>
        <w:spacing w:before="100" w:beforeAutospacing="1" w:after="100" w:afterAutospacing="1"/>
        <w:ind w:firstLine="480"/>
        <w:jc w:val="left"/>
        <w:rPr>
          <w:rFonts w:ascii="宋体" w:hAnsi="宋体" w:cs="宋体"/>
          <w:b/>
          <w:color w:val="000000"/>
          <w:kern w:val="0"/>
          <w:sz w:val="28"/>
          <w:szCs w:val="28"/>
        </w:rPr>
      </w:pPr>
      <w:r w:rsidRPr="00946BFD">
        <w:rPr>
          <w:rFonts w:ascii="宋体" w:hAnsi="宋体" w:cs="宋体"/>
          <w:b/>
          <w:color w:val="000000"/>
          <w:kern w:val="0"/>
          <w:sz w:val="28"/>
          <w:szCs w:val="28"/>
        </w:rPr>
        <w:t>三、监理工作体会</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1.认真负责热忱服务</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lastRenderedPageBreak/>
        <w:t>监理工作应充分体现其为项目建设提供综合性服务,除"三大控制"目标外,合同管理、工程信息管理、组织协调缺一不可,监理目标的设置、实施、对比、纠正应贯彻在全过程中,本项目的建设,由于监理人员根据实际工程情况编制了监理规划,专业监理细则，设置了质量预控点,目标明确、工作积极主动,在建设单位、设计、质监、各专业施工单位等众多参建单位中起纽带协调作用,监理认真负责的工作,赢得各方积极支持、配合,使项目建设得以顺利完成。</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2.组织协调实现目标</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各参建单位相互配合、对实现监理目标事关重要。在本项目监理中,参建队伍多,各专业立体施工,互相配合要求严格,监理人员积极协调,使各专业队伍密切配合,从而使监理工作得到顺利开展,保证整个项目建设监理目标得到有效实现。如在主体结构施工过程中,监理工程师协调各专业队伍按时进行管线预埋并及时组织验收,较好地配合整体工程进度起到积极的作用。</w:t>
      </w:r>
    </w:p>
    <w:p w:rsidR="00D165CD" w:rsidRPr="0079220B" w:rsidRDefault="00D165CD" w:rsidP="00D165CD">
      <w:pPr>
        <w:widowControl/>
        <w:spacing w:before="100" w:beforeAutospacing="1" w:after="100" w:afterAutospacing="1"/>
        <w:ind w:firstLine="480"/>
        <w:jc w:val="left"/>
        <w:rPr>
          <w:rFonts w:ascii="宋体" w:hAnsi="宋体" w:cs="宋体"/>
          <w:b/>
          <w:color w:val="000000"/>
          <w:kern w:val="0"/>
          <w:sz w:val="28"/>
          <w:szCs w:val="28"/>
        </w:rPr>
      </w:pPr>
      <w:r w:rsidRPr="0079220B">
        <w:rPr>
          <w:rFonts w:ascii="宋体" w:hAnsi="宋体" w:cs="宋体"/>
          <w:b/>
          <w:color w:val="000000"/>
          <w:kern w:val="0"/>
          <w:sz w:val="28"/>
          <w:szCs w:val="28"/>
        </w:rPr>
        <w:t>四、工程形象记录资料</w:t>
      </w:r>
    </w:p>
    <w:p w:rsidR="00D165CD" w:rsidRPr="00946BFD" w:rsidRDefault="00D165CD" w:rsidP="00D165CD">
      <w:pPr>
        <w:widowControl/>
        <w:spacing w:before="100" w:beforeAutospacing="1" w:after="100" w:afterAutospacing="1"/>
        <w:ind w:firstLine="480"/>
        <w:jc w:val="left"/>
        <w:rPr>
          <w:rFonts w:ascii="宋体" w:hAnsi="宋体" w:cs="宋体"/>
          <w:color w:val="000000"/>
          <w:kern w:val="0"/>
          <w:sz w:val="28"/>
          <w:szCs w:val="28"/>
        </w:rPr>
      </w:pPr>
      <w:r w:rsidRPr="00946BFD">
        <w:rPr>
          <w:rFonts w:ascii="宋体" w:hAnsi="宋体" w:cs="宋体"/>
          <w:color w:val="000000"/>
          <w:kern w:val="0"/>
          <w:sz w:val="28"/>
          <w:szCs w:val="28"/>
        </w:rPr>
        <w:t>（附表）</w:t>
      </w:r>
    </w:p>
    <w:p w:rsidR="00D165CD" w:rsidRPr="00B10AA2" w:rsidRDefault="00D165CD" w:rsidP="00D165CD">
      <w:pPr>
        <w:pStyle w:val="2"/>
        <w:ind w:firstLineChars="0" w:firstLine="0"/>
        <w:jc w:val="right"/>
        <w:rPr>
          <w:b/>
          <w:sz w:val="24"/>
          <w:szCs w:val="24"/>
        </w:rPr>
      </w:pPr>
      <w:r w:rsidRPr="00B10AA2">
        <w:rPr>
          <w:rFonts w:hint="eastAsia"/>
          <w:b/>
          <w:sz w:val="24"/>
          <w:szCs w:val="24"/>
        </w:rPr>
        <w:t>常州正衡电力工程监理有限公司</w:t>
      </w:r>
    </w:p>
    <w:p w:rsidR="00D165CD" w:rsidRPr="00B10AA2" w:rsidRDefault="00D165CD" w:rsidP="00D165CD">
      <w:pPr>
        <w:jc w:val="right"/>
        <w:rPr>
          <w:b/>
          <w:sz w:val="24"/>
        </w:rPr>
      </w:pPr>
      <w:r w:rsidRPr="00B10AA2">
        <w:rPr>
          <w:rFonts w:hint="eastAsia"/>
          <w:b/>
          <w:sz w:val="24"/>
        </w:rPr>
        <w:t xml:space="preserve">                  </w:t>
      </w:r>
      <w:r w:rsidRPr="00B10AA2">
        <w:rPr>
          <w:rFonts w:hint="eastAsia"/>
          <w:b/>
          <w:sz w:val="24"/>
        </w:rPr>
        <w:t>奥瑟亚</w:t>
      </w:r>
      <w:r w:rsidRPr="00B10AA2">
        <w:rPr>
          <w:rFonts w:hint="eastAsia"/>
          <w:b/>
          <w:sz w:val="24"/>
        </w:rPr>
        <w:t>(</w:t>
      </w:r>
      <w:r w:rsidRPr="00B10AA2">
        <w:rPr>
          <w:rFonts w:hint="eastAsia"/>
          <w:b/>
          <w:sz w:val="24"/>
        </w:rPr>
        <w:t>嘉兴</w:t>
      </w:r>
      <w:r w:rsidRPr="00B10AA2">
        <w:rPr>
          <w:rFonts w:hint="eastAsia"/>
          <w:b/>
          <w:sz w:val="24"/>
        </w:rPr>
        <w:t>)</w:t>
      </w:r>
      <w:r w:rsidRPr="00B10AA2">
        <w:rPr>
          <w:rFonts w:hint="eastAsia"/>
          <w:b/>
          <w:sz w:val="24"/>
        </w:rPr>
        <w:t>光伏科技有限公司</w:t>
      </w:r>
    </w:p>
    <w:p w:rsidR="00D165CD" w:rsidRPr="00B10AA2" w:rsidRDefault="00D165CD" w:rsidP="00D165CD">
      <w:pPr>
        <w:jc w:val="right"/>
        <w:rPr>
          <w:b/>
          <w:sz w:val="24"/>
        </w:rPr>
      </w:pPr>
      <w:r w:rsidRPr="00B10AA2">
        <w:rPr>
          <w:rFonts w:hint="eastAsia"/>
          <w:b/>
          <w:sz w:val="24"/>
        </w:rPr>
        <w:t xml:space="preserve">                      </w:t>
      </w:r>
      <w:r w:rsidRPr="00B10AA2">
        <w:rPr>
          <w:rFonts w:hint="eastAsia"/>
          <w:b/>
          <w:sz w:val="24"/>
        </w:rPr>
        <w:t>嘉兴秀洲</w:t>
      </w:r>
      <w:r w:rsidRPr="00B10AA2">
        <w:rPr>
          <w:rFonts w:hint="eastAsia"/>
          <w:b/>
          <w:sz w:val="24"/>
        </w:rPr>
        <w:t>2.52</w:t>
      </w:r>
      <w:r w:rsidRPr="00B10AA2">
        <w:rPr>
          <w:rFonts w:hint="eastAsia"/>
          <w:b/>
          <w:sz w:val="24"/>
        </w:rPr>
        <w:t>分布式光伏电站监理项目部</w:t>
      </w:r>
      <w:r w:rsidRPr="00B10AA2">
        <w:rPr>
          <w:rFonts w:hint="eastAsia"/>
          <w:b/>
          <w:sz w:val="24"/>
        </w:rPr>
        <w:t xml:space="preserve">  </w:t>
      </w:r>
      <w:r w:rsidRPr="00B10AA2">
        <w:rPr>
          <w:rFonts w:hint="eastAsia"/>
          <w:b/>
          <w:sz w:val="24"/>
        </w:rPr>
        <w:t>编制</w:t>
      </w:r>
    </w:p>
    <w:p w:rsidR="005749BA" w:rsidRDefault="005749BA"/>
    <w:sectPr w:rsidR="005749BA" w:rsidSect="005749BA">
      <w:head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D32D9" w:rsidRDefault="009D32D9" w:rsidP="00D165CD">
      <w:r>
        <w:separator/>
      </w:r>
    </w:p>
  </w:endnote>
  <w:endnote w:type="continuationSeparator" w:id="0">
    <w:p w:rsidR="009D32D9" w:rsidRDefault="009D32D9" w:rsidP="00D165C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D32D9" w:rsidRDefault="009D32D9" w:rsidP="00D165CD">
      <w:r>
        <w:separator/>
      </w:r>
    </w:p>
  </w:footnote>
  <w:footnote w:type="continuationSeparator" w:id="0">
    <w:p w:rsidR="009D32D9" w:rsidRDefault="009D32D9" w:rsidP="00D165C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288" w:type="dxa"/>
      <w:tblBorders>
        <w:bottom w:val="single" w:sz="4" w:space="0" w:color="auto"/>
      </w:tblBorders>
      <w:tblLook w:val="01E0"/>
    </w:tblPr>
    <w:tblGrid>
      <w:gridCol w:w="4248"/>
      <w:gridCol w:w="5040"/>
    </w:tblGrid>
    <w:tr w:rsidR="00D165CD" w:rsidRPr="00B64222" w:rsidTr="00103A78">
      <w:trPr>
        <w:trHeight w:val="623"/>
      </w:trPr>
      <w:tc>
        <w:tcPr>
          <w:tcW w:w="4248" w:type="dxa"/>
          <w:tcBorders>
            <w:top w:val="single" w:sz="2" w:space="0" w:color="auto"/>
            <w:bottom w:val="single" w:sz="4" w:space="0" w:color="auto"/>
          </w:tcBorders>
          <w:shd w:val="clear" w:color="auto" w:fill="auto"/>
          <w:vAlign w:val="center"/>
        </w:tcPr>
        <w:p w:rsidR="00D165CD" w:rsidRPr="00B64222" w:rsidRDefault="00D165CD" w:rsidP="00103A78">
          <w:pPr>
            <w:pStyle w:val="a3"/>
            <w:pBdr>
              <w:bottom w:val="none" w:sz="0" w:space="0" w:color="auto"/>
            </w:pBdr>
            <w:rPr>
              <w:szCs w:val="21"/>
            </w:rPr>
          </w:pPr>
          <w:r>
            <w:rPr>
              <w:noProof/>
              <w:szCs w:val="21"/>
            </w:rPr>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3619500" cy="1352550"/>
                <wp:effectExtent l="19050" t="0" r="0" b="0"/>
                <wp:wrapNone/>
                <wp:docPr id="272" name="图片 1"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
                        <pic:cNvPicPr>
                          <a:picLocks noChangeAspect="1" noChangeArrowheads="1"/>
                        </pic:cNvPicPr>
                      </pic:nvPicPr>
                      <pic:blipFill>
                        <a:blip r:embed="rId1">
                          <a:lum bright="70000" contrast="-70000"/>
                        </a:blip>
                        <a:srcRect/>
                        <a:stretch>
                          <a:fillRect/>
                        </a:stretch>
                      </pic:blipFill>
                      <pic:spPr bwMode="auto">
                        <a:xfrm>
                          <a:off x="0" y="0"/>
                          <a:ext cx="3619500" cy="1352550"/>
                        </a:xfrm>
                        <a:prstGeom prst="rect">
                          <a:avLst/>
                        </a:prstGeom>
                        <a:noFill/>
                      </pic:spPr>
                    </pic:pic>
                  </a:graphicData>
                </a:graphic>
              </wp:anchor>
            </w:drawing>
          </w:r>
          <w:r>
            <w:rPr>
              <w:rFonts w:hint="eastAsia"/>
              <w:noProof/>
              <w:szCs w:val="21"/>
            </w:rPr>
            <w:drawing>
              <wp:inline distT="0" distB="0" distL="0" distR="0">
                <wp:extent cx="1397000" cy="546100"/>
                <wp:effectExtent l="19050" t="0" r="0" b="0"/>
                <wp:docPr id="273" name="图片 7" descr="正衡logo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正衡logo横"/>
                        <pic:cNvPicPr>
                          <a:picLocks noChangeAspect="1" noChangeArrowheads="1"/>
                        </pic:cNvPicPr>
                      </pic:nvPicPr>
                      <pic:blipFill>
                        <a:blip r:embed="rId2"/>
                        <a:srcRect/>
                        <a:stretch>
                          <a:fillRect/>
                        </a:stretch>
                      </pic:blipFill>
                      <pic:spPr bwMode="auto">
                        <a:xfrm>
                          <a:off x="0" y="0"/>
                          <a:ext cx="1397000" cy="546100"/>
                        </a:xfrm>
                        <a:prstGeom prst="rect">
                          <a:avLst/>
                        </a:prstGeom>
                        <a:noFill/>
                        <a:ln w="9525">
                          <a:noFill/>
                          <a:miter lim="800000"/>
                          <a:headEnd/>
                          <a:tailEnd/>
                        </a:ln>
                      </pic:spPr>
                    </pic:pic>
                  </a:graphicData>
                </a:graphic>
              </wp:inline>
            </w:drawing>
          </w:r>
        </w:p>
      </w:tc>
      <w:tc>
        <w:tcPr>
          <w:tcW w:w="5040" w:type="dxa"/>
          <w:tcBorders>
            <w:bottom w:val="single" w:sz="4" w:space="0" w:color="auto"/>
          </w:tcBorders>
          <w:shd w:val="clear" w:color="auto" w:fill="auto"/>
          <w:vAlign w:val="center"/>
        </w:tcPr>
        <w:p w:rsidR="00D165CD" w:rsidRPr="00B64222" w:rsidRDefault="00D165CD" w:rsidP="00103A78">
          <w:pPr>
            <w:pStyle w:val="a3"/>
            <w:pBdr>
              <w:bottom w:val="none" w:sz="0" w:space="0" w:color="auto"/>
            </w:pBdr>
            <w:jc w:val="right"/>
            <w:rPr>
              <w:szCs w:val="21"/>
            </w:rPr>
          </w:pPr>
          <w:r w:rsidRPr="00B64222">
            <w:rPr>
              <w:rFonts w:hint="eastAsia"/>
              <w:b/>
              <w:sz w:val="28"/>
              <w:szCs w:val="28"/>
            </w:rPr>
            <w:t>常州正衡电力工程监理有限公司</w:t>
          </w:r>
        </w:p>
      </w:tc>
    </w:tr>
  </w:tbl>
  <w:p w:rsidR="00D165CD" w:rsidRDefault="00D165CD">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6F3936"/>
    <w:multiLevelType w:val="hybridMultilevel"/>
    <w:tmpl w:val="FC4A300C"/>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nsid w:val="1AF56362"/>
    <w:multiLevelType w:val="hybridMultilevel"/>
    <w:tmpl w:val="D3CCF136"/>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
    <w:nsid w:val="405715A6"/>
    <w:multiLevelType w:val="hybridMultilevel"/>
    <w:tmpl w:val="52A4C2CC"/>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3">
    <w:nsid w:val="55ECE322"/>
    <w:multiLevelType w:val="singleLevel"/>
    <w:tmpl w:val="55ECE322"/>
    <w:lvl w:ilvl="0">
      <w:start w:val="3"/>
      <w:numFmt w:val="decimal"/>
      <w:suff w:val="nothing"/>
      <w:lvlText w:val="（%1）"/>
      <w:lvlJc w:val="left"/>
    </w:lvl>
  </w:abstractNum>
  <w:abstractNum w:abstractNumId="4">
    <w:nsid w:val="656D4D1A"/>
    <w:multiLevelType w:val="hybridMultilevel"/>
    <w:tmpl w:val="52A4C2CC"/>
    <w:lvl w:ilvl="0" w:tplc="04090011">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D165CD"/>
    <w:rsid w:val="005749BA"/>
    <w:rsid w:val="009D32D9"/>
    <w:rsid w:val="00D165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65C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5">
    <w:name w:val="样式5"/>
    <w:basedOn w:val="a"/>
    <w:rsid w:val="00D165CD"/>
    <w:pPr>
      <w:topLinePunct/>
      <w:adjustRightInd w:val="0"/>
      <w:spacing w:line="1200" w:lineRule="auto"/>
      <w:jc w:val="center"/>
    </w:pPr>
    <w:rPr>
      <w:rFonts w:ascii="宋体" w:eastAsia="黑体" w:hAnsi="宋体" w:cs="Times New Roman"/>
      <w:sz w:val="26"/>
      <w:szCs w:val="26"/>
    </w:rPr>
  </w:style>
  <w:style w:type="paragraph" w:customStyle="1" w:styleId="4">
    <w:name w:val="样式4"/>
    <w:basedOn w:val="a"/>
    <w:rsid w:val="00D165CD"/>
    <w:pPr>
      <w:tabs>
        <w:tab w:val="left" w:pos="366"/>
        <w:tab w:val="left" w:pos="720"/>
      </w:tabs>
      <w:topLinePunct/>
      <w:ind w:firstLine="425"/>
    </w:pPr>
    <w:rPr>
      <w:rFonts w:ascii="Calibri" w:eastAsia="黑体" w:hAnsi="Calibri" w:cs="Times New Roman"/>
      <w:bCs/>
      <w:caps/>
      <w:kern w:val="21"/>
      <w:szCs w:val="21"/>
      <w:lang w:val="zh-CN"/>
    </w:rPr>
  </w:style>
  <w:style w:type="paragraph" w:styleId="a3">
    <w:name w:val="header"/>
    <w:basedOn w:val="a"/>
    <w:link w:val="Char"/>
    <w:uiPriority w:val="99"/>
    <w:unhideWhenUsed/>
    <w:rsid w:val="00D165C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165CD"/>
    <w:rPr>
      <w:sz w:val="18"/>
      <w:szCs w:val="18"/>
    </w:rPr>
  </w:style>
  <w:style w:type="paragraph" w:styleId="a4">
    <w:name w:val="footer"/>
    <w:basedOn w:val="a"/>
    <w:link w:val="Char0"/>
    <w:uiPriority w:val="99"/>
    <w:semiHidden/>
    <w:unhideWhenUsed/>
    <w:rsid w:val="00D165CD"/>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165CD"/>
    <w:rPr>
      <w:sz w:val="18"/>
      <w:szCs w:val="18"/>
    </w:rPr>
  </w:style>
  <w:style w:type="paragraph" w:styleId="a5">
    <w:name w:val="Balloon Text"/>
    <w:basedOn w:val="a"/>
    <w:link w:val="Char1"/>
    <w:uiPriority w:val="99"/>
    <w:semiHidden/>
    <w:unhideWhenUsed/>
    <w:rsid w:val="00D165CD"/>
    <w:rPr>
      <w:sz w:val="18"/>
      <w:szCs w:val="18"/>
    </w:rPr>
  </w:style>
  <w:style w:type="character" w:customStyle="1" w:styleId="Char1">
    <w:name w:val="批注框文本 Char"/>
    <w:basedOn w:val="a0"/>
    <w:link w:val="a5"/>
    <w:uiPriority w:val="99"/>
    <w:semiHidden/>
    <w:rsid w:val="00D165CD"/>
    <w:rPr>
      <w:sz w:val="18"/>
      <w:szCs w:val="18"/>
    </w:rPr>
  </w:style>
  <w:style w:type="paragraph" w:styleId="2">
    <w:name w:val="Body Text Indent 2"/>
    <w:basedOn w:val="a"/>
    <w:link w:val="2Char"/>
    <w:uiPriority w:val="99"/>
    <w:unhideWhenUsed/>
    <w:rsid w:val="00D165CD"/>
    <w:pPr>
      <w:ind w:firstLineChars="250" w:firstLine="700"/>
    </w:pPr>
    <w:rPr>
      <w:rFonts w:ascii="Verdana" w:eastAsia="宋体" w:hAnsi="Verdana" w:cs="Times New Roman"/>
      <w:color w:val="333333"/>
      <w:sz w:val="28"/>
      <w:szCs w:val="18"/>
    </w:rPr>
  </w:style>
  <w:style w:type="character" w:customStyle="1" w:styleId="2Char">
    <w:name w:val="正文文本缩进 2 Char"/>
    <w:basedOn w:val="a0"/>
    <w:link w:val="2"/>
    <w:uiPriority w:val="99"/>
    <w:rsid w:val="00D165CD"/>
    <w:rPr>
      <w:rFonts w:ascii="Verdana" w:eastAsia="宋体" w:hAnsi="Verdana" w:cs="Times New Roman"/>
      <w:color w:val="333333"/>
      <w:sz w:val="2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802</Words>
  <Characters>4577</Characters>
  <Application>Microsoft Office Word</Application>
  <DocSecurity>0</DocSecurity>
  <Lines>38</Lines>
  <Paragraphs>10</Paragraphs>
  <ScaleCrop>false</ScaleCrop>
  <Company/>
  <LinksUpToDate>false</LinksUpToDate>
  <CharactersWithSpaces>5369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2016-05-19T08:49:00Z</dcterms:created>
  <dcterms:modified xsi:type="dcterms:W3CDTF">2016-05-19T08:50:00Z</dcterms:modified>
</cp:coreProperties>
</file>