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120" w:lineRule="auto"/>
        <w:ind w:right="0" w:rightChars="0" w:firstLine="241" w:firstLineChars="100"/>
        <w:jc w:val="both"/>
        <w:textAlignment w:val="auto"/>
        <w:outlineLvl w:val="0"/>
        <w:rPr>
          <w:rFonts w:hint="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szCs w:val="24"/>
          <w:lang w:eastAsia="zh-CN"/>
        </w:rPr>
        <w:t>中设国联于都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60MWp﹙二期40MWp﹚光伏电站中草药种植一体化项目</w:t>
      </w:r>
    </w:p>
    <w:p>
      <w:pPr>
        <w:pStyle w:val="2"/>
        <w:ind w:left="596" w:leftChars="284" w:firstLine="2409" w:firstLineChars="1000"/>
        <w:rPr>
          <w:b/>
          <w:bCs w:val="0"/>
          <w:color w:val="auto"/>
          <w:sz w:val="24"/>
          <w:szCs w:val="24"/>
        </w:rPr>
      </w:pPr>
      <w:r>
        <w:rPr>
          <w:rFonts w:hint="eastAsia"/>
          <w:b/>
          <w:bCs w:val="0"/>
          <w:color w:val="auto"/>
          <w:sz w:val="24"/>
          <w:szCs w:val="24"/>
        </w:rPr>
        <w:t>监理</w:t>
      </w:r>
      <w:r>
        <w:rPr>
          <w:rFonts w:hint="eastAsia"/>
          <w:b/>
          <w:bCs w:val="0"/>
          <w:color w:val="auto"/>
          <w:sz w:val="24"/>
          <w:szCs w:val="24"/>
        </w:rPr>
        <w:t>阶段性汇</w:t>
      </w:r>
      <w:r>
        <w:rPr>
          <w:rFonts w:hint="eastAsia"/>
          <w:b/>
          <w:bCs w:val="0"/>
          <w:color w:val="auto"/>
          <w:sz w:val="24"/>
          <w:szCs w:val="24"/>
          <w:lang w:eastAsia="zh-CN"/>
        </w:rPr>
        <w:t>报</w:t>
      </w:r>
    </w:p>
    <w:p>
      <w:pPr>
        <w:rPr>
          <w:rFonts w:hint="eastAsia" w:eastAsiaTheme="minor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一、工程概况：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</w:rPr>
        <w:t>项目二期装机容量为</w:t>
      </w:r>
      <w:bookmarkStart w:id="0" w:name="OLE_LINK2"/>
      <w:r>
        <w:rPr>
          <w:rFonts w:hint="eastAsia"/>
          <w:sz w:val="21"/>
          <w:szCs w:val="21"/>
          <w:vertAlign w:val="baseline"/>
          <w:lang w:val="en-US" w:eastAsia="zh-CN"/>
        </w:rPr>
        <w:t>40MWp</w:t>
      </w:r>
      <w:bookmarkEnd w:id="0"/>
      <w:r>
        <w:rPr>
          <w:rFonts w:hint="eastAsia"/>
          <w:sz w:val="21"/>
          <w:szCs w:val="21"/>
          <w:vertAlign w:val="baseline"/>
          <w:lang w:val="en-US" w:eastAsia="zh-CN"/>
        </w:rPr>
        <w:t>，已于2015年12月市发改委项目备案。项目二期选址在于都县靖石乡杨梅村及其余盘古山镇交接处一带，规划用地1000亩，全部为废弃砖厂、石料堆放场、荒山荒坡等，本项目是光伏电站中草药种植一体化项目。光伏板最底缘抬高1.5米以上，在光伏板下同步开发千亩中草药基地，根据土壤组分特性选择种植喜阴、耐阴性中草药植物。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二、工程参建单位：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项目建设单位：于都中设国联新能源有限公司：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项目监理单位：常州正衡电力工程监理有限公司：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项目总包单位：</w:t>
      </w:r>
      <w:bookmarkStart w:id="1" w:name="OLE_LINK1"/>
      <w:r>
        <w:rPr>
          <w:rFonts w:hint="eastAsia"/>
          <w:sz w:val="21"/>
          <w:szCs w:val="21"/>
          <w:vertAlign w:val="baseline"/>
          <w:lang w:val="en-US" w:eastAsia="zh-CN"/>
        </w:rPr>
        <w:t>信息产业电子第十一设计研究院科技工程股份有限公司：</w:t>
      </w:r>
      <w:bookmarkEnd w:id="1"/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项目设计单位：信息产业电子第十一设计研究院科技工程股份有限公司：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建设地址：</w:t>
      </w: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项目二期选址在于都县靖石乡杨梅村及其余盘古山镇交接处一带。</w:t>
      </w:r>
    </w:p>
    <w:p>
      <w:pPr>
        <w:numPr>
          <w:numId w:val="0"/>
        </w:numPr>
        <w:adjustRightInd w:val="0"/>
        <w:snapToGrid w:val="0"/>
        <w:spacing w:line="360" w:lineRule="auto"/>
        <w:jc w:val="left"/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监理服务期：120天。监理入场时间：2017年5月3日。监理2人。</w:t>
      </w:r>
    </w:p>
    <w:p>
      <w:pPr>
        <w:adjustRightInd w:val="0"/>
        <w:snapToGrid w:val="0"/>
        <w:spacing w:line="360" w:lineRule="auto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现场施工情况：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1、升压站围栏外护坡东、南俩侧施工。所有施工有关资料施工方尚未提供，我监理部无法进行正常监理工作（此部分为一期工程遗留，建设方口头要求我项目部二期进行监理）。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2、总包项目部无项目经理，我监理项目部于11月16日已对总包项目下达监理通知单，要求其尽快进场，并要求三日内回复。已上报建设单位项目部，建设单位亦要求总包单位项目经理必须尽快进场。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3、现施工地点为光伏四区。平整场地100亩，约完成40%。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15" w:lineRule="auto"/>
        <w:ind w:right="0" w:rightChars="0" w:firstLine="3795" w:firstLineChars="1800"/>
        <w:jc w:val="both"/>
        <w:textAlignment w:val="auto"/>
        <w:outlineLvl w:val="0"/>
        <w:rPr>
          <w:rFonts w:hint="eastAsia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常州正衡电力工程监理有限公司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15" w:lineRule="auto"/>
        <w:ind w:right="0" w:rightChars="0" w:firstLine="1687" w:firstLineChars="800"/>
        <w:jc w:val="both"/>
        <w:textAlignment w:val="auto"/>
        <w:outlineLvl w:val="0"/>
        <w:rPr>
          <w:rFonts w:hint="eastAsia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eastAsia="zh-CN"/>
        </w:rPr>
        <w:t>中设国联于都</w:t>
      </w: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60MWp﹙二期40MWp﹚光伏电站中草药种植一体化项目</w:t>
      </w:r>
    </w:p>
    <w:p>
      <w:pPr>
        <w:rPr>
          <w:rFonts w:hint="eastAsia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 xml:space="preserve">                                            </w:t>
      </w:r>
      <w:bookmarkStart w:id="2" w:name="_GoBack"/>
      <w:bookmarkEnd w:id="2"/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 xml:space="preserve">  李士中    贾东生     </w:t>
      </w:r>
    </w:p>
    <w:p>
      <w:pPr>
        <w:rPr>
          <w:rFonts w:hint="eastAsia"/>
          <w:b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b/>
          <w:bCs w:val="0"/>
          <w:color w:val="auto"/>
          <w:sz w:val="21"/>
          <w:szCs w:val="21"/>
          <w:lang w:val="en-US" w:eastAsia="zh-CN"/>
        </w:rPr>
      </w:pPr>
    </w:p>
    <w:p>
      <w:pPr>
        <w:ind w:firstLine="4849" w:firstLineChars="2300"/>
        <w:rPr>
          <w:rFonts w:hint="eastAsia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>2017年11月16日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 w:val="0"/>
          <w:color w:val="auto"/>
          <w:sz w:val="21"/>
          <w:szCs w:val="21"/>
          <w:lang w:val="en-US" w:eastAsia="zh-CN"/>
        </w:rPr>
        <w:t xml:space="preserve">                               </w:t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afterAutospacing="0" w:line="2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" w:lineRule="atLeast"/>
        <w:ind w:left="0" w:leftChars="0" w:right="0" w:rightChars="0" w:firstLine="0" w:firstLineChars="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99F"/>
    <w:multiLevelType w:val="singleLevel"/>
    <w:tmpl w:val="5A0D699F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A0D6F57"/>
    <w:multiLevelType w:val="singleLevel"/>
    <w:tmpl w:val="5A0D6F5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F048A"/>
    <w:rsid w:val="026A7F3B"/>
    <w:rsid w:val="09582B83"/>
    <w:rsid w:val="0C5F16EC"/>
    <w:rsid w:val="0D6E48BF"/>
    <w:rsid w:val="1C9555B5"/>
    <w:rsid w:val="1E5E6835"/>
    <w:rsid w:val="1EC57F62"/>
    <w:rsid w:val="24274C27"/>
    <w:rsid w:val="2763391C"/>
    <w:rsid w:val="27D400BC"/>
    <w:rsid w:val="36CB57FB"/>
    <w:rsid w:val="3BC365AE"/>
    <w:rsid w:val="4A7D449F"/>
    <w:rsid w:val="4C585AC7"/>
    <w:rsid w:val="572D0C06"/>
    <w:rsid w:val="5AF70300"/>
    <w:rsid w:val="5B707F63"/>
    <w:rsid w:val="5BBB27E5"/>
    <w:rsid w:val="5FEC34C7"/>
    <w:rsid w:val="61C436D0"/>
    <w:rsid w:val="61D9390A"/>
    <w:rsid w:val="621C0664"/>
    <w:rsid w:val="62725064"/>
    <w:rsid w:val="62B24AC4"/>
    <w:rsid w:val="66CF370F"/>
    <w:rsid w:val="6AC46019"/>
    <w:rsid w:val="6B261F3A"/>
    <w:rsid w:val="6D040BA6"/>
    <w:rsid w:val="752B2745"/>
    <w:rsid w:val="7AF16FBF"/>
    <w:rsid w:val="7B2F048A"/>
    <w:rsid w:val="7F9B3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 w:line="240" w:lineRule="auto"/>
      <w:ind w:firstLine="0" w:firstLineChars="0"/>
      <w:textAlignment w:val="baseline"/>
      <w:outlineLvl w:val="1"/>
    </w:pPr>
    <w:rPr>
      <w:rFonts w:ascii="Arial" w:hAnsi="Arial" w:eastAsia="宋体"/>
      <w:b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2017-05-26T07:52:00Z</dcterms:created>
  <dc:creator>tom56</dc:creator>
  <cp:lastModifiedBy>Administrator</cp:lastModifiedBy>
  <cp:lastPrinted>2017-10-25T00:47:00Z</cp:lastPrinted>
  <dcterms:modified xsi:type="dcterms:W3CDTF">2017-11-16T11:47:32Z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