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28"/>
          <w:szCs w:val="28"/>
        </w:rPr>
      </w:pPr>
      <w:r>
        <w:rPr>
          <w:rFonts w:hint="eastAsia" w:ascii="黑体" w:eastAsia="黑体"/>
          <w:b/>
          <w:sz w:val="28"/>
          <w:szCs w:val="28"/>
        </w:rPr>
        <w:t>电缆接地施工强制性条文执行检查表</w:t>
      </w:r>
    </w:p>
    <w:p>
      <w:pPr>
        <w:jc w:val="center"/>
        <w:rPr>
          <w:rFonts w:hint="eastAsia" w:ascii="黑体" w:eastAsia="黑体"/>
          <w:b/>
          <w:sz w:val="28"/>
          <w:szCs w:val="28"/>
        </w:rPr>
      </w:pPr>
      <w:r>
        <w:rPr>
          <w:rFonts w:hint="eastAsia" w:ascii="黑体" w:eastAsia="黑体"/>
          <w:b/>
          <w:szCs w:val="21"/>
          <w:lang w:val="en-US" w:eastAsia="zh-CN"/>
        </w:rPr>
        <w:t xml:space="preserve">                                                           </w:t>
      </w:r>
      <w:r>
        <w:rPr>
          <w:rFonts w:hint="eastAsia" w:ascii="黑体" w:eastAsia="黑体"/>
          <w:b/>
          <w:szCs w:val="21"/>
        </w:rPr>
        <w:t>编号：</w:t>
      </w:r>
      <w:r>
        <w:rPr>
          <w:rFonts w:hint="eastAsia" w:ascii="黑体" w:eastAsia="黑体"/>
          <w:b/>
          <w:szCs w:val="21"/>
          <w:lang w:val="en-US" w:eastAsia="zh-CN"/>
        </w:rPr>
        <w:t>WFXM-DQQT-002</w:t>
      </w:r>
      <w:bookmarkStart w:id="0" w:name="_GoBack"/>
      <w:bookmarkEnd w:id="0"/>
      <w:r>
        <w:rPr>
          <w:rFonts w:hint="eastAsia" w:ascii="黑体" w:eastAsia="黑体"/>
          <w:b/>
          <w:szCs w:val="21"/>
        </w:rPr>
        <w:t xml:space="preserve"> </w:t>
      </w:r>
    </w:p>
    <w:tbl>
      <w:tblPr>
        <w:tblStyle w:val="3"/>
        <w:tblW w:w="9270" w:type="dxa"/>
        <w:jc w:val="center"/>
        <w:tblInd w:w="2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279"/>
        <w:gridCol w:w="2899"/>
        <w:gridCol w:w="1606"/>
        <w:gridCol w:w="900"/>
        <w:gridCol w:w="2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15" w:type="dxa"/>
            <w:gridSpan w:val="2"/>
            <w:tcBorders>
              <w:top w:val="single" w:color="auto" w:sz="12" w:space="0"/>
            </w:tcBorders>
            <w:vAlign w:val="center"/>
          </w:tcPr>
          <w:p>
            <w:pPr>
              <w:jc w:val="center"/>
              <w:rPr>
                <w:rFonts w:ascii="宋体" w:hAnsi="宋体"/>
                <w:sz w:val="18"/>
                <w:szCs w:val="18"/>
              </w:rPr>
            </w:pPr>
            <w:r>
              <w:rPr>
                <w:rFonts w:hint="eastAsia" w:ascii="宋体" w:hAnsi="宋体"/>
                <w:sz w:val="18"/>
                <w:szCs w:val="18"/>
              </w:rPr>
              <w:t>单位工程名称</w:t>
            </w:r>
          </w:p>
        </w:tc>
        <w:tc>
          <w:tcPr>
            <w:tcW w:w="2899" w:type="dxa"/>
            <w:tcBorders>
              <w:top w:val="single" w:color="auto" w:sz="12" w:space="0"/>
            </w:tcBorders>
            <w:vAlign w:val="center"/>
          </w:tcPr>
          <w:p>
            <w:pPr>
              <w:jc w:val="center"/>
              <w:rPr>
                <w:rFonts w:ascii="宋体" w:hAnsi="宋体"/>
                <w:sz w:val="18"/>
                <w:szCs w:val="18"/>
              </w:rPr>
            </w:pPr>
            <w:r>
              <w:rPr>
                <w:rFonts w:hint="eastAsia" w:ascii="宋体" w:hAnsi="宋体"/>
                <w:bCs/>
                <w:szCs w:val="21"/>
              </w:rPr>
              <w:t>潍坊市滨海经济开发区渔光互补50MWp光伏发电项目光伏区电气设备安装</w:t>
            </w:r>
          </w:p>
        </w:tc>
        <w:tc>
          <w:tcPr>
            <w:tcW w:w="1606"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分部工程名称</w:t>
            </w:r>
          </w:p>
        </w:tc>
        <w:tc>
          <w:tcPr>
            <w:tcW w:w="3150" w:type="dxa"/>
            <w:gridSpan w:val="2"/>
            <w:tcBorders>
              <w:top w:val="single" w:color="auto" w:sz="12" w:space="0"/>
            </w:tcBorders>
            <w:vAlign w:val="center"/>
          </w:tcPr>
          <w:p>
            <w:pPr>
              <w:jc w:val="center"/>
              <w:rPr>
                <w:rFonts w:ascii="宋体" w:hAnsi="宋体"/>
                <w:sz w:val="18"/>
                <w:szCs w:val="18"/>
              </w:rPr>
            </w:pPr>
            <w:r>
              <w:rPr>
                <w:rFonts w:hint="eastAsia" w:ascii="宋体" w:hAnsi="宋体"/>
                <w:sz w:val="18"/>
                <w:szCs w:val="18"/>
                <w:lang w:val="en-US" w:eastAsia="zh-CN"/>
              </w:rPr>
              <w:t>光伏区</w:t>
            </w:r>
            <w:r>
              <w:rPr>
                <w:rFonts w:hint="eastAsia" w:ascii="宋体" w:hAnsi="宋体"/>
                <w:sz w:val="18"/>
                <w:szCs w:val="18"/>
              </w:rPr>
              <w:t>电缆线路施工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 w:hRule="atLeast"/>
          <w:jc w:val="center"/>
        </w:trPr>
        <w:tc>
          <w:tcPr>
            <w:tcW w:w="1615" w:type="dxa"/>
            <w:gridSpan w:val="2"/>
            <w:vMerge w:val="restart"/>
            <w:vAlign w:val="center"/>
          </w:tcPr>
          <w:p>
            <w:pPr>
              <w:jc w:val="center"/>
              <w:rPr>
                <w:rFonts w:ascii="宋体" w:hAnsi="宋体"/>
                <w:sz w:val="18"/>
                <w:szCs w:val="18"/>
              </w:rPr>
            </w:pPr>
            <w:r>
              <w:rPr>
                <w:rFonts w:hint="eastAsia" w:ascii="宋体" w:hAnsi="宋体"/>
                <w:sz w:val="18"/>
                <w:szCs w:val="18"/>
              </w:rPr>
              <w:t>施工单位</w:t>
            </w:r>
          </w:p>
        </w:tc>
        <w:tc>
          <w:tcPr>
            <w:tcW w:w="2899" w:type="dxa"/>
            <w:vMerge w:val="restart"/>
            <w:vAlign w:val="center"/>
          </w:tcPr>
          <w:p>
            <w:pPr>
              <w:jc w:val="center"/>
              <w:rPr>
                <w:rFonts w:ascii="宋体" w:hAnsi="宋体"/>
                <w:sz w:val="18"/>
                <w:szCs w:val="18"/>
              </w:rPr>
            </w:pPr>
            <w:r>
              <w:rPr>
                <w:rFonts w:hint="eastAsia" w:ascii="宋体" w:hAnsi="宋体"/>
                <w:sz w:val="18"/>
                <w:szCs w:val="18"/>
              </w:rPr>
              <w:t>山东电力建设第三工程公司</w:t>
            </w:r>
          </w:p>
        </w:tc>
        <w:tc>
          <w:tcPr>
            <w:tcW w:w="1606"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检查项目</w:t>
            </w:r>
          </w:p>
        </w:tc>
        <w:tc>
          <w:tcPr>
            <w:tcW w:w="3150"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电力电缆终端头制作及安装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615" w:type="dxa"/>
            <w:gridSpan w:val="2"/>
            <w:vMerge w:val="continue"/>
            <w:vAlign w:val="center"/>
          </w:tcPr>
          <w:p>
            <w:pPr>
              <w:jc w:val="center"/>
              <w:rPr>
                <w:rFonts w:ascii="宋体" w:hAnsi="宋体"/>
                <w:sz w:val="18"/>
                <w:szCs w:val="18"/>
              </w:rPr>
            </w:pPr>
          </w:p>
        </w:tc>
        <w:tc>
          <w:tcPr>
            <w:tcW w:w="2899" w:type="dxa"/>
            <w:vMerge w:val="continue"/>
            <w:vAlign w:val="center"/>
          </w:tcPr>
          <w:p>
            <w:pPr>
              <w:jc w:val="center"/>
              <w:rPr>
                <w:rFonts w:ascii="宋体" w:hAnsi="宋体"/>
                <w:sz w:val="18"/>
                <w:szCs w:val="18"/>
              </w:rPr>
            </w:pPr>
          </w:p>
        </w:tc>
        <w:tc>
          <w:tcPr>
            <w:tcW w:w="1606"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3150" w:type="dxa"/>
            <w:gridSpan w:val="2"/>
            <w:tcBorders>
              <w:top w:val="single" w:color="auto" w:sz="4" w:space="0"/>
            </w:tcBorders>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赵延春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14" w:type="dxa"/>
            <w:gridSpan w:val="3"/>
            <w:vAlign w:val="center"/>
          </w:tcPr>
          <w:p>
            <w:pPr>
              <w:jc w:val="center"/>
              <w:rPr>
                <w:rFonts w:ascii="宋体" w:hAnsi="宋体"/>
                <w:sz w:val="18"/>
                <w:szCs w:val="18"/>
              </w:rPr>
            </w:pPr>
            <w:r>
              <w:rPr>
                <w:rFonts w:hint="eastAsia" w:ascii="宋体" w:hAnsi="宋体"/>
                <w:sz w:val="18"/>
                <w:szCs w:val="18"/>
              </w:rPr>
              <w:t xml:space="preserve"> 强制性条文内容</w:t>
            </w:r>
          </w:p>
        </w:tc>
        <w:tc>
          <w:tcPr>
            <w:tcW w:w="2506" w:type="dxa"/>
            <w:gridSpan w:val="2"/>
            <w:vAlign w:val="center"/>
          </w:tcPr>
          <w:p>
            <w:pPr>
              <w:jc w:val="center"/>
              <w:rPr>
                <w:rFonts w:ascii="宋体" w:hAnsi="宋体"/>
                <w:sz w:val="18"/>
                <w:szCs w:val="18"/>
              </w:rPr>
            </w:pPr>
            <w:r>
              <w:rPr>
                <w:rFonts w:hint="eastAsia" w:ascii="宋体" w:hAnsi="宋体"/>
                <w:sz w:val="18"/>
                <w:szCs w:val="18"/>
              </w:rPr>
              <w:t>执行情况</w:t>
            </w:r>
          </w:p>
        </w:tc>
        <w:tc>
          <w:tcPr>
            <w:tcW w:w="2250" w:type="dxa"/>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270" w:type="dxa"/>
            <w:gridSpan w:val="6"/>
            <w:vAlign w:val="center"/>
          </w:tcPr>
          <w:p>
            <w:pPr>
              <w:jc w:val="center"/>
              <w:rPr>
                <w:rFonts w:ascii="宋体" w:hAnsi="宋体"/>
                <w:sz w:val="18"/>
                <w:szCs w:val="18"/>
              </w:rPr>
            </w:pPr>
            <w:r>
              <w:rPr>
                <w:rFonts w:hint="eastAsia" w:ascii="宋体" w:hAnsi="宋体"/>
                <w:sz w:val="18"/>
                <w:szCs w:val="18"/>
              </w:rPr>
              <w:t>《电气装置安装工程接地装置施工及验收规范》GB50169-2006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jc w:val="center"/>
        </w:trPr>
        <w:tc>
          <w:tcPr>
            <w:tcW w:w="1336" w:type="dxa"/>
            <w:tcBorders>
              <w:bottom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标准条款号</w:t>
            </w:r>
          </w:p>
        </w:tc>
        <w:tc>
          <w:tcPr>
            <w:tcW w:w="3178" w:type="dxa"/>
            <w:gridSpan w:val="2"/>
            <w:tcBorders>
              <w:bottom w:val="single" w:color="auto" w:sz="4" w:space="0"/>
            </w:tcBorders>
            <w:vAlign w:val="center"/>
          </w:tcPr>
          <w:p>
            <w:pPr>
              <w:rPr>
                <w:rFonts w:ascii="宋体" w:hAnsi="宋体"/>
                <w:sz w:val="20"/>
                <w:szCs w:val="20"/>
              </w:rPr>
            </w:pPr>
          </w:p>
          <w:p>
            <w:pPr>
              <w:jc w:val="center"/>
              <w:rPr>
                <w:rFonts w:ascii="宋体" w:hAnsi="宋体"/>
                <w:sz w:val="20"/>
                <w:szCs w:val="20"/>
              </w:rPr>
            </w:pPr>
            <w:r>
              <w:rPr>
                <w:rFonts w:hint="eastAsia" w:ascii="宋体" w:hAnsi="宋体"/>
                <w:sz w:val="20"/>
                <w:szCs w:val="20"/>
              </w:rPr>
              <w:t>标准条款内容</w:t>
            </w:r>
          </w:p>
          <w:p>
            <w:pPr>
              <w:widowControl/>
              <w:rPr>
                <w:rFonts w:ascii="宋体" w:hAnsi="宋体"/>
                <w:b/>
                <w:sz w:val="18"/>
                <w:szCs w:val="18"/>
              </w:rPr>
            </w:pPr>
          </w:p>
        </w:tc>
        <w:tc>
          <w:tcPr>
            <w:tcW w:w="2506" w:type="dxa"/>
            <w:gridSpan w:val="2"/>
            <w:tcBorders>
              <w:bottom w:val="single" w:color="auto" w:sz="4" w:space="0"/>
            </w:tcBorders>
            <w:vAlign w:val="center"/>
          </w:tcPr>
          <w:p>
            <w:pPr>
              <w:jc w:val="center"/>
              <w:rPr>
                <w:rFonts w:ascii="宋体" w:hAnsi="宋体"/>
                <w:sz w:val="20"/>
                <w:szCs w:val="20"/>
              </w:rPr>
            </w:pPr>
            <w:r>
              <w:rPr>
                <w:rFonts w:hint="eastAsia" w:ascii="宋体" w:hAnsi="宋体"/>
                <w:sz w:val="20"/>
                <w:szCs w:val="20"/>
              </w:rPr>
              <w:t>工程实际执行情况</w:t>
            </w:r>
          </w:p>
        </w:tc>
        <w:tc>
          <w:tcPr>
            <w:tcW w:w="2250" w:type="dxa"/>
            <w:tcBorders>
              <w:bottom w:val="single" w:color="auto" w:sz="4" w:space="0"/>
            </w:tcBorders>
            <w:vAlign w:val="center"/>
          </w:tcPr>
          <w:p>
            <w:pPr>
              <w:rPr>
                <w:rFonts w:ascii="宋体" w:hAnsi="宋体"/>
                <w:sz w:val="20"/>
                <w:szCs w:val="20"/>
              </w:rPr>
            </w:pPr>
            <w:r>
              <w:rPr>
                <w:rFonts w:hint="eastAsia" w:ascii="宋体" w:hAnsi="宋体"/>
                <w:sz w:val="20"/>
                <w:szCs w:val="20"/>
              </w:rPr>
              <w:t>是否符合标准条款要求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44" w:hRule="atLeast"/>
          <w:jc w:val="center"/>
        </w:trPr>
        <w:tc>
          <w:tcPr>
            <w:tcW w:w="1336" w:type="dxa"/>
            <w:tcBorders>
              <w:top w:val="single" w:color="auto" w:sz="4" w:space="0"/>
              <w:bottom w:val="single" w:color="auto" w:sz="2" w:space="0"/>
            </w:tcBorders>
            <w:vAlign w:val="center"/>
          </w:tcPr>
          <w:p>
            <w:pPr>
              <w:jc w:val="center"/>
              <w:rPr>
                <w:rFonts w:ascii="宋体" w:hAnsi="宋体"/>
                <w:kern w:val="0"/>
                <w:sz w:val="18"/>
                <w:szCs w:val="18"/>
              </w:rPr>
            </w:pPr>
            <w:r>
              <w:rPr>
                <w:rFonts w:hint="eastAsia"/>
                <w:sz w:val="20"/>
                <w:szCs w:val="20"/>
              </w:rPr>
              <w:t>第3.3.11条</w:t>
            </w:r>
          </w:p>
        </w:tc>
        <w:tc>
          <w:tcPr>
            <w:tcW w:w="3178" w:type="dxa"/>
            <w:gridSpan w:val="2"/>
            <w:tcBorders>
              <w:top w:val="single" w:color="auto" w:sz="4" w:space="0"/>
              <w:bottom w:val="single" w:color="auto" w:sz="2" w:space="0"/>
            </w:tcBorders>
            <w:vAlign w:val="center"/>
          </w:tcPr>
          <w:p>
            <w:pPr>
              <w:rPr>
                <w:sz w:val="20"/>
                <w:szCs w:val="20"/>
              </w:rPr>
            </w:pPr>
            <w:r>
              <w:rPr>
                <w:rFonts w:hint="eastAsia"/>
                <w:sz w:val="20"/>
                <w:szCs w:val="20"/>
              </w:rPr>
              <w:t>当电缆穿过零序电流互感器时，电缆头的接地线应通过零序电流互感器后接地；由电缆头至穿过零序电流互感器的一段电缆金属护层和接地线应对地绝缘。</w:t>
            </w:r>
          </w:p>
        </w:tc>
        <w:tc>
          <w:tcPr>
            <w:tcW w:w="2506" w:type="dxa"/>
            <w:gridSpan w:val="2"/>
            <w:tcBorders>
              <w:top w:val="single" w:color="auto" w:sz="4" w:space="0"/>
              <w:bottom w:val="single" w:color="auto" w:sz="2" w:space="0"/>
              <w:tr2bl w:val="single" w:color="auto" w:sz="4" w:space="0"/>
            </w:tcBorders>
            <w:vAlign w:val="center"/>
          </w:tcPr>
          <w:p>
            <w:pPr>
              <w:rPr>
                <w:rFonts w:ascii="宋体" w:hAnsi="宋体"/>
                <w:sz w:val="18"/>
                <w:szCs w:val="18"/>
              </w:rPr>
            </w:pPr>
          </w:p>
        </w:tc>
        <w:tc>
          <w:tcPr>
            <w:tcW w:w="2250" w:type="dxa"/>
            <w:tcBorders>
              <w:top w:val="single" w:color="auto" w:sz="4" w:space="0"/>
              <w:bottom w:val="single" w:color="auto" w:sz="2" w:space="0"/>
              <w:tr2bl w:val="single" w:color="auto" w:sz="4" w:space="0"/>
            </w:tcBorders>
            <w:vAlign w:val="center"/>
          </w:tcPr>
          <w:p>
            <w:pP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2" w:hRule="atLeast"/>
          <w:jc w:val="center"/>
        </w:trPr>
        <w:tc>
          <w:tcPr>
            <w:tcW w:w="1336" w:type="dxa"/>
            <w:tcBorders>
              <w:top w:val="single" w:color="auto" w:sz="2" w:space="0"/>
              <w:bottom w:val="single" w:color="auto" w:sz="2" w:space="0"/>
            </w:tcBorders>
            <w:vAlign w:val="center"/>
          </w:tcPr>
          <w:p>
            <w:pPr>
              <w:widowControl/>
              <w:jc w:val="center"/>
              <w:rPr>
                <w:rFonts w:ascii="宋体" w:hAnsi="宋体"/>
                <w:kern w:val="0"/>
                <w:sz w:val="18"/>
                <w:szCs w:val="18"/>
              </w:rPr>
            </w:pPr>
            <w:r>
              <w:rPr>
                <w:rFonts w:hint="eastAsia"/>
                <w:sz w:val="20"/>
                <w:szCs w:val="20"/>
              </w:rPr>
              <w:t>第3.9.1条</w:t>
            </w:r>
          </w:p>
        </w:tc>
        <w:tc>
          <w:tcPr>
            <w:tcW w:w="3178" w:type="dxa"/>
            <w:gridSpan w:val="2"/>
            <w:tcBorders>
              <w:top w:val="single" w:color="auto" w:sz="2" w:space="0"/>
              <w:bottom w:val="single" w:color="auto" w:sz="2" w:space="0"/>
            </w:tcBorders>
            <w:vAlign w:val="center"/>
          </w:tcPr>
          <w:p>
            <w:pPr>
              <w:rPr>
                <w:sz w:val="20"/>
                <w:szCs w:val="20"/>
              </w:rPr>
            </w:pPr>
            <w:r>
              <w:rPr>
                <w:rFonts w:hint="eastAsia"/>
                <w:sz w:val="20"/>
                <w:szCs w:val="20"/>
              </w:rPr>
              <w:t>110kV及以上中性点有效接地系统单芯电缆的电缆金属护层，应通过接地刀闸直接与变电站接地装置连接。</w:t>
            </w:r>
          </w:p>
        </w:tc>
        <w:tc>
          <w:tcPr>
            <w:tcW w:w="2506" w:type="dxa"/>
            <w:gridSpan w:val="2"/>
            <w:tcBorders>
              <w:top w:val="single" w:color="auto" w:sz="2" w:space="0"/>
              <w:bottom w:val="single" w:color="auto" w:sz="2" w:space="0"/>
              <w:tr2bl w:val="single" w:color="auto" w:sz="4" w:space="0"/>
            </w:tcBorders>
            <w:vAlign w:val="center"/>
          </w:tcPr>
          <w:p>
            <w:pPr>
              <w:rPr>
                <w:rFonts w:ascii="宋体" w:hAnsi="宋体"/>
                <w:sz w:val="18"/>
                <w:szCs w:val="18"/>
              </w:rPr>
            </w:pPr>
          </w:p>
        </w:tc>
        <w:tc>
          <w:tcPr>
            <w:tcW w:w="2250" w:type="dxa"/>
            <w:tcBorders>
              <w:top w:val="single" w:color="auto" w:sz="2" w:space="0"/>
              <w:bottom w:val="single" w:color="auto" w:sz="2" w:space="0"/>
              <w:tr2bl w:val="single" w:color="auto" w:sz="4" w:space="0"/>
            </w:tcBorders>
            <w:vAlign w:val="center"/>
          </w:tcPr>
          <w:p>
            <w:pPr>
              <w:widowControl/>
              <w:jc w:val="left"/>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70" w:hRule="atLeast"/>
          <w:jc w:val="center"/>
        </w:trPr>
        <w:tc>
          <w:tcPr>
            <w:tcW w:w="1336" w:type="dxa"/>
            <w:tcBorders>
              <w:top w:val="single" w:color="auto" w:sz="2" w:space="0"/>
              <w:bottom w:val="single" w:color="auto" w:sz="12" w:space="0"/>
            </w:tcBorders>
            <w:vAlign w:val="center"/>
          </w:tcPr>
          <w:p>
            <w:pPr>
              <w:widowControl/>
              <w:jc w:val="center"/>
              <w:rPr>
                <w:rFonts w:ascii="宋体" w:hAnsi="宋体"/>
                <w:kern w:val="0"/>
                <w:sz w:val="18"/>
                <w:szCs w:val="18"/>
              </w:rPr>
            </w:pPr>
            <w:r>
              <w:rPr>
                <w:rFonts w:hint="eastAsia"/>
                <w:sz w:val="20"/>
                <w:szCs w:val="20"/>
              </w:rPr>
              <w:t>第3.9.4条</w:t>
            </w:r>
          </w:p>
        </w:tc>
        <w:tc>
          <w:tcPr>
            <w:tcW w:w="3178" w:type="dxa"/>
            <w:gridSpan w:val="2"/>
            <w:tcBorders>
              <w:top w:val="single" w:color="auto" w:sz="2" w:space="0"/>
              <w:bottom w:val="single" w:color="auto" w:sz="12" w:space="0"/>
            </w:tcBorders>
            <w:vAlign w:val="center"/>
          </w:tcPr>
          <w:p>
            <w:pPr>
              <w:rPr>
                <w:sz w:val="20"/>
                <w:szCs w:val="20"/>
              </w:rPr>
            </w:pPr>
            <w:r>
              <w:rPr>
                <w:rFonts w:hint="eastAsia"/>
                <w:sz w:val="20"/>
                <w:szCs w:val="20"/>
              </w:rPr>
              <w:t>110kV以下三芯电缆的电缆终端金属护层应直接与变电站接地装置连接。</w:t>
            </w:r>
          </w:p>
        </w:tc>
        <w:tc>
          <w:tcPr>
            <w:tcW w:w="2506" w:type="dxa"/>
            <w:gridSpan w:val="2"/>
            <w:tcBorders>
              <w:top w:val="single" w:color="auto" w:sz="2" w:space="0"/>
              <w:bottom w:val="single" w:color="auto" w:sz="12"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2" w:space="0"/>
              <w:bottom w:val="single" w:color="auto" w:sz="12" w:space="0"/>
            </w:tcBorders>
            <w:vAlign w:val="center"/>
          </w:tcPr>
          <w:p>
            <w:pPr>
              <w:widowControl/>
              <w:jc w:val="center"/>
              <w:rPr>
                <w:rFonts w:ascii="宋体" w:hAnsi="宋体"/>
                <w:kern w:val="0"/>
                <w:sz w:val="20"/>
                <w:szCs w:val="20"/>
              </w:rPr>
            </w:pPr>
            <w:r>
              <w:rPr>
                <w:rFonts w:hint="eastAsia" w:ascii="宋体" w:hAnsi="宋体"/>
                <w:kern w:val="0"/>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3" w:hRule="atLeast"/>
          <w:jc w:val="center"/>
        </w:trPr>
        <w:tc>
          <w:tcPr>
            <w:tcW w:w="4514" w:type="dxa"/>
            <w:gridSpan w:val="3"/>
            <w:vAlign w:val="center"/>
          </w:tcPr>
          <w:p>
            <w:pPr>
              <w:rPr>
                <w:rFonts w:ascii="宋体" w:hAnsi="宋体"/>
                <w:sz w:val="18"/>
                <w:szCs w:val="18"/>
              </w:rPr>
            </w:pPr>
            <w:r>
              <w:rPr>
                <w:rFonts w:hint="eastAsia" w:ascii="宋体" w:hAnsi="宋体"/>
                <w:sz w:val="18"/>
                <w:szCs w:val="18"/>
              </w:rPr>
              <w:t>项目总工：</w:t>
            </w:r>
          </w:p>
          <w:p>
            <w:pPr>
              <w:rPr>
                <w:rFonts w:ascii="宋体" w:hAnsi="宋体"/>
                <w:sz w:val="18"/>
                <w:szCs w:val="18"/>
              </w:rPr>
            </w:pPr>
          </w:p>
          <w:p>
            <w:pPr>
              <w:jc w:val="right"/>
              <w:rPr>
                <w:rFonts w:ascii="宋体" w:hAnsi="宋体"/>
                <w:sz w:val="18"/>
                <w:szCs w:val="18"/>
              </w:rPr>
            </w:pPr>
            <w:r>
              <w:rPr>
                <w:rFonts w:hint="eastAsia" w:ascii="宋体" w:hAnsi="宋体"/>
                <w:sz w:val="18"/>
                <w:szCs w:val="18"/>
              </w:rPr>
              <w:t>年  月  日</w:t>
            </w:r>
          </w:p>
        </w:tc>
        <w:tc>
          <w:tcPr>
            <w:tcW w:w="4756" w:type="dxa"/>
            <w:gridSpan w:val="3"/>
            <w:vAlign w:val="center"/>
          </w:tcPr>
          <w:p>
            <w:pPr>
              <w:rPr>
                <w:rFonts w:ascii="宋体" w:hAnsi="宋体"/>
                <w:sz w:val="18"/>
                <w:szCs w:val="18"/>
              </w:rPr>
            </w:pPr>
            <w:r>
              <w:rPr>
                <w:rFonts w:hint="eastAsia" w:ascii="宋体" w:hAnsi="宋体"/>
                <w:sz w:val="18"/>
                <w:szCs w:val="18"/>
              </w:rPr>
              <w:t>项目总监(副总监)：</w:t>
            </w:r>
          </w:p>
          <w:p>
            <w:pPr>
              <w:rPr>
                <w:rFonts w:ascii="宋体" w:hAnsi="宋体"/>
                <w:sz w:val="18"/>
                <w:szCs w:val="18"/>
              </w:rPr>
            </w:pPr>
          </w:p>
          <w:p>
            <w:pPr>
              <w:jc w:val="right"/>
              <w:rPr>
                <w:rFonts w:ascii="宋体" w:hAnsi="宋体"/>
                <w:kern w:val="0"/>
                <w:sz w:val="18"/>
                <w:szCs w:val="18"/>
              </w:rPr>
            </w:pPr>
            <w:r>
              <w:rPr>
                <w:rFonts w:hint="eastAsia" w:ascii="宋体" w:hAnsi="宋体"/>
                <w:sz w:val="18"/>
                <w:szCs w:val="18"/>
              </w:rPr>
              <w:t>年  月  日</w:t>
            </w:r>
          </w:p>
        </w:tc>
      </w:tr>
    </w:tbl>
    <w:p>
      <w:pPr>
        <w:ind w:firstLine="210" w:firstLineChars="100"/>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B7"/>
    <w:rsid w:val="001C2B53"/>
    <w:rsid w:val="0053679C"/>
    <w:rsid w:val="00EB7ED9"/>
    <w:rsid w:val="00EC7AB7"/>
    <w:rsid w:val="00FD41B1"/>
    <w:rsid w:val="2261296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sepco3</Company>
  <Pages>1</Pages>
  <Words>73</Words>
  <Characters>422</Characters>
  <Lines>3</Lines>
  <Paragraphs>1</Paragraphs>
  <TotalTime>0</TotalTime>
  <ScaleCrop>false</ScaleCrop>
  <LinksUpToDate>false</LinksUpToDate>
  <CharactersWithSpaces>494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2015-03-19T06:18:00Z</dcterms:created>
  <dc:creator>pro hu </dc:creator>
  <cp:lastModifiedBy>孙李宾</cp:lastModifiedBy>
  <dcterms:modified xsi:type="dcterms:W3CDTF">2016-05-14T09:12:09Z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