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eastAsia="黑体"/>
          <w:b/>
          <w:sz w:val="28"/>
          <w:szCs w:val="28"/>
        </w:rPr>
      </w:pPr>
      <w:r>
        <w:rPr>
          <w:rFonts w:hint="eastAsia" w:ascii="黑体" w:eastAsia="黑体"/>
          <w:b/>
          <w:sz w:val="28"/>
          <w:szCs w:val="28"/>
        </w:rPr>
        <w:t>接地施工强制性条文执行检查表</w:t>
      </w:r>
    </w:p>
    <w:p>
      <w:pPr>
        <w:jc w:val="center"/>
        <w:rPr>
          <w:rFonts w:hint="eastAsia" w:ascii="黑体" w:eastAsia="黑体"/>
          <w:b/>
          <w:sz w:val="28"/>
          <w:szCs w:val="28"/>
        </w:rPr>
      </w:pPr>
      <w:r>
        <w:rPr>
          <w:rFonts w:hint="eastAsia" w:ascii="黑体" w:eastAsia="黑体"/>
          <w:b/>
          <w:szCs w:val="21"/>
          <w:lang w:val="en-US" w:eastAsia="zh-CN"/>
        </w:rPr>
        <w:t xml:space="preserve">                                                      </w:t>
      </w:r>
      <w:r>
        <w:rPr>
          <w:rFonts w:hint="eastAsia" w:ascii="黑体" w:eastAsia="黑体"/>
          <w:b/>
          <w:szCs w:val="21"/>
        </w:rPr>
        <w:t>编号：</w:t>
      </w:r>
      <w:r>
        <w:rPr>
          <w:rFonts w:hint="eastAsia" w:ascii="黑体" w:eastAsia="黑体"/>
          <w:b/>
          <w:szCs w:val="21"/>
          <w:lang w:val="en-US" w:eastAsia="zh-CN"/>
        </w:rPr>
        <w:t>WFXM-DQQT-006</w:t>
      </w:r>
    </w:p>
    <w:tbl>
      <w:tblPr>
        <w:tblStyle w:val="3"/>
        <w:tblW w:w="8849" w:type="dxa"/>
        <w:jc w:val="center"/>
        <w:tblInd w:w="29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4"/>
        <w:gridCol w:w="421"/>
        <w:gridCol w:w="2899"/>
        <w:gridCol w:w="1606"/>
        <w:gridCol w:w="900"/>
        <w:gridCol w:w="182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单位工程名称</w:t>
            </w:r>
          </w:p>
        </w:tc>
        <w:tc>
          <w:tcPr>
            <w:tcW w:w="2899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Cs/>
                <w:szCs w:val="21"/>
              </w:rPr>
              <w:t>潍坊市滨海经济开发区渔光互补50MWp光伏发电项目开关站电气设备安装</w:t>
            </w:r>
          </w:p>
        </w:tc>
        <w:tc>
          <w:tcPr>
            <w:tcW w:w="1606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分部工程名称</w:t>
            </w:r>
          </w:p>
        </w:tc>
        <w:tc>
          <w:tcPr>
            <w:tcW w:w="2729" w:type="dxa"/>
            <w:gridSpan w:val="2"/>
            <w:vAlign w:val="center"/>
          </w:tcPr>
          <w:p>
            <w:pPr>
              <w:jc w:val="both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sz w:val="18"/>
                <w:szCs w:val="18"/>
              </w:rPr>
              <w:t>开关站接地装置安装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  <w:jc w:val="center"/>
        </w:trPr>
        <w:tc>
          <w:tcPr>
            <w:tcW w:w="1615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施工单位</w:t>
            </w:r>
          </w:p>
        </w:tc>
        <w:tc>
          <w:tcPr>
            <w:tcW w:w="2899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山东电力建设第三工程公司</w:t>
            </w:r>
          </w:p>
        </w:tc>
        <w:tc>
          <w:tcPr>
            <w:tcW w:w="160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检查项目</w:t>
            </w:r>
          </w:p>
        </w:tc>
        <w:tc>
          <w:tcPr>
            <w:tcW w:w="272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屋外接地装置安装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  <w:jc w:val="center"/>
        </w:trPr>
        <w:tc>
          <w:tcPr>
            <w:tcW w:w="1615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6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项目经理</w:t>
            </w:r>
          </w:p>
        </w:tc>
        <w:tc>
          <w:tcPr>
            <w:tcW w:w="2729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赵延春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51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强制性条文内容</w:t>
            </w:r>
          </w:p>
        </w:tc>
        <w:tc>
          <w:tcPr>
            <w:tcW w:w="250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执行情况</w:t>
            </w:r>
          </w:p>
        </w:tc>
        <w:tc>
          <w:tcPr>
            <w:tcW w:w="1829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相关资料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8849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《电气装置安装工程接地装置施工及验收规范》GB50169-2006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194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kern w:val="0"/>
                <w:sz w:val="18"/>
                <w:szCs w:val="18"/>
              </w:rPr>
              <w:t>标准条款号</w:t>
            </w:r>
          </w:p>
        </w:tc>
        <w:tc>
          <w:tcPr>
            <w:tcW w:w="332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</w:p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标准条款内容</w:t>
            </w:r>
          </w:p>
          <w:p>
            <w:pPr>
              <w:widowControl/>
              <w:rPr>
                <w:rFonts w:ascii="宋体" w:hAnsi="宋体"/>
                <w:b/>
                <w:sz w:val="18"/>
                <w:szCs w:val="18"/>
              </w:rPr>
            </w:pPr>
          </w:p>
        </w:tc>
        <w:tc>
          <w:tcPr>
            <w:tcW w:w="250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工程实际执行情况</w:t>
            </w:r>
          </w:p>
        </w:tc>
        <w:tc>
          <w:tcPr>
            <w:tcW w:w="1829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是否符合标准条款要求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4" w:hRule="atLeast"/>
          <w:jc w:val="center"/>
        </w:trPr>
        <w:tc>
          <w:tcPr>
            <w:tcW w:w="1194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第3.2.4条</w:t>
            </w:r>
          </w:p>
        </w:tc>
        <w:tc>
          <w:tcPr>
            <w:tcW w:w="33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人工接地网的敷设应符合以下规定：</w:t>
            </w:r>
          </w:p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1 人工接地网的外缘应闭合，外缘各角应做成圆弧形，外缘的半径不宜小于均压带间距的一半。</w:t>
            </w:r>
          </w:p>
        </w:tc>
        <w:tc>
          <w:tcPr>
            <w:tcW w:w="2506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已执行</w:t>
            </w:r>
          </w:p>
        </w:tc>
        <w:tc>
          <w:tcPr>
            <w:tcW w:w="182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符合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1194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33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2 接地网内应敷设水平均压带，按等间距或不等间距布置。</w:t>
            </w:r>
          </w:p>
        </w:tc>
        <w:tc>
          <w:tcPr>
            <w:tcW w:w="2506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已执行</w:t>
            </w:r>
          </w:p>
        </w:tc>
        <w:tc>
          <w:tcPr>
            <w:tcW w:w="182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符合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7" w:hRule="atLeast"/>
          <w:jc w:val="center"/>
        </w:trPr>
        <w:tc>
          <w:tcPr>
            <w:tcW w:w="1194" w:type="dxa"/>
            <w:tcBorders>
              <w:top w:val="single" w:color="auto" w:sz="4" w:space="0"/>
              <w:bottom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第3.2.5条</w:t>
            </w:r>
          </w:p>
        </w:tc>
        <w:tc>
          <w:tcPr>
            <w:tcW w:w="3320" w:type="dxa"/>
            <w:gridSpan w:val="2"/>
            <w:tcBorders>
              <w:top w:val="single" w:color="auto" w:sz="4" w:space="0"/>
              <w:bottom w:val="single" w:color="auto" w:sz="2" w:space="0"/>
            </w:tcBorders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除临时接地装置外，接地装置应采用热镀锌钢材，水平敷设的可采用圆钢和扁钢，垂直敷设的可采用角钢和钢管。腐蚀比较严重地区的接地装置，应适当加大截面，或采用阴极保护等措施。</w:t>
            </w:r>
          </w:p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 xml:space="preserve">  不得采用铝导体作为接地体或接地线。当采用扁铜带、铜绞线、铜棒、铜包钢绞线、钢镀铜、铝包铜等材料做接地装置时，其连接应符合本规范的规定。</w:t>
            </w:r>
          </w:p>
        </w:tc>
        <w:tc>
          <w:tcPr>
            <w:tcW w:w="2506" w:type="dxa"/>
            <w:gridSpan w:val="2"/>
            <w:tcBorders>
              <w:top w:val="single" w:color="auto" w:sz="4" w:space="0"/>
              <w:bottom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已执行</w:t>
            </w:r>
          </w:p>
        </w:tc>
        <w:tc>
          <w:tcPr>
            <w:tcW w:w="1829" w:type="dxa"/>
            <w:tcBorders>
              <w:top w:val="single" w:color="auto" w:sz="4" w:space="0"/>
              <w:bottom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符合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1" w:hRule="atLeast"/>
          <w:jc w:val="center"/>
        </w:trPr>
        <w:tc>
          <w:tcPr>
            <w:tcW w:w="1194" w:type="dxa"/>
            <w:tcBorders>
              <w:top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第3.3.1条</w:t>
            </w:r>
          </w:p>
        </w:tc>
        <w:tc>
          <w:tcPr>
            <w:tcW w:w="3320" w:type="dxa"/>
            <w:gridSpan w:val="2"/>
            <w:tcBorders>
              <w:top w:val="single" w:color="auto" w:sz="2" w:space="0"/>
            </w:tcBorders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接地体顶面埋设深度应符合设计规定。当无规定时，不应小于0.6m。角钢、钢管、铜棒、铜管等接地体应垂直配置。除接地体外外，接地体引出线的垂直部分和接地装置连接（焊接）部位外侧100mm范围内应做防腐处理；在做防腐处理前，表面必须除锈并去掉焊接处残留的焊药。</w:t>
            </w:r>
          </w:p>
        </w:tc>
        <w:tc>
          <w:tcPr>
            <w:tcW w:w="2506" w:type="dxa"/>
            <w:gridSpan w:val="2"/>
            <w:tcBorders>
              <w:top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sz w:val="20"/>
                <w:szCs w:val="20"/>
              </w:rPr>
              <w:t>已执行</w:t>
            </w:r>
          </w:p>
        </w:tc>
        <w:tc>
          <w:tcPr>
            <w:tcW w:w="1829" w:type="dxa"/>
            <w:tcBorders>
              <w:top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符合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4514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项目总工：</w:t>
            </w:r>
          </w:p>
          <w:p>
            <w:pPr>
              <w:rPr>
                <w:rFonts w:ascii="宋体" w:hAnsi="宋体"/>
                <w:sz w:val="20"/>
                <w:szCs w:val="20"/>
              </w:rPr>
            </w:pPr>
          </w:p>
          <w:p>
            <w:pPr>
              <w:jc w:val="right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年  月  日</w:t>
            </w:r>
          </w:p>
        </w:tc>
        <w:tc>
          <w:tcPr>
            <w:tcW w:w="4335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项目总监(副总监)：</w:t>
            </w:r>
          </w:p>
          <w:p>
            <w:pPr>
              <w:rPr>
                <w:rFonts w:ascii="宋体" w:hAnsi="宋体"/>
                <w:sz w:val="20"/>
                <w:szCs w:val="20"/>
              </w:rPr>
            </w:pPr>
          </w:p>
          <w:p>
            <w:pPr>
              <w:jc w:val="right"/>
              <w:rPr>
                <w:rFonts w:ascii="宋体" w:hAnsi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年  月  日</w:t>
            </w:r>
          </w:p>
        </w:tc>
      </w:tr>
    </w:tbl>
    <w:p>
      <w:pPr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50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oNotDisplayPageBoundaries w:val="1"/>
  <w:bordersDoNotSurroundHeader w:val="1"/>
  <w:bordersDoNotSurroundFooter w:val="1"/>
  <w:documentProtection w:enforcement="0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EBB"/>
    <w:rsid w:val="001C2B53"/>
    <w:rsid w:val="002C1A69"/>
    <w:rsid w:val="0053679C"/>
    <w:rsid w:val="006C2EBB"/>
    <w:rsid w:val="007229FB"/>
    <w:rsid w:val="007E61CC"/>
    <w:rsid w:val="00C05AD9"/>
    <w:rsid w:val="441517F8"/>
  </w:rsids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har"/>
    <w:basedOn w:val="1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sepco3</Company>
  <Pages>1</Pages>
  <Words>108</Words>
  <Characters>616</Characters>
  <Lines>5</Lines>
  <Paragraphs>1</Paragraphs>
  <TotalTime>0</TotalTime>
  <ScaleCrop>false</ScaleCrop>
  <LinksUpToDate>false</LinksUpToDate>
  <CharactersWithSpaces>723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2015-03-19T02:36:00Z</dcterms:created>
  <dc:creator>pro hu </dc:creator>
  <cp:lastModifiedBy>孙李宾</cp:lastModifiedBy>
  <dcterms:modified xsi:type="dcterms:W3CDTF">2016-05-14T09:27:53Z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