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1"/>
        <w:shd w:val="clear" w:color="auto" w:fill="auto"/>
        <w:spacing w:before="624" w:beforeLines="200" w:after="312" w:afterLines="100" w:line="480" w:lineRule="auto"/>
        <w:jc w:val="center"/>
        <w:outlineLvl w:val="0"/>
        <w:rPr>
          <w:rFonts w:hint="eastAsia" w:hAnsi="宋体"/>
          <w:sz w:val="44"/>
          <w:szCs w:val="44"/>
          <w:lang w:val="en-US" w:eastAsia="zh-CN"/>
        </w:rPr>
      </w:pPr>
      <w:bookmarkStart w:id="0" w:name="_Toc14948"/>
      <w:r>
        <w:rPr>
          <w:rFonts w:hint="eastAsia" w:hAnsi="宋体"/>
          <w:sz w:val="44"/>
          <w:szCs w:val="44"/>
          <w:lang w:val="en-US" w:eastAsia="zh-CN"/>
        </w:rPr>
        <w:t>高青德信30</w:t>
      </w:r>
      <w:bookmarkStart w:id="10" w:name="_GoBack"/>
      <w:bookmarkEnd w:id="10"/>
      <w:r>
        <w:rPr>
          <w:rFonts w:hint="eastAsia" w:hAnsi="宋体"/>
          <w:sz w:val="44"/>
          <w:szCs w:val="44"/>
          <w:lang w:val="en-US" w:eastAsia="zh-CN"/>
        </w:rPr>
        <w:t>兆瓦光伏发电项目</w:t>
      </w:r>
      <w:bookmarkEnd w:id="0"/>
    </w:p>
    <w:p>
      <w:pPr>
        <w:pStyle w:val="21"/>
        <w:shd w:val="clear" w:color="auto" w:fill="auto"/>
        <w:spacing w:before="624" w:beforeLines="200" w:after="312" w:afterLines="100" w:line="480" w:lineRule="auto"/>
        <w:jc w:val="center"/>
        <w:outlineLvl w:val="0"/>
        <w:rPr>
          <w:rFonts w:ascii="宋体" w:hAnsi="宋体" w:eastAsia="宋体"/>
          <w:sz w:val="52"/>
          <w:szCs w:val="72"/>
        </w:rPr>
      </w:pPr>
      <w:bookmarkStart w:id="1" w:name="_Toc7219"/>
      <w:r>
        <w:rPr>
          <w:rFonts w:hint="eastAsia" w:hAnsi="宋体"/>
          <w:sz w:val="52"/>
          <w:szCs w:val="72"/>
          <w:lang w:eastAsia="zh-CN"/>
        </w:rPr>
        <w:t>工程建设标准</w:t>
      </w:r>
      <w:r>
        <w:rPr>
          <w:rFonts w:hint="eastAsia" w:ascii="宋体" w:hAnsi="宋体" w:eastAsia="宋体"/>
          <w:sz w:val="52"/>
          <w:szCs w:val="72"/>
        </w:rPr>
        <w:t>强制性条文检查实施计划</w:t>
      </w:r>
      <w:bookmarkEnd w:id="1"/>
    </w:p>
    <w:p>
      <w:pPr>
        <w:pStyle w:val="21"/>
        <w:shd w:val="clear" w:color="auto" w:fill="auto"/>
        <w:spacing w:before="624" w:beforeLines="200" w:after="1092" w:afterLines="350" w:line="240" w:lineRule="auto"/>
        <w:jc w:val="center"/>
        <w:outlineLvl w:val="0"/>
        <w:rPr>
          <w:rFonts w:ascii="宋体" w:hAnsi="宋体" w:eastAsia="宋体"/>
          <w:b/>
          <w:sz w:val="32"/>
          <w:szCs w:val="28"/>
        </w:rPr>
      </w:pPr>
    </w:p>
    <w:p>
      <w:pPr>
        <w:pStyle w:val="21"/>
        <w:shd w:val="clear" w:color="auto" w:fill="auto"/>
        <w:spacing w:before="624" w:beforeLines="200" w:after="780" w:afterLines="250" w:line="240" w:lineRule="auto"/>
        <w:ind w:firstLine="2570" w:firstLineChars="800"/>
        <w:jc w:val="both"/>
        <w:outlineLvl w:val="0"/>
        <w:rPr>
          <w:rFonts w:ascii="宋体" w:hAnsi="宋体" w:eastAsia="宋体"/>
          <w:b/>
          <w:sz w:val="32"/>
          <w:szCs w:val="28"/>
        </w:rPr>
      </w:pPr>
      <w:bookmarkStart w:id="2" w:name="_Toc28580"/>
      <w:r>
        <w:rPr>
          <w:rFonts w:hint="eastAsia" w:ascii="宋体" w:hAnsi="宋体" w:eastAsia="宋体"/>
          <w:b/>
          <w:sz w:val="32"/>
          <w:szCs w:val="28"/>
        </w:rPr>
        <w:t>批  准:</w:t>
      </w:r>
      <w:bookmarkEnd w:id="2"/>
    </w:p>
    <w:p>
      <w:pPr>
        <w:pStyle w:val="21"/>
        <w:shd w:val="clear" w:color="auto" w:fill="auto"/>
        <w:spacing w:before="156" w:beforeLines="50" w:after="156" w:afterLines="50" w:line="240" w:lineRule="auto"/>
        <w:ind w:firstLine="2570" w:firstLineChars="800"/>
        <w:jc w:val="both"/>
        <w:outlineLvl w:val="0"/>
        <w:rPr>
          <w:rFonts w:hint="eastAsia" w:ascii="宋体" w:hAnsi="宋体" w:eastAsia="宋体"/>
          <w:b/>
          <w:sz w:val="32"/>
          <w:szCs w:val="28"/>
          <w:lang w:eastAsia="zh-CN"/>
        </w:rPr>
      </w:pPr>
      <w:bookmarkStart w:id="3" w:name="_Toc6054"/>
      <w:r>
        <w:rPr>
          <w:rFonts w:hint="eastAsia" w:hAnsi="宋体"/>
          <w:b/>
          <w:sz w:val="32"/>
          <w:szCs w:val="28"/>
          <w:lang w:eastAsia="zh-CN"/>
        </w:rPr>
        <w:t>审</w:t>
      </w:r>
      <w:r>
        <w:rPr>
          <w:rFonts w:hint="eastAsia" w:hAnsi="宋体"/>
          <w:b/>
          <w:sz w:val="32"/>
          <w:szCs w:val="28"/>
          <w:lang w:val="en-US" w:eastAsia="zh-CN"/>
        </w:rPr>
        <w:t xml:space="preserve">  </w:t>
      </w:r>
      <w:r>
        <w:rPr>
          <w:rFonts w:hint="eastAsia" w:hAnsi="宋体"/>
          <w:b/>
          <w:sz w:val="32"/>
          <w:szCs w:val="28"/>
          <w:lang w:eastAsia="zh-CN"/>
        </w:rPr>
        <w:t>核：</w:t>
      </w:r>
      <w:bookmarkEnd w:id="3"/>
    </w:p>
    <w:p>
      <w:pPr>
        <w:pStyle w:val="21"/>
        <w:shd w:val="clear" w:color="auto" w:fill="auto"/>
        <w:spacing w:before="624" w:beforeLines="200" w:after="1092" w:afterLines="350" w:line="240" w:lineRule="auto"/>
        <w:ind w:firstLine="2570" w:firstLineChars="800"/>
        <w:jc w:val="both"/>
        <w:outlineLvl w:val="0"/>
        <w:rPr>
          <w:rFonts w:ascii="宋体" w:hAnsi="宋体" w:eastAsia="宋体"/>
          <w:b/>
          <w:sz w:val="32"/>
          <w:szCs w:val="28"/>
        </w:rPr>
      </w:pPr>
      <w:bookmarkStart w:id="4" w:name="_Toc20944"/>
      <w:r>
        <w:rPr>
          <w:rFonts w:hint="eastAsia" w:ascii="宋体" w:hAnsi="宋体" w:eastAsia="宋体"/>
          <w:b/>
          <w:sz w:val="32"/>
          <w:szCs w:val="28"/>
        </w:rPr>
        <w:t>编  写:</w:t>
      </w:r>
      <w:bookmarkEnd w:id="4"/>
    </w:p>
    <w:p>
      <w:pPr>
        <w:pStyle w:val="21"/>
        <w:shd w:val="clear" w:color="auto" w:fill="auto"/>
        <w:spacing w:before="312" w:beforeLines="100" w:after="780" w:afterLines="250" w:line="240" w:lineRule="auto"/>
        <w:jc w:val="center"/>
        <w:outlineLvl w:val="0"/>
        <w:rPr>
          <w:rFonts w:ascii="宋体" w:hAnsi="宋体" w:eastAsia="宋体"/>
          <w:b/>
          <w:sz w:val="32"/>
          <w:szCs w:val="28"/>
        </w:rPr>
      </w:pPr>
    </w:p>
    <w:p>
      <w:pPr>
        <w:pStyle w:val="21"/>
        <w:shd w:val="clear" w:color="auto" w:fill="auto"/>
        <w:spacing w:before="312" w:beforeLines="100" w:after="780" w:afterLines="250" w:line="240" w:lineRule="auto"/>
        <w:jc w:val="center"/>
        <w:outlineLvl w:val="0"/>
        <w:rPr>
          <w:rFonts w:ascii="宋体" w:hAnsi="宋体" w:eastAsia="宋体"/>
          <w:b/>
          <w:sz w:val="32"/>
          <w:szCs w:val="28"/>
        </w:rPr>
      </w:pPr>
    </w:p>
    <w:p>
      <w:pPr>
        <w:pStyle w:val="21"/>
        <w:shd w:val="clear" w:color="auto" w:fill="auto"/>
        <w:spacing w:before="156" w:beforeLines="50" w:after="156" w:afterLines="50" w:line="240" w:lineRule="auto"/>
        <w:jc w:val="center"/>
        <w:outlineLvl w:val="0"/>
        <w:rPr>
          <w:rFonts w:ascii="宋体" w:hAnsi="宋体" w:eastAsia="宋体"/>
          <w:b/>
          <w:sz w:val="32"/>
          <w:szCs w:val="28"/>
        </w:rPr>
      </w:pPr>
      <w:bookmarkStart w:id="5" w:name="_Toc300"/>
      <w:r>
        <w:rPr>
          <w:rFonts w:hint="eastAsia" w:ascii="宋体" w:hAnsi="宋体" w:eastAsia="宋体"/>
          <w:b/>
          <w:sz w:val="32"/>
          <w:szCs w:val="28"/>
        </w:rPr>
        <w:t>常州正衡电力工程监理有限公司</w:t>
      </w:r>
      <w:bookmarkEnd w:id="5"/>
    </w:p>
    <w:p>
      <w:pPr>
        <w:pStyle w:val="21"/>
        <w:shd w:val="clear" w:color="auto" w:fill="auto"/>
        <w:spacing w:before="156" w:beforeLines="50" w:after="156" w:afterLines="50" w:line="240" w:lineRule="auto"/>
        <w:jc w:val="center"/>
        <w:outlineLvl w:val="0"/>
        <w:rPr>
          <w:rFonts w:ascii="宋体" w:hAnsi="宋体" w:eastAsia="宋体"/>
          <w:b/>
          <w:sz w:val="32"/>
          <w:szCs w:val="28"/>
        </w:rPr>
        <w:sectPr>
          <w:footerReference r:id="rId5" w:type="first"/>
          <w:headerReference r:id="rId3" w:type="default"/>
          <w:footerReference r:id="rId4" w:type="default"/>
          <w:pgSz w:w="11906" w:h="16838"/>
          <w:pgMar w:top="1417" w:right="1474" w:bottom="1417" w:left="1474" w:header="851" w:footer="992" w:gutter="0"/>
          <w:pgNumType w:start="0"/>
          <w:cols w:space="720" w:num="1"/>
          <w:docGrid w:type="lines" w:linePitch="312" w:charSpace="0"/>
        </w:sectPr>
      </w:pPr>
      <w:bookmarkStart w:id="6" w:name="_Toc15423"/>
      <w:r>
        <w:rPr>
          <w:rFonts w:hint="eastAsia" w:ascii="宋体" w:hAnsi="宋体" w:eastAsia="宋体"/>
          <w:b/>
          <w:sz w:val="32"/>
          <w:szCs w:val="28"/>
        </w:rPr>
        <w:t>201</w:t>
      </w:r>
      <w:r>
        <w:rPr>
          <w:rFonts w:hint="eastAsia" w:hAnsi="宋体"/>
          <w:b/>
          <w:sz w:val="32"/>
          <w:szCs w:val="28"/>
          <w:lang w:val="en-US" w:eastAsia="zh-CN"/>
        </w:rPr>
        <w:t>6</w:t>
      </w:r>
      <w:r>
        <w:rPr>
          <w:rFonts w:hint="eastAsia" w:ascii="宋体" w:hAnsi="宋体" w:eastAsia="宋体"/>
          <w:b/>
          <w:sz w:val="32"/>
          <w:szCs w:val="28"/>
        </w:rPr>
        <w:t>年</w:t>
      </w:r>
      <w:r>
        <w:rPr>
          <w:rFonts w:hint="eastAsia" w:hAnsi="宋体"/>
          <w:b/>
          <w:sz w:val="32"/>
          <w:szCs w:val="28"/>
          <w:lang w:val="en-US" w:eastAsia="zh-CN"/>
        </w:rPr>
        <w:t>9</w:t>
      </w:r>
      <w:r>
        <w:rPr>
          <w:rFonts w:hint="eastAsia" w:ascii="宋体" w:hAnsi="宋体" w:eastAsia="宋体"/>
          <w:b/>
          <w:sz w:val="32"/>
          <w:szCs w:val="28"/>
        </w:rPr>
        <w:t>月</w:t>
      </w:r>
      <w:bookmarkEnd w:id="6"/>
    </w:p>
    <w:p>
      <w:pPr>
        <w:spacing w:after="312" w:afterLines="100" w:line="480" w:lineRule="auto"/>
        <w:jc w:val="center"/>
        <w:rPr>
          <w:sz w:val="36"/>
          <w:szCs w:val="24"/>
        </w:rPr>
      </w:pPr>
      <w:r>
        <w:rPr>
          <w:rFonts w:hint="eastAsia"/>
          <w:sz w:val="36"/>
          <w:szCs w:val="24"/>
        </w:rPr>
        <w:t>目 录</w:t>
      </w:r>
    </w:p>
    <w:p>
      <w:pPr>
        <w:numPr>
          <w:ilvl w:val="0"/>
          <w:numId w:val="1"/>
        </w:numPr>
        <w:spacing w:after="156" w:afterLines="50" w:line="480" w:lineRule="auto"/>
        <w:rPr>
          <w:rFonts w:hint="eastAsia" w:ascii="宋体" w:hAnsi="宋体" w:eastAsia="宋体" w:cs="宋体"/>
          <w:sz w:val="24"/>
          <w:szCs w:val="24"/>
        </w:rPr>
      </w:pPr>
      <w:r>
        <w:rPr>
          <w:rFonts w:hint="eastAsia"/>
          <w:sz w:val="28"/>
          <w:szCs w:val="24"/>
        </w:rPr>
        <w:t>编制目的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</w:t>
      </w:r>
    </w:p>
    <w:p>
      <w:pPr>
        <w:numPr>
          <w:ilvl w:val="0"/>
          <w:numId w:val="0"/>
        </w:numPr>
        <w:spacing w:after="156" w:afterLines="50" w:line="480" w:lineRule="auto"/>
        <w:rPr>
          <w:sz w:val="28"/>
          <w:szCs w:val="24"/>
        </w:rPr>
      </w:pPr>
      <w:r>
        <w:rPr>
          <w:rFonts w:hint="eastAsia"/>
          <w:sz w:val="28"/>
          <w:szCs w:val="24"/>
        </w:rPr>
        <w:t xml:space="preserve">二、适用范围 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</w:t>
      </w:r>
    </w:p>
    <w:p>
      <w:pPr>
        <w:numPr>
          <w:ilvl w:val="0"/>
          <w:numId w:val="0"/>
        </w:numPr>
        <w:spacing w:after="156" w:afterLines="50" w:line="480" w:lineRule="auto"/>
        <w:rPr>
          <w:sz w:val="28"/>
          <w:szCs w:val="24"/>
        </w:rPr>
      </w:pPr>
      <w:r>
        <w:rPr>
          <w:rFonts w:hint="eastAsia"/>
          <w:sz w:val="28"/>
          <w:szCs w:val="24"/>
        </w:rPr>
        <w:t>三、编制主要依据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</w:t>
      </w:r>
      <w:r>
        <w:rPr>
          <w:rFonts w:hint="eastAsia"/>
          <w:sz w:val="28"/>
          <w:szCs w:val="24"/>
        </w:rPr>
        <w:t xml:space="preserve"> </w:t>
      </w:r>
    </w:p>
    <w:p>
      <w:pPr>
        <w:spacing w:after="156" w:afterLines="50" w:line="480" w:lineRule="auto"/>
        <w:rPr>
          <w:sz w:val="28"/>
          <w:szCs w:val="24"/>
        </w:rPr>
      </w:pPr>
      <w:r>
        <w:rPr>
          <w:rFonts w:hint="eastAsia"/>
          <w:sz w:val="28"/>
          <w:szCs w:val="24"/>
        </w:rPr>
        <w:t xml:space="preserve">四、执行计划 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</w:t>
      </w:r>
    </w:p>
    <w:p>
      <w:pPr>
        <w:spacing w:after="156" w:afterLines="50" w:line="480" w:lineRule="auto"/>
        <w:rPr>
          <w:sz w:val="28"/>
          <w:szCs w:val="24"/>
        </w:rPr>
      </w:pPr>
      <w:r>
        <w:rPr>
          <w:rFonts w:hint="eastAsia"/>
          <w:sz w:val="28"/>
          <w:szCs w:val="24"/>
        </w:rPr>
        <w:t xml:space="preserve">五、管理制度 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2</w:t>
      </w:r>
    </w:p>
    <w:p>
      <w:pPr>
        <w:spacing w:after="156" w:afterLines="50" w:line="480" w:lineRule="auto"/>
        <w:rPr>
          <w:sz w:val="28"/>
          <w:szCs w:val="24"/>
        </w:rPr>
      </w:pPr>
      <w:r>
        <w:rPr>
          <w:rFonts w:hint="eastAsia"/>
          <w:sz w:val="28"/>
          <w:szCs w:val="24"/>
        </w:rPr>
        <w:t>六、检查计划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3</w:t>
      </w:r>
      <w:r>
        <w:rPr>
          <w:rFonts w:hint="eastAsia"/>
          <w:sz w:val="28"/>
          <w:szCs w:val="24"/>
        </w:rPr>
        <w:t xml:space="preserve">  </w:t>
      </w:r>
    </w:p>
    <w:p>
      <w:pPr>
        <w:spacing w:after="156" w:afterLines="50" w:line="480" w:lineRule="auto"/>
        <w:rPr>
          <w:sz w:val="24"/>
          <w:szCs w:val="24"/>
        </w:rPr>
        <w:sectPr>
          <w:footerReference r:id="rId7" w:type="first"/>
          <w:footerReference r:id="rId6" w:type="default"/>
          <w:pgSz w:w="11906" w:h="16838"/>
          <w:pgMar w:top="1440" w:right="1797" w:bottom="1440" w:left="1797" w:header="851" w:footer="992" w:gutter="0"/>
          <w:pgNumType w:fmt="decimal" w:start="1"/>
          <w:cols w:space="720" w:num="1"/>
          <w:titlePg/>
          <w:docGrid w:type="lines" w:linePitch="312" w:charSpace="0"/>
        </w:sectPr>
      </w:pPr>
      <w:r>
        <w:rPr>
          <w:rFonts w:hint="eastAsia"/>
          <w:sz w:val="28"/>
          <w:szCs w:val="24"/>
        </w:rPr>
        <w:t>七、强制性条文流程</w:t>
      </w:r>
      <w:r>
        <w:rPr>
          <w:rFonts w:hint="eastAsia" w:ascii="宋体" w:hAnsi="宋体" w:eastAsia="宋体" w:cs="宋体"/>
          <w:sz w:val="24"/>
          <w:szCs w:val="24"/>
        </w:rPr>
        <w:t>‥‥‥‥‥‥‥‥‥‥‥‥‥‥‥‥‥‥‥</w:t>
      </w:r>
      <w:r>
        <w:rPr>
          <w:rFonts w:hint="eastAsia" w:ascii="宋体" w:hAnsi="宋体" w:cs="宋体"/>
          <w:sz w:val="24"/>
          <w:szCs w:val="24"/>
          <w:lang w:val="en-US" w:eastAsia="zh-CN"/>
        </w:rPr>
        <w:t>11</w:t>
      </w:r>
    </w:p>
    <w:p>
      <w:pPr>
        <w:widowControl/>
        <w:tabs>
          <w:tab w:val="left" w:pos="4785"/>
        </w:tabs>
        <w:spacing w:line="480" w:lineRule="auto"/>
        <w:jc w:val="left"/>
        <w:rPr>
          <w:sz w:val="24"/>
          <w:szCs w:val="24"/>
        </w:rPr>
      </w:pPr>
      <w:r>
        <w:rPr>
          <w:sz w:val="24"/>
          <w:szCs w:val="24"/>
        </w:rPr>
        <w:tab/>
      </w:r>
    </w:p>
    <w:p>
      <w:pPr>
        <w:spacing w:line="360" w:lineRule="auto"/>
        <w:ind w:firstLine="480" w:firstLineChars="200"/>
        <w:rPr>
          <w:sz w:val="24"/>
          <w:szCs w:val="24"/>
        </w:rPr>
      </w:pPr>
      <w:r>
        <w:rPr>
          <w:rFonts w:hint="eastAsia"/>
          <w:sz w:val="24"/>
          <w:szCs w:val="24"/>
        </w:rPr>
        <w:t>电力工程建设执行强制性条文，是贯彻落实《建设工程质量管理条例》、《建设工程安全生产管理条例》、《建设工程勘测设计管理条例》等法律法规的具体体现，是工程建设过程中应强制执行的技术法规，是从源头上、技术上保证该工程安全与质量的关键所在。贯彻工程建设标准强制性条文要认真执行《电力建设施工质量验收阶段监督管理国家强制性工作标准》 ，以确保工程建设的质量与安全。</w:t>
      </w:r>
    </w:p>
    <w:p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一、编制的目的 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为了在本工程建设过程中，强化贯彻执行国家质量安全法律法规和强制性技术标准的执行力度，确保工程建设的质量和安全，实现工程创优达标和国优工程的目标，促进各专业严格贯彻和认真执行强条的具体落实，特编订本实施检查计划。</w:t>
      </w:r>
    </w:p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二、适用范围</w:t>
      </w:r>
    </w:p>
    <w:p>
      <w:pPr>
        <w:tabs>
          <w:tab w:val="left" w:pos="6496"/>
        </w:tabs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本计划适用于</w:t>
      </w:r>
      <w:r>
        <w:rPr>
          <w:rFonts w:hint="eastAsia"/>
          <w:sz w:val="24"/>
          <w:szCs w:val="24"/>
          <w:lang w:eastAsia="zh-CN"/>
        </w:rPr>
        <w:t>冠县凯尔盛新能源有限公司范寨乡</w:t>
      </w:r>
      <w:r>
        <w:rPr>
          <w:rFonts w:hint="eastAsia"/>
          <w:sz w:val="24"/>
          <w:szCs w:val="24"/>
          <w:lang w:val="en-US" w:eastAsia="zh-CN"/>
        </w:rPr>
        <w:t>28MWp农光互补项目</w:t>
      </w:r>
    </w:p>
    <w:p>
      <w:pPr>
        <w:spacing w:line="360" w:lineRule="auto"/>
        <w:jc w:val="left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三、编制依据</w:t>
      </w:r>
    </w:p>
    <w:p>
      <w:pPr>
        <w:spacing w:line="360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1)《</w:t>
      </w:r>
      <w:r>
        <w:fldChar w:fldCharType="begin"/>
      </w:r>
      <w:r>
        <w:instrText xml:space="preserve">HYPERLINK "javascript:gotoAct(29089, 0)" </w:instrText>
      </w:r>
      <w:r>
        <w:fldChar w:fldCharType="separate"/>
      </w:r>
      <w:r>
        <w:rPr>
          <w:rFonts w:hint="eastAsia" w:ascii="宋体" w:hAnsi="宋体"/>
          <w:sz w:val="24"/>
          <w:szCs w:val="24"/>
        </w:rPr>
        <w:t>建设工程质量管理条例</w:t>
      </w:r>
      <w:r>
        <w:fldChar w:fldCharType="end"/>
      </w:r>
      <w:r>
        <w:rPr>
          <w:rFonts w:hint="eastAsia" w:ascii="宋体" w:hAnsi="宋体"/>
          <w:sz w:val="24"/>
          <w:szCs w:val="24"/>
        </w:rPr>
        <w:t>》(国务院令第279号)</w:t>
      </w:r>
    </w:p>
    <w:p>
      <w:pPr>
        <w:spacing w:line="360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2)《</w:t>
      </w:r>
      <w:r>
        <w:fldChar w:fldCharType="begin"/>
      </w:r>
      <w:r>
        <w:instrText xml:space="preserve">HYPERLINK "javascript:gotoAct(83335, 0)" </w:instrText>
      </w:r>
      <w:r>
        <w:fldChar w:fldCharType="separate"/>
      </w:r>
      <w:r>
        <w:rPr>
          <w:rFonts w:hint="eastAsia" w:ascii="宋体" w:hAnsi="宋体"/>
          <w:sz w:val="24"/>
          <w:szCs w:val="24"/>
        </w:rPr>
        <w:t>建设工程安全生产管理条例</w:t>
      </w:r>
      <w:r>
        <w:fldChar w:fldCharType="end"/>
      </w:r>
      <w:r>
        <w:rPr>
          <w:rFonts w:hint="eastAsia" w:ascii="宋体" w:hAnsi="宋体"/>
          <w:sz w:val="24"/>
          <w:szCs w:val="24"/>
        </w:rPr>
        <w:t>》(国务院令第393号)</w:t>
      </w:r>
    </w:p>
    <w:p>
      <w:pPr>
        <w:spacing w:line="360" w:lineRule="auto"/>
        <w:ind w:firstLine="480" w:firstLineChars="200"/>
        <w:rPr>
          <w:rFonts w:ascii="宋体" w:hAnsi="宋体"/>
          <w:sz w:val="24"/>
          <w:szCs w:val="24"/>
        </w:rPr>
      </w:pPr>
      <w:r>
        <w:rPr>
          <w:rFonts w:hint="eastAsia" w:ascii="宋体" w:hAnsi="宋体"/>
          <w:sz w:val="24"/>
          <w:szCs w:val="24"/>
        </w:rPr>
        <w:t>3)《生产安全事故报告和调查处理条例》(国务院令第493号)</w:t>
      </w:r>
    </w:p>
    <w:p>
      <w:pPr>
        <w:pStyle w:val="4"/>
        <w:shd w:val="clear" w:color="auto" w:fill="auto"/>
        <w:spacing w:line="360" w:lineRule="auto"/>
        <w:ind w:firstLine="480" w:firstLineChars="200"/>
        <w:rPr>
          <w:rFonts w:ascii="宋体" w:hAnsi="宋体" w:eastAsia="宋体"/>
          <w:sz w:val="24"/>
          <w:szCs w:val="24"/>
          <w:lang w:val="zh-CN"/>
        </w:rPr>
      </w:pPr>
      <w:r>
        <w:rPr>
          <w:rFonts w:hint="eastAsia" w:ascii="宋体" w:hAnsi="宋体" w:eastAsia="宋体"/>
          <w:sz w:val="24"/>
          <w:szCs w:val="24"/>
        </w:rPr>
        <w:t>4)《特种设备安全监察条例》(国务院令第373号)</w:t>
      </w:r>
    </w:p>
    <w:p>
      <w:pPr>
        <w:pStyle w:val="4"/>
        <w:shd w:val="clear" w:color="auto" w:fill="auto"/>
        <w:spacing w:line="360" w:lineRule="auto"/>
        <w:ind w:firstLine="480" w:firstLineChars="200"/>
        <w:rPr>
          <w:rFonts w:ascii="宋体" w:hAnsi="宋体" w:eastAsia="宋体"/>
          <w:sz w:val="24"/>
          <w:szCs w:val="24"/>
          <w:lang w:val="zh-CN"/>
        </w:rPr>
      </w:pPr>
      <w:r>
        <w:rPr>
          <w:rFonts w:hint="eastAsia" w:ascii="宋体" w:hAnsi="宋体" w:eastAsia="宋体"/>
          <w:sz w:val="24"/>
          <w:szCs w:val="24"/>
        </w:rPr>
        <w:t>5)</w:t>
      </w:r>
      <w:r>
        <w:rPr>
          <w:rFonts w:hint="eastAsia" w:ascii="宋体" w:hAnsi="宋体" w:eastAsia="宋体"/>
          <w:sz w:val="24"/>
          <w:szCs w:val="24"/>
          <w:lang w:val="zh-CN"/>
        </w:rPr>
        <w:t xml:space="preserve">《电气装置安装工程接地装置施工及验收规范》   </w:t>
      </w:r>
      <w:r>
        <w:rPr>
          <w:rFonts w:hint="eastAsia" w:ascii="宋体" w:hAnsi="宋体" w:eastAsia="宋体"/>
          <w:sz w:val="24"/>
          <w:szCs w:val="24"/>
        </w:rPr>
        <w:t>GB 50170—2006</w:t>
      </w:r>
    </w:p>
    <w:p>
      <w:pPr>
        <w:pStyle w:val="4"/>
        <w:shd w:val="clear" w:color="auto" w:fill="auto"/>
        <w:spacing w:line="360" w:lineRule="auto"/>
        <w:ind w:firstLine="480" w:firstLineChars="200"/>
        <w:rPr>
          <w:rFonts w:ascii="宋体" w:hAnsi="宋体" w:eastAsia="宋体"/>
          <w:sz w:val="24"/>
          <w:szCs w:val="24"/>
        </w:rPr>
      </w:pPr>
      <w:r>
        <w:rPr>
          <w:rFonts w:hint="eastAsia" w:ascii="宋体" w:hAnsi="宋体" w:eastAsia="宋体"/>
          <w:sz w:val="24"/>
          <w:szCs w:val="24"/>
        </w:rPr>
        <w:t>6)《关于开展电力工程建设标准强制性条文实施情况检查的通知》（国家电监会办公厅、建设部办公厅电输（2006）8号）</w:t>
      </w:r>
    </w:p>
    <w:p>
      <w:pPr>
        <w:pStyle w:val="21"/>
        <w:shd w:val="clear" w:color="auto" w:fill="auto"/>
        <w:spacing w:before="0" w:after="0" w:line="360" w:lineRule="auto"/>
        <w:ind w:left="21" w:leftChars="10" w:right="68" w:firstLine="480" w:firstLineChars="200"/>
        <w:jc w:val="both"/>
        <w:rPr>
          <w:rFonts w:ascii="宋体" w:hAnsi="宋体" w:eastAsia="宋体"/>
        </w:rPr>
      </w:pPr>
      <w:r>
        <w:rPr>
          <w:rFonts w:hint="eastAsia" w:ascii="宋体" w:hAnsi="宋体" w:eastAsia="宋体"/>
        </w:rPr>
        <w:t>7) 《输变电工程建设标准强制性条文实施管理规程》国家电网科〔2009〕642 号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8）《电力建设工程质量监督检查大纲》（</w:t>
      </w:r>
      <w:r>
        <w:rPr>
          <w:rFonts w:hint="eastAsia"/>
          <w:sz w:val="24"/>
          <w:szCs w:val="24"/>
          <w:lang w:eastAsia="zh-CN"/>
        </w:rPr>
        <w:t>光伏发电</w:t>
      </w:r>
      <w:r>
        <w:rPr>
          <w:rFonts w:hint="eastAsia"/>
          <w:sz w:val="24"/>
          <w:szCs w:val="24"/>
        </w:rPr>
        <w:t>部分20</w:t>
      </w:r>
      <w:r>
        <w:rPr>
          <w:rFonts w:hint="eastAsia"/>
          <w:sz w:val="24"/>
          <w:szCs w:val="24"/>
          <w:lang w:val="en-US" w:eastAsia="zh-CN"/>
        </w:rPr>
        <w:t>12</w:t>
      </w:r>
      <w:r>
        <w:rPr>
          <w:rFonts w:hint="eastAsia"/>
          <w:sz w:val="24"/>
          <w:szCs w:val="24"/>
        </w:rPr>
        <w:t xml:space="preserve">）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9）《实施工程建设强制性标准监督规定》（建设部令第81号2000年8月25日）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10）《电力建设安全工作规程》（</w:t>
      </w:r>
      <w:r>
        <w:rPr>
          <w:rFonts w:hint="eastAsia"/>
          <w:sz w:val="24"/>
          <w:szCs w:val="24"/>
          <w:lang w:eastAsia="zh-CN"/>
        </w:rPr>
        <w:t>光伏</w:t>
      </w:r>
      <w:r>
        <w:rPr>
          <w:rFonts w:hint="eastAsia"/>
          <w:sz w:val="24"/>
          <w:szCs w:val="24"/>
        </w:rPr>
        <w:t>发电厂DL5009.1-</w:t>
      </w:r>
      <w:r>
        <w:rPr>
          <w:rFonts w:hint="eastAsia"/>
          <w:sz w:val="24"/>
          <w:szCs w:val="24"/>
          <w:lang w:val="en-US" w:eastAsia="zh-CN"/>
        </w:rPr>
        <w:t>2014</w:t>
      </w:r>
      <w:r>
        <w:rPr>
          <w:rFonts w:hint="eastAsia"/>
          <w:sz w:val="24"/>
          <w:szCs w:val="24"/>
        </w:rPr>
        <w:t xml:space="preserve">）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11)《工程建设标准强制性条文》电力工程部分 2011版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12)《工程建设标准强制性条文》房屋建筑部分 2013版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13）《电气装置安装工程质量及评定规程》 DL/T5161.1-5161.17-2009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14）国家及行业有关电力工程建设的技术与管理方面的规范、规程、标准。</w:t>
      </w:r>
    </w:p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四、执行计划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4.1 组织机构：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成立强条执行监督检查小组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组  长：</w:t>
      </w:r>
      <w:r>
        <w:rPr>
          <w:rFonts w:hint="eastAsia"/>
          <w:sz w:val="24"/>
          <w:szCs w:val="24"/>
          <w:lang w:val="en-US" w:eastAsia="zh-CN"/>
        </w:rPr>
        <w:t>薛生财</w:t>
      </w:r>
      <w:r>
        <w:rPr>
          <w:rFonts w:hint="eastAsia"/>
          <w:sz w:val="24"/>
          <w:szCs w:val="24"/>
        </w:rPr>
        <w:t xml:space="preserve"> 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成  员：</w:t>
      </w:r>
      <w:r>
        <w:rPr>
          <w:rFonts w:hint="eastAsia"/>
          <w:sz w:val="24"/>
          <w:szCs w:val="24"/>
          <w:lang w:val="en-US" w:eastAsia="zh-CN"/>
        </w:rPr>
        <w:t>郭俊兴</w:t>
      </w:r>
      <w:r>
        <w:rPr>
          <w:rFonts w:hint="eastAsia"/>
          <w:sz w:val="24"/>
          <w:szCs w:val="24"/>
        </w:rPr>
        <w:t xml:space="preserve">  </w:t>
      </w:r>
      <w:r>
        <w:rPr>
          <w:rFonts w:hint="eastAsia"/>
          <w:sz w:val="24"/>
          <w:szCs w:val="24"/>
          <w:lang w:val="en-US" w:eastAsia="zh-CN"/>
        </w:rPr>
        <w:t>李尚明</w:t>
      </w:r>
      <w:r>
        <w:rPr>
          <w:rFonts w:hint="eastAsia"/>
          <w:sz w:val="24"/>
          <w:szCs w:val="24"/>
        </w:rPr>
        <w:t xml:space="preserve">   各专业队长以及质检员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4.2  职责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总体策划：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（1）编制本工程项目强制性条文实施检查计划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（2）编制强制性条文管理计划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（3）实施阶段性强制性条文执行情况检查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（4）公布检查结果，对违反强制性条文的行为提出处理建议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1）编制本工程强制性条文实施计划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2）组织编制本专业的强制性条文的实施细则，并组织贯彻落实。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3）组织经常性的自检，参加工程领导小组组织的阶段性的检查活动，针对检查出的问题提出整改措施，并组织落实，建立整改问题台账，进行管理。</w:t>
      </w:r>
    </w:p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五、建立必要的管理制度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5.1  学习培训制度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1）目的：为了使《工程建设强制性条文》在工程建设期间得到很好的落实，必须加强对《工程建设强制性条文》的宣传和组织培训活动，对参加本工程建设的各专业专职工程师和管理人员熟悉其内容要求，并且在工作中自觉地得到贯彻落实，要求项目部各专职工程师和管理人员一定要掌握本专业有关的《工程建设强制性条文》的内容要求，达到应知应会、知行合一的目的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（2）学习培训对象：项目部各专业工程师及管理人员，各施工队专工、技术员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（3）培训责任领导：项目经理、项目技术负责人、工程部组织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（4）学习内容：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1）《建设工程质量管理条例》（国务院令第279号）；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2）《建设工程安全生产管理条例》（国务院令第393号）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3）《建设工程勘测设计管理条例》（国务院令第293号）；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4）《电力监管条例》（国务院令第432号）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5） 有关强制性条文的的专业内容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（5）学习方式：采用多种形式，包括自学、专业组织集中学习、研讨、请专家讲课、参加本单位组织的学习班等方式，力求达到理解和使用的目的。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（6）培训经费由项目部设立专项资金。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5.2  强条的执行、检查和落实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1）强制性条文和强制性标准的其他条款都应该执行。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2）要求在施工单位编制施工组织设计、专业施工组织设计、施工方案、施工措施、施工作业指导书等文件时，必须有强条的内容和执行的要求。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3）在审批以上文件时，必须检查强制性条文的内容和具体实施措施，没有此内容的一律不得批准。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4）监督检查施工单位在技术交底时，必须提出本项目应该包括的具体强制性条文的内容和实施措施，如何填写施工记录，并按照交底程序管理和记录。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5）工程验收时，一定要首先检查强条的执行情况和记录完善情况，没有执行或没有合格的执行记录可查依据，一律不得验收。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6）违反强条规定者，无论其行为是否一定导致事故的发生，都要按照《建设工程质量管理条例》和建设部81号令的规定进行处罚。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7）在执行中，要特别注重强制性执行条文和强制性标准的时效性，要实施标准动态管理，及时更新，保证执行标准的准确性，对作废的标准要及时清理、发布更替。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8）除应严格执行强制性条文和标准外，对于有的项目还要涉及到其他推荐性的标准，凡是已经列入合同内要求的其他标准，为了保证工程质量、安全，也应必须严格遵守。</w:t>
      </w:r>
    </w:p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六、检查计划  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根据本工程执行的规程内容，有关强制性条文要求及使用表格规定如下：</w:t>
      </w:r>
    </w:p>
    <w:p>
      <w:pPr>
        <w:spacing w:line="360" w:lineRule="auto"/>
        <w:ind w:firstLine="480" w:firstLineChars="200"/>
        <w:jc w:val="left"/>
        <w:rPr>
          <w:sz w:val="24"/>
          <w:szCs w:val="24"/>
        </w:rPr>
      </w:pPr>
    </w:p>
    <w:p>
      <w:pPr>
        <w:widowControl/>
        <w:ind w:firstLine="480" w:firstLineChars="200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6.1 施工强条实施计划表</w:t>
      </w:r>
      <w:r>
        <w:rPr>
          <w:sz w:val="24"/>
          <w:szCs w:val="24"/>
        </w:rPr>
        <w:br w:type="page"/>
      </w:r>
    </w:p>
    <w:tbl>
      <w:tblPr>
        <w:tblStyle w:val="20"/>
        <w:tblpPr w:leftFromText="180" w:rightFromText="180" w:vertAnchor="text" w:horzAnchor="margin" w:tblpXSpec="left" w:tblpY="122"/>
        <w:tblW w:w="9180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8"/>
        <w:gridCol w:w="419"/>
        <w:gridCol w:w="452"/>
        <w:gridCol w:w="420"/>
        <w:gridCol w:w="420"/>
        <w:gridCol w:w="429"/>
        <w:gridCol w:w="2410"/>
        <w:gridCol w:w="527"/>
        <w:gridCol w:w="425"/>
        <w:gridCol w:w="425"/>
        <w:gridCol w:w="2694"/>
        <w:gridCol w:w="14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255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 xml:space="preserve"> 责任单位</w:t>
            </w:r>
          </w:p>
        </w:tc>
        <w:tc>
          <w:tcPr>
            <w:tcW w:w="2694" w:type="dxa"/>
            <w:vMerge w:val="restart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强制性条文执行表号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244" w:hRule="atLeast"/>
        </w:trPr>
        <w:tc>
          <w:tcPr>
            <w:tcW w:w="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设计单位</w:t>
            </w:r>
          </w:p>
        </w:tc>
        <w:tc>
          <w:tcPr>
            <w:tcW w:w="2694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kern w:val="0"/>
                <w:sz w:val="20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15" w:hRule="atLeast"/>
        </w:trPr>
        <w:tc>
          <w:tcPr>
            <w:tcW w:w="41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kern w:val="0"/>
                <w:sz w:val="18"/>
                <w:szCs w:val="18"/>
              </w:rPr>
              <w:t>01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房屋建（构）筑物工程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√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1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b/>
                <w:kern w:val="0"/>
                <w:sz w:val="18"/>
                <w:szCs w:val="18"/>
              </w:rPr>
              <w:t>01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综合楼、中控楼、室外设备基础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地基与基础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4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土石方工程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7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土石方开挖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7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vMerge w:val="continue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混凝土基础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7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垫层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2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基础模板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表10.1.2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基础钢筋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表10.3.2、10.4.2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基础混凝土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26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主体结构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0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混凝土结构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9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模板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表10.1.2、10.2.2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钢筋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表10.3.2、10.4.2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3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混凝土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nil"/>
              <w:right w:val="nil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砌体工程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5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砖砌体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表9.1.2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4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建筑装饰装修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15" w:hRule="atLeast"/>
        </w:trPr>
        <w:tc>
          <w:tcPr>
            <w:tcW w:w="418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52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地面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24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15" w:hRule="atLeast"/>
        </w:trPr>
        <w:tc>
          <w:tcPr>
            <w:tcW w:w="41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基层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color w:val="FF0000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21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面层</w:t>
            </w:r>
          </w:p>
        </w:tc>
        <w:tc>
          <w:tcPr>
            <w:tcW w:w="527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表12.1.2、12.10.2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抹灰与勾缝</w:t>
            </w:r>
          </w:p>
        </w:tc>
        <w:tc>
          <w:tcPr>
            <w:tcW w:w="527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center"/>
          </w:tcPr>
          <w:p>
            <w:pPr>
              <w:rPr>
                <w:rFonts w:ascii="宋体" w:hAns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一般抹灰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表12.2.2、12.10.2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门窗</w:t>
            </w:r>
          </w:p>
        </w:tc>
        <w:tc>
          <w:tcPr>
            <w:tcW w:w="527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24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金属门窗安装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表12.3.2、12.10.2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建筑屋面</w:t>
            </w:r>
          </w:p>
        </w:tc>
        <w:tc>
          <w:tcPr>
            <w:tcW w:w="527" w:type="dxa"/>
            <w:vAlign w:val="bottom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62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center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屋面找平层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Merge w:val="restart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表13.0.2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2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屋面保温层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Merge w:val="continue"/>
            <w:vAlign w:val="center"/>
          </w:tcPr>
          <w:p>
            <w:pPr>
              <w:spacing w:line="240" w:lineRule="atLeast"/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屋面卷材防水层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屋面工程细部构造</w:t>
            </w:r>
          </w:p>
        </w:tc>
        <w:tc>
          <w:tcPr>
            <w:tcW w:w="527" w:type="dxa"/>
            <w:vAlign w:val="bottom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spacing w:line="240" w:lineRule="atLeast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建筑给水及排水</w:t>
            </w:r>
          </w:p>
        </w:tc>
        <w:tc>
          <w:tcPr>
            <w:tcW w:w="527" w:type="dxa"/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室内给水系统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室内给水管道及配件安装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室内给水设备安装</w:t>
            </w:r>
          </w:p>
        </w:tc>
        <w:tc>
          <w:tcPr>
            <w:tcW w:w="527" w:type="dxa"/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center"/>
          </w:tcPr>
          <w:p>
            <w:pPr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室内排水系统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255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责任单位</w:t>
            </w:r>
          </w:p>
        </w:tc>
        <w:tc>
          <w:tcPr>
            <w:tcW w:w="2835" w:type="dxa"/>
            <w:gridSpan w:val="2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4" w:hRule="atLeast"/>
        </w:trPr>
        <w:tc>
          <w:tcPr>
            <w:tcW w:w="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设计单位</w:t>
            </w:r>
          </w:p>
        </w:tc>
        <w:tc>
          <w:tcPr>
            <w:tcW w:w="2835" w:type="dxa"/>
            <w:gridSpan w:val="2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强制性条文执行表号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18" w:type="dxa"/>
            <w:vMerge w:val="restart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室内排水管道及配件安装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雨水管道及配件安装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6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06</w:t>
            </w: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建筑电气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3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电气动力、照明安装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动力、照明配电箱(盘)安装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restart"/>
            <w:tcBorders>
              <w:top w:val="nil"/>
              <w:left w:val="nil"/>
              <w:right w:val="single" w:color="auto" w:sz="4" w:space="0"/>
            </w:tcBorders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表15.0.2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电线导管、电缆导管和线槽敷设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电线、电缆穿管和线槽敷线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1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nil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电缆头制作、接线和线路绝缘测试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spacing w:line="240" w:lineRule="atLeast"/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5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03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灯具安装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" w:hRule="atLeast"/>
        </w:trPr>
        <w:tc>
          <w:tcPr>
            <w:tcW w:w="418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开关、插座安装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418" w:type="dxa"/>
            <w:vMerge w:val="continue"/>
            <w:tcBorders>
              <w:left w:val="single" w:color="auto" w:sz="4" w:space="0"/>
              <w:bottom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04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建筑物照明通电试运行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tcBorders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7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tcBorders>
              <w:top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07</w:t>
            </w:r>
          </w:p>
        </w:tc>
        <w:tc>
          <w:tcPr>
            <w:tcW w:w="420" w:type="dxa"/>
            <w:tcBorders>
              <w:top w:val="single" w:color="auto" w:sz="4" w:space="0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top w:val="single" w:color="auto" w:sz="4" w:space="0"/>
              <w:lef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通风与空调</w:t>
            </w:r>
          </w:p>
        </w:tc>
        <w:tc>
          <w:tcPr>
            <w:tcW w:w="527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9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lef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通风工程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restart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8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bottom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通风机安装</w:t>
            </w:r>
          </w:p>
        </w:tc>
        <w:tc>
          <w:tcPr>
            <w:tcW w:w="527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Merge w:val="continue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2410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通风与空调系统调试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Merge w:val="continue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restart"/>
            <w:vAlign w:val="top"/>
          </w:tcPr>
          <w:p>
            <w:pPr>
              <w:widowControl/>
              <w:jc w:val="left"/>
              <w:rPr>
                <w:rFonts w:ascii="宋体" w:hAnsi="宋体" w:cs="宋体"/>
                <w:b/>
                <w:kern w:val="0"/>
                <w:sz w:val="18"/>
                <w:szCs w:val="18"/>
              </w:rPr>
            </w:pPr>
            <w:r>
              <w:rPr>
                <w:rFonts w:ascii="宋体" w:hAnsi="宋体" w:cs="宋体"/>
                <w:b/>
                <w:kern w:val="0"/>
                <w:sz w:val="18"/>
                <w:szCs w:val="18"/>
              </w:rPr>
              <w:t>02</w:t>
            </w:r>
          </w:p>
        </w:tc>
        <w:tc>
          <w:tcPr>
            <w:tcW w:w="419" w:type="dxa"/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cs="宋体"/>
                <w:b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kern w:val="0"/>
                <w:sz w:val="18"/>
                <w:szCs w:val="18"/>
              </w:rPr>
              <w:t>基础工程</w:t>
            </w:r>
          </w:p>
        </w:tc>
        <w:tc>
          <w:tcPr>
            <w:tcW w:w="527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spacing w:line="240" w:lineRule="atLeast"/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01</w:t>
            </w:r>
          </w:p>
        </w:tc>
        <w:tc>
          <w:tcPr>
            <w:tcW w:w="452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/>
                <w:bCs/>
                <w:sz w:val="18"/>
                <w:szCs w:val="18"/>
              </w:rPr>
            </w:pPr>
            <w:r>
              <w:rPr>
                <w:rFonts w:hint="eastAsia" w:ascii="宋体" w:hAnsi="宋体"/>
                <w:bCs/>
                <w:sz w:val="18"/>
                <w:szCs w:val="18"/>
              </w:rPr>
              <w:t>组件支架基础工程</w:t>
            </w:r>
          </w:p>
        </w:tc>
        <w:tc>
          <w:tcPr>
            <w:tcW w:w="527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hAns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地基与基础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定位及高程控制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单位工程定位放线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混凝土基础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模板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钢筋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混凝土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预埋件安装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cs="宋体"/>
                <w:kern w:val="0"/>
                <w:sz w:val="18"/>
                <w:szCs w:val="18"/>
              </w:rPr>
              <w:t>地脚螺栓安装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40" w:hRule="exact"/>
        </w:trPr>
        <w:tc>
          <w:tcPr>
            <w:tcW w:w="418" w:type="dxa"/>
            <w:vMerge w:val="restart"/>
            <w:vAlign w:val="top"/>
          </w:tcPr>
          <w:p>
            <w:pPr>
              <w:rPr>
                <w:b/>
                <w:bCs/>
                <w:sz w:val="18"/>
                <w:szCs w:val="18"/>
              </w:rPr>
            </w:pPr>
            <w:r>
              <w:rPr>
                <w:rFonts w:hint="eastAsia"/>
                <w:b/>
                <w:bCs/>
                <w:sz w:val="18"/>
                <w:szCs w:val="18"/>
              </w:rPr>
              <w:t>03</w:t>
            </w:r>
          </w:p>
        </w:tc>
        <w:tc>
          <w:tcPr>
            <w:tcW w:w="419" w:type="dxa"/>
            <w:vAlign w:val="top"/>
          </w:tcPr>
          <w:p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52" w:type="dxa"/>
            <w:vAlign w:val="top"/>
          </w:tcPr>
          <w:p>
            <w:pPr>
              <w:rPr>
                <w:b/>
                <w:bCs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b/>
                <w:bCs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b/>
                <w:bCs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b/>
                <w:bCs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 w:hAnsi="宋体" w:cs="宋体"/>
                <w:b/>
                <w:bCs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b/>
                <w:bCs/>
                <w:kern w:val="0"/>
                <w:sz w:val="18"/>
                <w:szCs w:val="18"/>
              </w:rPr>
              <w:t>附属工程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52" w:type="dxa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厂区道路、围栏、旗台及大门</w:t>
            </w:r>
          </w:p>
        </w:tc>
        <w:tc>
          <w:tcPr>
            <w:tcW w:w="527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厂区道路</w:t>
            </w:r>
          </w:p>
        </w:tc>
        <w:tc>
          <w:tcPr>
            <w:tcW w:w="527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bottom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路基</w:t>
            </w:r>
          </w:p>
        </w:tc>
        <w:tc>
          <w:tcPr>
            <w:tcW w:w="527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基层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>
            <w:pPr>
              <w:spacing w:line="240" w:lineRule="atLeast"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ind w:left="-105" w:leftChars="-50" w:right="-105" w:rightChars="-50"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表12.1.2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水泥混凝土路面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泥结碎石路面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2835" w:type="dxa"/>
            <w:gridSpan w:val="2"/>
            <w:vAlign w:val="center"/>
          </w:tcPr>
          <w:p>
            <w:pPr>
              <w:widowControl/>
              <w:jc w:val="left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85" w:hRule="atLeast"/>
        </w:trPr>
        <w:tc>
          <w:tcPr>
            <w:tcW w:w="255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工程编号</w:t>
            </w:r>
          </w:p>
        </w:tc>
        <w:tc>
          <w:tcPr>
            <w:tcW w:w="2410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工程名称</w:t>
            </w:r>
          </w:p>
        </w:tc>
        <w:tc>
          <w:tcPr>
            <w:tcW w:w="1377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ind w:firstLine="180" w:firstLineChars="100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责任单位</w:t>
            </w:r>
          </w:p>
        </w:tc>
        <w:tc>
          <w:tcPr>
            <w:tcW w:w="2694" w:type="dxa"/>
            <w:tcBorders>
              <w:top w:val="single" w:color="auto" w:sz="4" w:space="0"/>
              <w:left w:val="nil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244" w:hRule="atLeast"/>
        </w:trPr>
        <w:tc>
          <w:tcPr>
            <w:tcW w:w="418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单位工程</w:t>
            </w:r>
          </w:p>
        </w:tc>
        <w:tc>
          <w:tcPr>
            <w:tcW w:w="41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子单位工程</w:t>
            </w:r>
          </w:p>
        </w:tc>
        <w:tc>
          <w:tcPr>
            <w:tcW w:w="45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子分部工程</w:t>
            </w:r>
          </w:p>
        </w:tc>
        <w:tc>
          <w:tcPr>
            <w:tcW w:w="42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分项工程</w:t>
            </w:r>
          </w:p>
        </w:tc>
        <w:tc>
          <w:tcPr>
            <w:tcW w:w="42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检验批</w:t>
            </w:r>
          </w:p>
        </w:tc>
        <w:tc>
          <w:tcPr>
            <w:tcW w:w="2410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施工单位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勘测单位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20"/>
              </w:rPr>
              <w:t>设计单位</w:t>
            </w:r>
          </w:p>
        </w:tc>
        <w:tc>
          <w:tcPr>
            <w:tcW w:w="2694" w:type="dxa"/>
            <w:tcBorders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cs="宋体"/>
                <w:kern w:val="0"/>
                <w:sz w:val="20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强制性条文执行表号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315" w:hRule="atLeast"/>
        </w:trPr>
        <w:tc>
          <w:tcPr>
            <w:tcW w:w="418" w:type="dxa"/>
            <w:vMerge w:val="restart"/>
            <w:tcBorders>
              <w:top w:val="nil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widowControl/>
              <w:jc w:val="center"/>
              <w:rPr>
                <w:rFonts w:ascii="宋体" w:cs="宋体"/>
                <w:kern w:val="0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nil"/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ind w:left="-50" w:right="-50"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tabs>
                <w:tab w:val="left" w:pos="720"/>
              </w:tabs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/>
                <w:spacing w:val="-16"/>
                <w:sz w:val="18"/>
                <w:szCs w:val="18"/>
              </w:rPr>
              <w:t>室外给水管道及井室工程</w:t>
            </w:r>
          </w:p>
        </w:tc>
        <w:tc>
          <w:tcPr>
            <w:tcW w:w="5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ind w:left="-105" w:leftChars="-50" w:right="-105" w:rightChars="-50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表14.4.2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21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spacing w:line="230" w:lineRule="atLeas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室外排水管道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405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tabs>
                <w:tab w:val="left" w:pos="720"/>
              </w:tabs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垫层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表10.5.2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249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vAlign w:val="top"/>
          </w:tcPr>
          <w:p>
            <w:pPr>
              <w:ind w:left="-50" w:right="-50"/>
              <w:jc w:val="center"/>
              <w:rPr>
                <w:rFonts w:ascii="宋体" w:hAnsi="宋体" w:cs="Arial"/>
                <w:sz w:val="18"/>
                <w:szCs w:val="18"/>
              </w:rPr>
            </w:pPr>
            <w:r>
              <w:rPr>
                <w:rFonts w:hint="eastAsia" w:ascii="宋体" w:hAnsi="宋体" w:cs="Arial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排水管道安装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>
            <w:pPr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694" w:type="dxa"/>
            <w:vMerge w:val="restart"/>
            <w:vAlign w:val="center"/>
          </w:tcPr>
          <w:p>
            <w:pPr>
              <w:ind w:left="-105" w:leftChars="-50" w:right="-105" w:rightChars="-50"/>
              <w:jc w:val="left"/>
              <w:rPr>
                <w:rFonts w:ascii="宋体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   表14.4.2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98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管道安装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消防水泵结合器及室外消火栓安装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Merge w:val="continue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19" w:type="dxa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光伏电站安装工程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01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支架安装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固定支架安装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center"/>
          </w:tcPr>
          <w:p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02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组件安装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光伏组件安装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center"/>
          </w:tcPr>
          <w:p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组串内接线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03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汇流箱安装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箱体安装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汇流箱箱体安装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center"/>
          </w:tcPr>
          <w:p>
            <w:pPr>
              <w:widowControl/>
              <w:jc w:val="left"/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汇流箱接线及回路检查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汇流箱接线及回路检查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04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逆变器室设备安装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表14.2.2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逆变器柜(箱)体安装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逆变器接线及回路检查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区数据采集柜接线及回路检查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05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35kv箱式变压器安装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变压器基础安装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变压器基础安装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变压器本体安装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变压器本体安装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变压器检查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06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电气设备安装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控制及直流系统设备安装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电控室控制及保护屏台安装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电控室二次回路检查及接线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直流屏及充电设备安装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直流屏二次回路检查及接线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蓄电池安装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35KV配电装置安装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配电盘安装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母线安装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断路器检查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二次回路检查及接线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pacing w:val="-8"/>
                <w:sz w:val="18"/>
                <w:szCs w:val="18"/>
              </w:rPr>
              <w:t>箱式升压变压器安装（1区-16区）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07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35KV配电装置带电试运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站（场）用配电装置安装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盘柜基础安装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PC（动力中心）盘安装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03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母线安装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04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二次回路检查及接线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05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就地动力控制设备安装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06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站（场）用变压器安装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center"/>
          </w:tcPr>
          <w:p>
            <w:pPr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hAnsi="宋体"/>
                <w:spacing w:val="-20"/>
                <w:sz w:val="18"/>
                <w:szCs w:val="18"/>
              </w:rPr>
              <w:t>07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ind w:right="-100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站（场）用电系统设备带电试运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07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线路及电缆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</w:p>
        </w:tc>
        <w:tc>
          <w:tcPr>
            <w:tcW w:w="425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2694" w:type="dxa"/>
            <w:vAlign w:val="center"/>
          </w:tcPr>
          <w:p>
            <w:pPr>
              <w:rPr>
                <w:sz w:val="18"/>
                <w:szCs w:val="1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电缆管配制及敷设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电缆敷设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03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电力电缆终端制作及安装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04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控制电缆终端制作及安装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05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电缆防火与阻燃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restart"/>
            <w:vAlign w:val="top"/>
          </w:tcPr>
          <w:p>
            <w:pPr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08</w:t>
            </w:r>
          </w:p>
        </w:tc>
        <w:tc>
          <w:tcPr>
            <w:tcW w:w="420" w:type="dxa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b/>
                <w:bCs/>
                <w:sz w:val="18"/>
                <w:szCs w:val="18"/>
              </w:rPr>
              <w:t>防雷与接地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室外接地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室外接地装置安装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widowControl/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widowControl/>
              <w:jc w:val="left"/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主接地装置安装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restart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02</w:t>
            </w: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室内接地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表5.1.2、5.2.2、5.3.2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41" w:type="dxa"/>
          <w:trHeight w:val="173" w:hRule="atLeast"/>
        </w:trPr>
        <w:tc>
          <w:tcPr>
            <w:tcW w:w="418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19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52" w:type="dxa"/>
            <w:vMerge w:val="continue"/>
            <w:vAlign w:val="top"/>
          </w:tcPr>
          <w:p>
            <w:pPr>
              <w:rPr>
                <w:sz w:val="18"/>
                <w:szCs w:val="18"/>
              </w:rPr>
            </w:pPr>
          </w:p>
        </w:tc>
        <w:tc>
          <w:tcPr>
            <w:tcW w:w="420" w:type="dxa"/>
            <w:vMerge w:val="continue"/>
            <w:tcBorders>
              <w:left w:val="nil"/>
              <w:right w:val="single" w:color="auto" w:sz="4" w:space="0"/>
            </w:tcBorders>
            <w:vAlign w:val="top"/>
          </w:tcPr>
          <w:p>
            <w:pPr>
              <w:ind w:left="-105" w:right="-105"/>
              <w:jc w:val="center"/>
              <w:rPr>
                <w:rFonts w:ascii="宋体" w:cs="Arial"/>
                <w:sz w:val="18"/>
                <w:szCs w:val="18"/>
              </w:rPr>
            </w:pPr>
          </w:p>
        </w:tc>
        <w:tc>
          <w:tcPr>
            <w:tcW w:w="420" w:type="dxa"/>
            <w:vAlign w:val="top"/>
          </w:tcPr>
          <w:p>
            <w:pPr>
              <w:ind w:left="-50" w:right="-50"/>
              <w:jc w:val="center"/>
              <w:rPr>
                <w:rFonts w:ascii="宋体" w:cs="Arial"/>
                <w:sz w:val="18"/>
                <w:szCs w:val="18"/>
              </w:rPr>
            </w:pPr>
            <w:r>
              <w:rPr>
                <w:rFonts w:hint="eastAsia" w:ascii="宋体" w:cs="Arial"/>
                <w:sz w:val="18"/>
                <w:szCs w:val="18"/>
              </w:rPr>
              <w:t>01</w:t>
            </w:r>
          </w:p>
        </w:tc>
        <w:tc>
          <w:tcPr>
            <w:tcW w:w="429" w:type="dxa"/>
            <w:vAlign w:val="center"/>
          </w:tcPr>
          <w:p>
            <w:pPr>
              <w:ind w:left="-105" w:leftChars="-50" w:right="-105" w:rightChars="-50"/>
              <w:jc w:val="center"/>
              <w:rPr>
                <w:rFonts w:ascii="宋体"/>
                <w:sz w:val="18"/>
                <w:szCs w:val="18"/>
              </w:rPr>
            </w:pPr>
          </w:p>
        </w:tc>
        <w:tc>
          <w:tcPr>
            <w:tcW w:w="2410" w:type="dxa"/>
            <w:vAlign w:val="center"/>
          </w:tcPr>
          <w:p>
            <w:pPr>
              <w:rPr>
                <w:rFonts w:ascii="宋体" w:hAnsi="宋体"/>
                <w:sz w:val="18"/>
                <w:szCs w:val="18"/>
              </w:rPr>
            </w:pPr>
            <w:r>
              <w:rPr>
                <w:rFonts w:hint="eastAsia" w:ascii="宋体" w:hAnsi="宋体"/>
                <w:sz w:val="18"/>
                <w:szCs w:val="18"/>
              </w:rPr>
              <w:t>室内接地装置安装</w:t>
            </w:r>
          </w:p>
        </w:tc>
        <w:tc>
          <w:tcPr>
            <w:tcW w:w="527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○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rFonts w:ascii="宋体" w:hAnsi="宋体" w:cs="宋体"/>
                <w:kern w:val="0"/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●</w:t>
            </w:r>
          </w:p>
        </w:tc>
        <w:tc>
          <w:tcPr>
            <w:tcW w:w="425" w:type="dxa"/>
            <w:vAlign w:val="bottom"/>
          </w:tcPr>
          <w:p>
            <w:pPr>
              <w:widowControl/>
              <w:jc w:val="center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　</w:t>
            </w:r>
          </w:p>
        </w:tc>
        <w:tc>
          <w:tcPr>
            <w:tcW w:w="2694" w:type="dxa"/>
            <w:vAlign w:val="bottom"/>
          </w:tcPr>
          <w:p>
            <w:pPr>
              <w:jc w:val="left"/>
              <w:rPr>
                <w:sz w:val="18"/>
                <w:szCs w:val="18"/>
              </w:rPr>
            </w:pPr>
            <w:r>
              <w:rPr>
                <w:rFonts w:hint="eastAsia" w:ascii="宋体" w:hAnsi="宋体" w:cs="宋体"/>
                <w:kern w:val="0"/>
                <w:sz w:val="18"/>
                <w:szCs w:val="18"/>
              </w:rPr>
              <w:t>表4.0.2</w:t>
            </w:r>
          </w:p>
        </w:tc>
      </w:tr>
    </w:tbl>
    <w:p>
      <w:pPr>
        <w:spacing w:line="360" w:lineRule="auto"/>
        <w:ind w:firstLine="480" w:firstLineChars="200"/>
        <w:jc w:val="left"/>
        <w:rPr>
          <w:sz w:val="24"/>
          <w:szCs w:val="24"/>
        </w:rPr>
      </w:pPr>
    </w:p>
    <w:p>
      <w:pPr>
        <w:widowControl/>
        <w:jc w:val="left"/>
        <w:rPr>
          <w:sz w:val="24"/>
          <w:szCs w:val="24"/>
        </w:rPr>
      </w:pPr>
      <w:r>
        <w:rPr>
          <w:sz w:val="24"/>
          <w:szCs w:val="24"/>
        </w:rPr>
        <w:br w:type="page"/>
      </w:r>
    </w:p>
    <w:p>
      <w:pPr>
        <w:rPr>
          <w:rFonts w:ascii="宋体" w:hAnsi="宋体"/>
          <w:szCs w:val="21"/>
        </w:rPr>
      </w:pPr>
      <w:r>
        <w:rPr>
          <w:rFonts w:hint="eastAsia" w:ascii="宋体" w:hAnsi="宋体"/>
          <w:spacing w:val="10"/>
          <w:sz w:val="24"/>
        </w:rPr>
        <w:t>6.2 施工强条执行检查表</w:t>
      </w:r>
    </w:p>
    <w:p>
      <w:pPr>
        <w:pStyle w:val="24"/>
        <w:spacing w:before="156" w:beforeLines="50"/>
        <w:rPr>
          <w:rFonts w:ascii="宋体" w:hAnsi="宋体" w:eastAsia="宋体"/>
          <w:color w:val="000000"/>
          <w:kern w:val="21"/>
          <w:sz w:val="24"/>
          <w:szCs w:val="24"/>
        </w:rPr>
      </w:pPr>
      <w:bookmarkStart w:id="7" w:name="_Toc18308"/>
      <w:r>
        <w:rPr>
          <w:rFonts w:hint="eastAsia" w:ascii="宋体" w:hAnsi="宋体" w:eastAsia="宋体"/>
          <w:color w:val="000000"/>
          <w:kern w:val="21"/>
        </w:rPr>
        <w:t>表</w:t>
      </w:r>
      <w:r>
        <w:rPr>
          <w:rFonts w:ascii="宋体" w:hAnsi="宋体" w:eastAsia="宋体"/>
          <w:b/>
          <w:kern w:val="21"/>
        </w:rPr>
        <w:t>JXM</w:t>
      </w:r>
      <w:r>
        <w:rPr>
          <w:rFonts w:hint="eastAsia" w:ascii="宋体" w:hAnsi="宋体" w:eastAsia="宋体"/>
          <w:b/>
          <w:kern w:val="21"/>
        </w:rPr>
        <w:t>B</w:t>
      </w:r>
      <w:r>
        <w:rPr>
          <w:rFonts w:ascii="宋体" w:hAnsi="宋体" w:eastAsia="宋体"/>
          <w:b/>
          <w:kern w:val="21"/>
        </w:rPr>
        <w:t>4</w:t>
      </w:r>
      <w:r>
        <w:rPr>
          <w:rFonts w:hint="eastAsia" w:ascii="宋体" w:hAnsi="宋体" w:eastAsia="宋体"/>
          <w:b/>
          <w:kern w:val="21"/>
        </w:rPr>
        <w:t>-1</w:t>
      </w:r>
      <w:r>
        <w:rPr>
          <w:rFonts w:hint="eastAsia" w:ascii="宋体" w:hAnsi="宋体" w:eastAsia="宋体"/>
          <w:kern w:val="21"/>
        </w:rPr>
        <w:t xml:space="preserve">  变电站</w:t>
      </w:r>
      <w:r>
        <w:rPr>
          <w:rFonts w:ascii="宋体" w:hAnsi="宋体" w:eastAsia="宋体"/>
          <w:kern w:val="21"/>
        </w:rPr>
        <w:t>工程</w:t>
      </w:r>
      <w:r>
        <w:rPr>
          <w:rFonts w:hint="eastAsia" w:ascii="宋体" w:hAnsi="宋体" w:eastAsia="宋体"/>
          <w:kern w:val="21"/>
        </w:rPr>
        <w:t>建设标准</w:t>
      </w:r>
      <w:r>
        <w:rPr>
          <w:rFonts w:ascii="宋体" w:hAnsi="宋体" w:eastAsia="宋体"/>
          <w:kern w:val="21"/>
        </w:rPr>
        <w:t>强制性条文执行检查表</w:t>
      </w:r>
      <w:r>
        <w:rPr>
          <w:rFonts w:hint="eastAsia" w:ascii="宋体" w:hAnsi="宋体" w:eastAsia="宋体"/>
          <w:kern w:val="21"/>
        </w:rPr>
        <w:t xml:space="preserve">                        </w:t>
      </w:r>
      <w:r>
        <w:rPr>
          <w:rStyle w:val="33"/>
          <w:rFonts w:hint="eastAsia" w:ascii="宋体" w:hAnsi="宋体" w:eastAsia="宋体"/>
          <w:sz w:val="18"/>
          <w:szCs w:val="18"/>
        </w:rPr>
        <w:t>编号</w:t>
      </w:r>
      <w:r>
        <w:rPr>
          <w:rFonts w:ascii="宋体" w:hAnsi="宋体" w:eastAsia="宋体"/>
          <w:sz w:val="18"/>
          <w:szCs w:val="18"/>
        </w:rPr>
        <w:t>：</w:t>
      </w:r>
      <w:bookmarkEnd w:id="7"/>
      <w:r>
        <w:rPr>
          <w:rFonts w:hint="eastAsia" w:ascii="宋体" w:hAnsi="宋体" w:eastAsia="宋体"/>
          <w:sz w:val="18"/>
          <w:szCs w:val="18"/>
        </w:rPr>
        <w:t>　　　　</w:t>
      </w:r>
    </w:p>
    <w:tbl>
      <w:tblPr>
        <w:tblStyle w:val="20"/>
        <w:tblW w:w="9489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1583"/>
        <w:gridCol w:w="2530"/>
        <w:gridCol w:w="2201"/>
        <w:gridCol w:w="2283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7014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单位（子单位）工程名称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分部（子分部）工程名称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2475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施工单位</w:t>
            </w:r>
          </w:p>
        </w:tc>
        <w:tc>
          <w:tcPr>
            <w:tcW w:w="253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项目经理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强制性条文规定</w:t>
            </w: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相关资料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9489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00" w:after="1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  行  标  准  名  称  及  编  号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9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10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11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12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13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14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15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4" w:hRule="atLeast"/>
          <w:jc w:val="center"/>
        </w:trPr>
        <w:tc>
          <w:tcPr>
            <w:tcW w:w="892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16</w:t>
            </w:r>
          </w:p>
        </w:tc>
        <w:tc>
          <w:tcPr>
            <w:tcW w:w="411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0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283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5005" w:type="dxa"/>
            <w:gridSpan w:val="3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2" w:beforeLines="20" w:after="60"/>
              <w:ind w:firstLine="360" w:firstLineChars="2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项目总工：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4484" w:type="dxa"/>
            <w:gridSpan w:val="2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ind w:firstLine="360" w:firstLineChars="2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</w:t>
            </w:r>
            <w:r>
              <w:rPr>
                <w:rFonts w:hint="eastAsia" w:ascii="宋体" w:hAnsi="宋体"/>
                <w:sz w:val="18"/>
                <w:szCs w:val="18"/>
              </w:rPr>
              <w:t>理工程师</w:t>
            </w:r>
            <w:r>
              <w:rPr>
                <w:rFonts w:ascii="宋体" w:hAnsi="宋体"/>
                <w:sz w:val="18"/>
                <w:szCs w:val="18"/>
              </w:rPr>
              <w:t>（副总监</w:t>
            </w:r>
            <w:r>
              <w:rPr>
                <w:rFonts w:hint="eastAsia" w:ascii="宋体" w:hAnsi="宋体"/>
                <w:sz w:val="18"/>
                <w:szCs w:val="18"/>
              </w:rPr>
              <w:t>理工程师</w:t>
            </w:r>
            <w:r>
              <w:rPr>
                <w:rFonts w:ascii="宋体" w:hAnsi="宋体"/>
                <w:sz w:val="18"/>
                <w:szCs w:val="18"/>
              </w:rPr>
              <w:t>）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</w:tr>
    </w:tbl>
    <w:p>
      <w:pPr>
        <w:pStyle w:val="24"/>
        <w:rPr>
          <w:rFonts w:ascii="宋体" w:hAnsi="宋体" w:eastAsia="宋体"/>
        </w:rPr>
      </w:pPr>
      <w:bookmarkStart w:id="8" w:name="_Toc26724"/>
      <w:r>
        <w:rPr>
          <w:rFonts w:hint="eastAsia" w:ascii="宋体" w:hAnsi="宋体" w:eastAsia="宋体"/>
        </w:rPr>
        <w:t>表</w:t>
      </w:r>
      <w:r>
        <w:rPr>
          <w:rFonts w:ascii="宋体" w:hAnsi="宋体" w:eastAsia="宋体"/>
          <w:b/>
        </w:rPr>
        <w:t>JXMB4-2</w:t>
      </w:r>
      <w:r>
        <w:rPr>
          <w:rFonts w:hint="eastAsia" w:ascii="宋体" w:hAnsi="宋体" w:eastAsia="宋体"/>
        </w:rPr>
        <w:t xml:space="preserve">  </w:t>
      </w:r>
      <w:r>
        <w:rPr>
          <w:rFonts w:hint="eastAsia" w:ascii="宋体" w:hAnsi="宋体" w:eastAsia="宋体" w:cs="宋体"/>
        </w:rPr>
        <w:t>变电站建筑</w:t>
      </w:r>
      <w:r>
        <w:rPr>
          <w:rFonts w:hint="eastAsia" w:ascii="宋体" w:hAnsi="宋体" w:eastAsia="宋体"/>
        </w:rPr>
        <w:t>工程建设标准强制性条文执行汇总表</w:t>
      </w:r>
      <w:bookmarkEnd w:id="8"/>
    </w:p>
    <w:p>
      <w:pPr>
        <w:pStyle w:val="23"/>
        <w:wordWrap w:val="0"/>
        <w:ind w:firstLine="5580" w:firstLineChars="3100"/>
        <w:jc w:val="right"/>
        <w:rPr>
          <w:rFonts w:ascii="宋体" w:hAnsi="宋体" w:eastAsia="宋体"/>
          <w:b/>
          <w:sz w:val="18"/>
          <w:szCs w:val="18"/>
        </w:rPr>
      </w:pPr>
      <w:r>
        <w:rPr>
          <w:rFonts w:hint="eastAsia" w:ascii="宋体" w:hAnsi="宋体" w:eastAsia="宋体"/>
          <w:sz w:val="18"/>
          <w:szCs w:val="18"/>
        </w:rPr>
        <w:t>编号：　　　　</w:t>
      </w:r>
    </w:p>
    <w:tbl>
      <w:tblPr>
        <w:tblStyle w:val="20"/>
        <w:tblW w:w="9489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913"/>
        <w:gridCol w:w="1053"/>
        <w:gridCol w:w="862"/>
        <w:gridCol w:w="1180"/>
        <w:gridCol w:w="108"/>
        <w:gridCol w:w="139"/>
        <w:gridCol w:w="1484"/>
        <w:gridCol w:w="165"/>
        <w:gridCol w:w="529"/>
        <w:gridCol w:w="900"/>
        <w:gridCol w:w="1347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72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3203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2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施工单位</w:t>
            </w:r>
          </w:p>
        </w:tc>
        <w:tc>
          <w:tcPr>
            <w:tcW w:w="2941" w:type="dxa"/>
            <w:gridSpan w:val="4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检查项目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20" w:after="12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验收结论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1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应执行</w:t>
            </w: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已执行</w:t>
            </w: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记录份数</w:t>
            </w:r>
          </w:p>
        </w:tc>
        <w:tc>
          <w:tcPr>
            <w:tcW w:w="1347" w:type="dxa"/>
            <w:vMerge w:val="restart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60" w:after="1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42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64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42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60" w:after="1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47" w:type="dxa"/>
            <w:vMerge w:val="continue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2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单位（子单位）工程已按合同、设计文件及规程、规范、标准要求施工完毕并经验收合格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分部，符合要求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分部，应验收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hint="eastAsia" w:ascii="宋体" w:hAnsi="宋体"/>
                <w:sz w:val="18"/>
                <w:szCs w:val="18"/>
              </w:rPr>
              <w:t>，</w:t>
            </w:r>
            <w:r>
              <w:rPr>
                <w:rFonts w:ascii="宋体" w:hAnsi="宋体"/>
                <w:sz w:val="18"/>
                <w:szCs w:val="18"/>
              </w:rPr>
              <w:t xml:space="preserve">    已验收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="宋体" w:hAnsi="宋体"/>
                <w:sz w:val="18"/>
                <w:szCs w:val="18"/>
              </w:rPr>
              <w:t>项，合格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  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3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参加工程施工质量验收的各方人员应具备规定的资格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质检员证号：</w:t>
            </w:r>
          </w:p>
          <w:p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监理人员资质证号：</w:t>
            </w:r>
            <w:r>
              <w:rPr>
                <w:rFonts w:ascii="宋体" w:hAnsi="宋体"/>
                <w:sz w:val="18"/>
                <w:szCs w:val="18"/>
              </w:rPr>
              <w:tab/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4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质量控制资料完整。隐蔽工程验收文件齐全，有效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tabs>
                <w:tab w:val="right" w:pos="2484"/>
              </w:tabs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</w:t>
            </w:r>
            <w:r>
              <w:rPr>
                <w:rFonts w:ascii="宋体" w:hAnsi="宋体"/>
                <w:sz w:val="18"/>
                <w:szCs w:val="18"/>
              </w:rPr>
              <w:t>份，签证齐全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5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各单位验收报告资料齐全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6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安全和功能的检测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抽样检测合格，资料完整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7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涉及结构安全的试块、试件及有关材料检测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试块（件）及原材料有见证取样记录，取样数量符合要求，实验室资质证书齐全有效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widowControl/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8</w:t>
            </w:r>
          </w:p>
        </w:tc>
        <w:tc>
          <w:tcPr>
            <w:tcW w:w="2828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观感质量验收应符合要求</w:t>
            </w:r>
          </w:p>
        </w:tc>
        <w:tc>
          <w:tcPr>
            <w:tcW w:w="4505" w:type="dxa"/>
            <w:gridSpan w:val="7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40" w:after="1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有单位工程观感验收记录，签字齐全，合格</w:t>
            </w:r>
          </w:p>
        </w:tc>
        <w:tc>
          <w:tcPr>
            <w:tcW w:w="1347" w:type="dxa"/>
            <w:tcMar>
              <w:left w:w="0" w:type="dxa"/>
              <w:right w:w="0" w:type="dxa"/>
            </w:tcMar>
            <w:vAlign w:val="top"/>
          </w:tcPr>
          <w:p>
            <w:pPr>
              <w:snapToGrid w:val="0"/>
              <w:spacing w:before="140" w:after="14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09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核查</w:t>
            </w:r>
          </w:p>
          <w:p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意见</w:t>
            </w:r>
          </w:p>
        </w:tc>
        <w:tc>
          <w:tcPr>
            <w:tcW w:w="1966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建设单位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技术负责人：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042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设计单位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425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总监理工程师：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247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4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施工单位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</w:tr>
    </w:tbl>
    <w:p>
      <w:pPr>
        <w:pStyle w:val="24"/>
        <w:rPr>
          <w:rFonts w:ascii="宋体" w:hAnsi="宋体" w:eastAsia="宋体"/>
        </w:rPr>
      </w:pPr>
    </w:p>
    <w:p>
      <w:pPr>
        <w:pStyle w:val="24"/>
        <w:rPr>
          <w:rFonts w:ascii="宋体" w:hAnsi="宋体" w:eastAsia="宋体"/>
        </w:rPr>
      </w:pPr>
      <w:bookmarkStart w:id="9" w:name="_Toc5417"/>
      <w:r>
        <w:rPr>
          <w:rFonts w:hint="eastAsia" w:ascii="宋体" w:hAnsi="宋体" w:eastAsia="宋体"/>
        </w:rPr>
        <w:t>表</w:t>
      </w:r>
      <w:r>
        <w:rPr>
          <w:rFonts w:ascii="宋体" w:hAnsi="宋体" w:eastAsia="宋体"/>
          <w:b/>
        </w:rPr>
        <w:t>JXMB4-3</w:t>
      </w:r>
      <w:r>
        <w:rPr>
          <w:rFonts w:hint="eastAsia" w:ascii="宋体" w:hAnsi="宋体" w:eastAsia="宋体"/>
        </w:rPr>
        <w:t xml:space="preserve">  变电站电气工程建设标准强制性条文执行汇总表</w:t>
      </w:r>
      <w:bookmarkEnd w:id="9"/>
    </w:p>
    <w:p>
      <w:pPr>
        <w:pStyle w:val="23"/>
        <w:wordWrap w:val="0"/>
        <w:jc w:val="right"/>
        <w:rPr>
          <w:rFonts w:ascii="宋体" w:hAnsi="宋体" w:eastAsia="宋体"/>
          <w:b/>
          <w:sz w:val="18"/>
          <w:szCs w:val="18"/>
        </w:rPr>
      </w:pPr>
      <w:r>
        <w:rPr>
          <w:rFonts w:hint="eastAsia" w:ascii="宋体" w:hAnsi="宋体" w:eastAsia="宋体"/>
          <w:sz w:val="18"/>
          <w:szCs w:val="18"/>
        </w:rPr>
        <w:t>编号：　　　　</w:t>
      </w:r>
    </w:p>
    <w:tbl>
      <w:tblPr>
        <w:tblStyle w:val="20"/>
        <w:tblW w:w="9489" w:type="dxa"/>
        <w:jc w:val="center"/>
        <w:tblInd w:w="0" w:type="dxa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8"/>
        <w:gridCol w:w="1881"/>
        <w:gridCol w:w="970"/>
        <w:gridCol w:w="1120"/>
        <w:gridCol w:w="97"/>
        <w:gridCol w:w="1142"/>
        <w:gridCol w:w="80"/>
        <w:gridCol w:w="1063"/>
        <w:gridCol w:w="1818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工程名称</w:t>
            </w:r>
          </w:p>
        </w:tc>
        <w:tc>
          <w:tcPr>
            <w:tcW w:w="3971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319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 xml:space="preserve">施工单位 </w:t>
            </w:r>
          </w:p>
        </w:tc>
        <w:tc>
          <w:tcPr>
            <w:tcW w:w="288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序号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检查项目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执行情况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验收结论</w:t>
            </w: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1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单位工程名称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应执行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已执行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记录份数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200" w:after="20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200" w:after="20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2</w:t>
            </w:r>
          </w:p>
        </w:tc>
        <w:tc>
          <w:tcPr>
            <w:tcW w:w="2851" w:type="dxa"/>
            <w:gridSpan w:val="2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单位工程已按合同、设计文件及规程、规范、标准要求施工完毕并经验收合格</w:t>
            </w: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应验收</w:t>
            </w: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已验收</w:t>
            </w: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合格率</w:t>
            </w:r>
          </w:p>
        </w:tc>
        <w:tc>
          <w:tcPr>
            <w:tcW w:w="1818" w:type="dxa"/>
            <w:vMerge w:val="restart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2851" w:type="dxa"/>
            <w:gridSpan w:val="2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</w:tc>
        <w:tc>
          <w:tcPr>
            <w:tcW w:w="1120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239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143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  <w:tc>
          <w:tcPr>
            <w:tcW w:w="1818" w:type="dxa"/>
            <w:vMerge w:val="continue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3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工程质量控制资料应完整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tabs>
                <w:tab w:val="right" w:pos="2484"/>
              </w:tabs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共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</w:rPr>
              <w:t>项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  </w:t>
            </w:r>
            <w:r>
              <w:rPr>
                <w:rFonts w:ascii="宋体" w:hAnsi="宋体"/>
                <w:sz w:val="18"/>
                <w:szCs w:val="18"/>
              </w:rPr>
              <w:t>份，签证齐全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4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8" w:firstLineChars="100"/>
              <w:rPr>
                <w:rFonts w:ascii="宋体" w:hAnsi="宋体"/>
                <w:spacing w:val="4"/>
                <w:kern w:val="0"/>
                <w:sz w:val="18"/>
                <w:szCs w:val="18"/>
              </w:rPr>
            </w:pPr>
            <w:r>
              <w:rPr>
                <w:rFonts w:ascii="宋体" w:hAnsi="宋体"/>
                <w:spacing w:val="4"/>
                <w:kern w:val="0"/>
                <w:sz w:val="18"/>
                <w:szCs w:val="18"/>
              </w:rPr>
              <w:t>参加工程验收的各方人员资格合格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tabs>
                <w:tab w:val="right" w:pos="2484"/>
              </w:tabs>
              <w:snapToGrid w:val="0"/>
              <w:spacing w:before="18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质检员证号：</w:t>
            </w:r>
          </w:p>
          <w:p>
            <w:pPr>
              <w:tabs>
                <w:tab w:val="right" w:pos="2484"/>
              </w:tabs>
              <w:snapToGrid w:val="0"/>
              <w:spacing w:after="18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监理人员资质证号：</w:t>
            </w:r>
            <w:r>
              <w:rPr>
                <w:rFonts w:ascii="宋体" w:hAnsi="宋体"/>
                <w:sz w:val="18"/>
                <w:szCs w:val="18"/>
              </w:rPr>
              <w:tab/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5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工程验收程序符合要求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各单位验收报告资料齐全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6</w:t>
            </w:r>
          </w:p>
        </w:tc>
        <w:tc>
          <w:tcPr>
            <w:tcW w:w="2851" w:type="dxa"/>
            <w:gridSpan w:val="2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调试工作符合规定</w:t>
            </w:r>
          </w:p>
        </w:tc>
        <w:tc>
          <w:tcPr>
            <w:tcW w:w="3502" w:type="dxa"/>
            <w:gridSpan w:val="5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调试项目齐全，调试报告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hint="eastAsia" w:ascii="宋体" w:hAnsi="宋体"/>
                <w:sz w:val="18"/>
                <w:szCs w:val="18"/>
                <w:u w:val="single"/>
              </w:rPr>
              <w:t xml:space="preserve">    </w:t>
            </w:r>
            <w:r>
              <w:rPr>
                <w:rFonts w:ascii="宋体" w:hAnsi="宋体"/>
                <w:sz w:val="18"/>
                <w:szCs w:val="18"/>
                <w:u w:val="single"/>
              </w:rPr>
              <w:t xml:space="preserve"> </w:t>
            </w:r>
            <w:r>
              <w:rPr>
                <w:rFonts w:ascii="宋体" w:hAnsi="宋体"/>
                <w:sz w:val="18"/>
                <w:szCs w:val="18"/>
              </w:rPr>
              <w:t>份：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180" w:after="180"/>
              <w:jc w:val="center"/>
              <w:rPr>
                <w:rFonts w:ascii="宋体" w:hAnsi="宋体"/>
                <w:sz w:val="18"/>
                <w:szCs w:val="18"/>
              </w:rPr>
            </w:pPr>
          </w:p>
        </w:tc>
      </w:tr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318" w:type="dxa"/>
            <w:tcMar>
              <w:left w:w="0" w:type="dxa"/>
              <w:right w:w="0" w:type="dxa"/>
            </w:tcMar>
            <w:vAlign w:val="center"/>
          </w:tcPr>
          <w:p>
            <w:pPr>
              <w:autoSpaceDE w:val="0"/>
              <w:autoSpaceDN w:val="0"/>
              <w:adjustRightInd w:val="0"/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核查意见</w:t>
            </w:r>
          </w:p>
        </w:tc>
        <w:tc>
          <w:tcPr>
            <w:tcW w:w="1881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建设单位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技术负责人：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2187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设计单位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 日</w:t>
            </w:r>
          </w:p>
        </w:tc>
        <w:tc>
          <w:tcPr>
            <w:tcW w:w="2285" w:type="dxa"/>
            <w:gridSpan w:val="3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监理单位</w:t>
            </w:r>
          </w:p>
          <w:p>
            <w:pPr>
              <w:snapToGrid w:val="0"/>
              <w:spacing w:after="60"/>
              <w:ind w:left="53" w:leftChars="25" w:right="53" w:rightChars="25" w:firstLine="180" w:firstLineChars="100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总监理工程师：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ind w:right="210" w:rightChars="100"/>
              <w:jc w:val="right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>年  月  日</w:t>
            </w:r>
          </w:p>
        </w:tc>
        <w:tc>
          <w:tcPr>
            <w:tcW w:w="1818" w:type="dxa"/>
            <w:tcMar>
              <w:left w:w="0" w:type="dxa"/>
              <w:right w:w="0" w:type="dxa"/>
            </w:tcMar>
            <w:vAlign w:val="center"/>
          </w:tcPr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施工单位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kern w:val="0"/>
                <w:sz w:val="18"/>
                <w:szCs w:val="18"/>
              </w:rPr>
            </w:pPr>
            <w:r>
              <w:rPr>
                <w:rFonts w:ascii="宋体" w:hAnsi="宋体"/>
                <w:kern w:val="0"/>
                <w:sz w:val="18"/>
                <w:szCs w:val="18"/>
              </w:rPr>
              <w:t>项目经理：</w:t>
            </w: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</w:p>
          <w:p>
            <w:pPr>
              <w:snapToGrid w:val="0"/>
              <w:spacing w:before="60" w:after="60"/>
              <w:jc w:val="center"/>
              <w:rPr>
                <w:rFonts w:ascii="宋体" w:hAnsi="宋体"/>
                <w:sz w:val="18"/>
                <w:szCs w:val="18"/>
              </w:rPr>
            </w:pPr>
            <w:r>
              <w:rPr>
                <w:rFonts w:ascii="宋体" w:hAnsi="宋体"/>
                <w:sz w:val="18"/>
                <w:szCs w:val="18"/>
              </w:rPr>
              <w:t xml:space="preserve">    年  月  日</w:t>
            </w:r>
          </w:p>
        </w:tc>
      </w:tr>
    </w:tbl>
    <w:p>
      <w:pPr>
        <w:widowControl/>
        <w:jc w:val="left"/>
        <w:rPr>
          <w:sz w:val="24"/>
          <w:szCs w:val="24"/>
        </w:rPr>
      </w:pPr>
    </w:p>
    <w:p>
      <w:pPr>
        <w:spacing w:line="360" w:lineRule="auto"/>
        <w:jc w:val="left"/>
        <w:rPr>
          <w:sz w:val="24"/>
          <w:szCs w:val="24"/>
        </w:rPr>
      </w:pPr>
      <w:r>
        <w:rPr>
          <w:rFonts w:hint="eastAsia"/>
          <w:sz w:val="24"/>
          <w:szCs w:val="24"/>
        </w:rPr>
        <w:t>七、强制性条文流程：</w:t>
      </w:r>
    </w:p>
    <w:p>
      <w:pPr>
        <w:spacing w:line="360" w:lineRule="auto"/>
        <w:jc w:val="left"/>
        <w:rPr>
          <w:sz w:val="24"/>
          <w:szCs w:val="24"/>
        </w:rPr>
      </w:pPr>
    </w:p>
    <w:p>
      <w:pPr>
        <w:spacing w:line="360" w:lineRule="auto"/>
        <w:jc w:val="left"/>
        <w:rPr>
          <w:sz w:val="24"/>
          <w:szCs w:val="24"/>
        </w:rPr>
      </w:pP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30" o:spt="1" style="position:absolute;left:0pt;margin-left:98.3pt;margin-top:539.55pt;height:39.1pt;width:176.4pt;z-index:251672576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 xml:space="preserve">单位工程完成后，填写执行汇总表（第四部分）  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16" o:spid="_x0000_s1031" o:spt="32" type="#_x0000_t32" style="position:absolute;left:0pt;margin-left:184.5pt;margin-top:486.05pt;height:54.15pt;width:0.05pt;z-index:251674624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32" o:spt="1" style="position:absolute;left:0pt;margin-left:97.25pt;margin-top:447.05pt;height:39.1pt;width:176.4pt;z-index:251671552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分部工程完成后，由监理填写执行检查 表（第三部分）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15" o:spid="_x0000_s1033" o:spt="32" type="#_x0000_t32" style="position:absolute;left:0pt;margin-left:184.5pt;margin-top:392.7pt;height:54.15pt;width:0.05pt;z-index:251673600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34" o:spt="1" style="position:absolute;left:0pt;margin-left:98.3pt;margin-top:369.15pt;height:23.5pt;width:176.4pt;z-index:251669504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报监理审批验收并签字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12" o:spid="_x0000_s1035" o:spt="32" type="#_x0000_t32" style="position:absolute;left:0pt;margin-left:184.5pt;margin-top:319.2pt;height:50.05pt;width:0.05pt;z-index:251670528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36" o:spt="1" style="position:absolute;left:0pt;margin-left:96.65pt;margin-top:264.3pt;height:54.7pt;width:176.7pt;z-index:251668480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分项工程验收前，施工单位填写执行记录表（第二部分）</w:t>
                  </w:r>
                </w:p>
                <w:p>
                  <w:pPr>
                    <w:jc w:val="center"/>
                  </w:pPr>
                  <w:r>
                    <w:rPr>
                      <w:rFonts w:hint="eastAsia"/>
                    </w:rPr>
                    <w:t>按照项目内容逐项填写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9" o:spid="_x0000_s1037" o:spt="32" type="#_x0000_t32" style="position:absolute;left:0pt;margin-left:234.15pt;margin-top:221.7pt;height:42.8pt;width:0.05pt;z-index:251667456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8" o:spid="_x0000_s1038" o:spt="32" type="#_x0000_t32" style="position:absolute;left:0pt;margin-left:124.4pt;margin-top:219.95pt;height:42.8pt;width:0.05pt;z-index:251666432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39" o:spt="1" style="position:absolute;left:0pt;margin-left:73.05pt;margin-top:198.65pt;height:139.55pt;width:90pt;z-index:251658240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报监理部审核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7" o:spid="_x0000_s1040" o:spt="32" type="#_x0000_t32" style="position:absolute;left:0pt;flip:y;margin-left:163.6pt;margin-top:212.85pt;height:0.05pt;width:34.5pt;z-index:251660288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41" o:spt="1" style="position:absolute;left:0pt;margin-left:197.9pt;margin-top:198.65pt;height:139.55pt;width:101.25pt;z-index:251659264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报业主工程部审核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3" o:spid="_x0000_s1042" o:spt="32" type="#_x0000_t32" style="position:absolute;left:0pt;margin-left:124.4pt;margin-top:155.3pt;height:42.8pt;width:0.05pt;z-index:251664384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4" o:spid="_x0000_s1043" o:spt="32" type="#_x0000_t32" style="position:absolute;left:0pt;margin-left:234.15pt;margin-top:155.3pt;height:42.8pt;width:0.05pt;z-index:251665408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44" o:spt="1" style="position:absolute;left:0pt;margin-left:90.45pt;margin-top:100.3pt;height:54.7pt;width:176.7pt;z-index:251662336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各单位根据自己所承担的工程项目编制执行计划表（第一部分）</w:t>
                  </w:r>
                </w:p>
                <w:p>
                  <w:pPr>
                    <w:jc w:val="center"/>
                  </w:pPr>
                  <w:r>
                    <w:rPr>
                      <w:rFonts w:hint="eastAsia"/>
                    </w:rPr>
                    <w:t xml:space="preserve">  编制执行计划表</w:t>
                  </w:r>
                </w:p>
              </w:txbxContent>
            </v:textbox>
          </v:rect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shape id="直接箭头连接符 2" o:spid="_x0000_s1045" o:spt="32" type="#_x0000_t32" style="position:absolute;left:0pt;margin-left:182.5pt;margin-top:56.4pt;height:42.8pt;width:0.05pt;z-index:251663360;mso-width-relative:page;mso-height-relative:page;" fillcolor="#FFFFFF" filled="t" o:preferrelative="t" stroked="t" coordsize="21600,21600">
            <v:path arrowok="t"/>
            <v:fill on="t" focussize="0,0"/>
            <v:stroke color="#000000" color2="#FFFFFF" miterlimit="2" endarrow="open"/>
            <v:imagedata gain="65536f" blacklevel="0f" gamma="0" o:title=""/>
            <o:lock v:ext="edit" position="f" selection="f" grouping="f" rotation="f" cropping="f" text="f" aspectratio="f"/>
          </v:shape>
        </w:pict>
      </w:r>
      <w:r>
        <w:rPr>
          <w:rFonts w:ascii="Calibri" w:hAnsi="Calibri" w:eastAsia="宋体" w:cs="黑体"/>
          <w:kern w:val="2"/>
          <w:sz w:val="24"/>
          <w:szCs w:val="24"/>
          <w:lang w:val="en-US" w:eastAsia="zh-CN" w:bidi="ar-SA"/>
        </w:rPr>
        <w:pict>
          <v:rect id="文本框 2" o:spid="_x0000_s1046" o:spt="1" style="position:absolute;left:0pt;margin-left:97.9pt;margin-top:16.8pt;height:39.15pt;width:163.9pt;z-index:251661312;mso-width-relative:page;mso-height-relative:page;" fillcolor="#FFFFFF" filled="t" o:preferrelative="t" stroked="t" coordsize="21600,21600">
            <v:path/>
            <v:fill on="t" focussize="0,0"/>
            <v:stroke color="#000000" color2="#FFFFFF" miterlimit="2"/>
            <v:imagedata gain="65536f" blacklevel="0f" gamma="0" o:title=""/>
            <o:lock v:ext="edit" position="f" selection="f" grouping="f" rotation="f" cropping="f" text="f" aspectratio="f"/>
            <v:textbox style="mso-fit-shape-to-text:t;">
              <w:txbxContent>
                <w:p>
                  <w:pPr>
                    <w:jc w:val="center"/>
                  </w:pPr>
                  <w:r>
                    <w:rPr>
                      <w:rFonts w:hint="eastAsia"/>
                    </w:rPr>
                    <w:t>强制性条文执行程序执行</w:t>
                  </w:r>
                </w:p>
                <w:p>
                  <w:pPr>
                    <w:jc w:val="center"/>
                  </w:pPr>
                  <w:r>
                    <w:rPr>
                      <w:rFonts w:hint="eastAsia"/>
                    </w:rPr>
                    <w:t>管理办法</w:t>
                  </w:r>
                </w:p>
              </w:txbxContent>
            </v:textbox>
          </v:rect>
        </w:pict>
      </w:r>
    </w:p>
    <w:sectPr>
      <w:footerReference r:id="rId9" w:type="first"/>
      <w:footerReference r:id="rId8" w:type="default"/>
      <w:pgSz w:w="11906" w:h="16838"/>
      <w:pgMar w:top="1440" w:right="1797" w:bottom="1440" w:left="1797" w:header="851" w:footer="992" w:gutter="0"/>
      <w:pgNumType w:fmt="decimal" w:start="1"/>
      <w:cols w:space="720" w:num="1"/>
      <w:titlePg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  <w:font w:name="微软雅黑">
    <w:panose1 w:val="020B0503020204020204"/>
    <w:charset w:val="86"/>
    <w:family w:val="auto"/>
    <w:pitch w:val="default"/>
    <w:sig w:usb0="80000287" w:usb1="28CF3C52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zh-CN"/>
      </w:rPr>
      <w:t>1</w:t>
    </w:r>
    <w:r>
      <w:fldChar w:fldCharType="end"/>
    </w:r>
  </w:p>
  <w:p>
    <w:pPr>
      <w:pStyle w:val="1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rFonts w:ascii="Times New Roman" w:hAnsi="Times New Roman" w:eastAsia="宋体" w:cs="Times New Roman"/>
        <w:kern w:val="2"/>
        <w:sz w:val="18"/>
        <w:szCs w:val="24"/>
        <w:lang w:val="en-US" w:eastAsia="zh-CN" w:bidi="ar-SA"/>
      </w:rPr>
      <w:pict>
        <v:shape id="文本框 18" o:spid="_x0000_s2050" o:spt="202" type="#_x0000_t202" style="position:absolute;left:0pt;margin-top:0pt;height:144pt;width:144pt;mso-position-horizontal:center;mso-position-horizontal-relative:margin;mso-wrap-style:none;z-index:251658240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t>0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rFonts w:ascii="Times New Roman" w:hAnsi="Times New Roman" w:eastAsia="宋体" w:cs="Times New Roman"/>
        <w:kern w:val="2"/>
        <w:sz w:val="18"/>
        <w:szCs w:val="24"/>
        <w:lang w:val="en-US" w:eastAsia="zh-CN" w:bidi="ar-SA"/>
      </w:rPr>
      <w:pict>
        <v:shape id="文本框 19" o:spid="_x0000_s2049" o:spt="202" type="#_x0000_t202" style="position:absolute;left:0pt;margin-top:0pt;height:144pt;width:144pt;mso-position-horizontal:center;mso-position-horizontal-relative:margin;mso-wrap-style:none;z-index:251659264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  <w:p>
    <w:pPr>
      <w:pStyle w:val="10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rFonts w:ascii="Times New Roman" w:hAnsi="Times New Roman" w:eastAsia="宋体" w:cs="Times New Roman"/>
        <w:kern w:val="2"/>
        <w:sz w:val="18"/>
        <w:szCs w:val="24"/>
        <w:lang w:val="en-US" w:eastAsia="zh-CN" w:bidi="ar-SA"/>
      </w:rPr>
      <w:pict>
        <v:shape id="文本框 18" o:spid="_x0000_s2052" o:spt="202" type="#_x0000_t202" style="position:absolute;left:0pt;margin-top:0pt;height:144pt;width:144pt;mso-position-horizontal:right;mso-position-horizontal-relative:margin;mso-wrap-style:none;z-index:251660288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t>2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0"/>
    </w:pPr>
    <w:r>
      <w:rPr>
        <w:rFonts w:ascii="Times New Roman" w:hAnsi="Times New Roman" w:eastAsia="宋体" w:cs="Times New Roman"/>
        <w:kern w:val="2"/>
        <w:sz w:val="18"/>
        <w:szCs w:val="24"/>
        <w:lang w:val="en-US" w:eastAsia="zh-CN" w:bidi="ar-SA"/>
      </w:rPr>
      <w:pict>
        <v:shape id="文本框 19" o:spid="_x0000_s2051" o:spt="202" type="#_x0000_t202" style="position:absolute;left:0pt;margin-top:0pt;height:144pt;width:144pt;mso-position-horizontal:right;mso-position-horizontal-relative:margin;mso-wrap-style:none;z-index:251662336;mso-width-relative:page;mso-height-relative:page;" fillcolor="#FFFFFF" filled="f" o:preferrelative="t" stroked="f" coordsize="21600,21600">
          <v:path/>
          <v:fill on="f" color2="#FFFFFF" focussize="0,0"/>
          <v:stroke on="f"/>
          <v:imagedata gain="65536f" blacklevel="0f" gamma="0" o:title=""/>
          <o:lock v:ext="edit" position="f" selection="f" grouping="f" rotation="f" cropping="f" text="f" aspectratio="f"/>
          <v:textbox inset="0mm,0mm,0mm,0mm" style="mso-fit-shape-to-text:t;">
            <w:txbxContent>
              <w:p>
                <w:pPr>
                  <w:snapToGrid w:val="0"/>
                  <w:rPr>
                    <w:rFonts w:hint="eastAsia" w:eastAsia="宋体"/>
                    <w:sz w:val="18"/>
                    <w:lang w:eastAsia="zh-CN"/>
                  </w:rPr>
                </w:pPr>
                <w:r>
                  <w:rPr>
                    <w:rFonts w:hint="eastAsia"/>
                    <w:sz w:val="18"/>
                    <w:lang w:eastAsia="zh-CN"/>
                  </w:rPr>
                  <w:fldChar w:fldCharType="begin"/>
                </w:r>
                <w:r>
                  <w:rPr>
                    <w:rFonts w:hint="eastAsia"/>
                    <w:sz w:val="18"/>
                    <w:lang w:eastAsia="zh-CN"/>
                  </w:rPr>
                  <w:instrText xml:space="preserve"> PAGE  \* MERGEFORMAT </w:instrTex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separate"/>
                </w:r>
                <w:r>
                  <w:t>1</w:t>
                </w:r>
                <w:r>
                  <w:rPr>
                    <w:rFonts w:hint="eastAsia"/>
                    <w:sz w:val="18"/>
                    <w:lang w:eastAsia="zh-CN"/>
                  </w:rPr>
                  <w:fldChar w:fldCharType="end"/>
                </w:r>
              </w:p>
            </w:txbxContent>
          </v:textbox>
        </v:shape>
      </w:pict>
    </w:r>
  </w:p>
  <w:p>
    <w:pPr>
      <w:pStyle w:val="10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11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1F411B"/>
    <w:multiLevelType w:val="singleLevel"/>
    <w:tmpl w:val="561F411B"/>
    <w:lvl w:ilvl="0" w:tentative="0">
      <w:start w:val="1"/>
      <w:numFmt w:val="chineseCounting"/>
      <w:suff w:val="nothing"/>
      <w:lvlText w:val="%1、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useNormalStyleForList/>
    <w:allowSpaceOfSameStyleInTable/>
    <w:doNotSuppressIndentation/>
    <w:doNotAutofitConstrainedTables/>
    <w:autofitToFirstFixedWidthCell/>
    <w:displayHangulFixedWidth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rsids>
    <w:rsidRoot w:val="007B5A97"/>
    <w:rsid w:val="000002BE"/>
    <w:rsid w:val="00105FB0"/>
    <w:rsid w:val="0014753E"/>
    <w:rsid w:val="007154C8"/>
    <w:rsid w:val="007B5A97"/>
    <w:rsid w:val="007E7A62"/>
    <w:rsid w:val="009B3B62"/>
    <w:rsid w:val="009F0A34"/>
    <w:rsid w:val="00A81EAD"/>
    <w:rsid w:val="00A928FB"/>
    <w:rsid w:val="00CF6EA4"/>
    <w:rsid w:val="00F10A8D"/>
    <w:rsid w:val="00FE0918"/>
    <w:rsid w:val="08DE7D91"/>
    <w:rsid w:val="12D85778"/>
    <w:rsid w:val="1A2C2CAA"/>
    <w:rsid w:val="2359375B"/>
    <w:rsid w:val="295E6842"/>
    <w:rsid w:val="2E01123B"/>
    <w:rsid w:val="42E97E5F"/>
    <w:rsid w:val="43AB5D73"/>
    <w:rsid w:val="4AA93202"/>
    <w:rsid w:val="573A1935"/>
    <w:rsid w:val="6359398E"/>
    <w:rsid w:val="795C0BA9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="t" stroke="t">
      <v:fill type="gradient" on="t" angle="90" focussize="0f,0f" focusposition="0f,0f">
        <o:fill type="gradientUnscaled" v:ext="backwardCompatible"/>
      </v:fill>
      <v:stroke weight="1.25pt" color="#739CC3"/>
    </o:shapedefaults>
    <o:shapelayout v:ext="edit">
      <o:idmap v:ext="edit" data="1"/>
      <o:rules v:ext="edit">
        <o:r id="V:Rule1" type="connector" idref="#直接箭头连接符 16"/>
        <o:r id="V:Rule2" type="connector" idref="#直接箭头连接符 15"/>
        <o:r id="V:Rule3" type="connector" idref="#直接箭头连接符 12"/>
        <o:r id="V:Rule4" type="connector" idref="#直接箭头连接符 9"/>
        <o:r id="V:Rule5" type="connector" idref="#直接箭头连接符 8"/>
        <o:r id="V:Rule6" type="connector" idref="#直接箭头连接符 7"/>
        <o:r id="V:Rule7" type="connector" idref="#直接箭头连接符 3"/>
        <o:r id="V:Rule8" type="connector" idref="#直接箭头连接符 4"/>
        <o:r id="V:Rule9" type="connector" idref="#直接箭头连接符 2"/>
      </o:rules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qFormat="1" w:uiPriority="39" w:semiHidden="0" w:name="toc 1"/>
    <w:lsdException w:qFormat="1" w:uiPriority="39" w:semiHidden="0" w:name="toc 2"/>
    <w:lsdException w:qFormat="1" w:uiPriority="39" w:semiHidden="0" w:name="toc 3"/>
    <w:lsdException w:qFormat="1" w:uiPriority="39" w:semiHidden="0" w:name="toc 4"/>
    <w:lsdException w:qFormat="1" w:uiPriority="39" w:semiHidden="0" w:name="toc 5"/>
    <w:lsdException w:qFormat="1" w:uiPriority="39" w:semiHidden="0" w:name="toc 6"/>
    <w:lsdException w:qFormat="1" w:uiPriority="39" w:semiHidden="0" w:name="toc 7"/>
    <w:lsdException w:qFormat="1" w:uiPriority="39" w:semiHidden="0" w:name="toc 8"/>
    <w:lsdException w:qFormat="1" w:uiPriority="39" w:semiHidden="0" w:name="toc 9"/>
    <w:lsdException w:uiPriority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99" w:semiHidden="0" w:name="footer"/>
    <w:lsdException w:uiPriority="0" w:name="index heading"/>
    <w:lsdException w:qFormat="1" w:uiPriority="35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qFormat="1" w:unhideWhenUsed="0" w:uiPriority="0" w:semiHidden="0" w:name="page number"/>
    <w:lsdException w:uiPriority="0" w:name="endnote reference"/>
    <w:lsdException w:uiPriority="0" w:name="endnote text"/>
    <w:lsdException w:uiPriority="0" w:name="table of authorities"/>
    <w:lsdException w:uiPriority="0" w:name="macro"/>
    <w:lsdException w:uiPriority="0" w:name="toa heading"/>
    <w:lsdException w:uiPriority="0" w:name="List"/>
    <w:lsdException w:uiPriority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10" w:semiHidden="0" w:name="Title"/>
    <w:lsdException w:uiPriority="0" w:name="Closing"/>
    <w:lsdException w:uiPriority="0" w:name="Signature"/>
    <w:lsdException w:uiPriority="1" w:semiHidden="0" w:name="Default Paragraph Font"/>
    <w:lsdException w:qFormat="1" w:unhideWhenUsed="0" w:uiPriority="0" w:semiHidden="0" w:name="Body Text"/>
    <w:lsdException w:uiPriority="0" w:name="Body Text Indent"/>
    <w:lsdException w:uiPriority="0" w:name="List Continue"/>
    <w:lsdException w:uiPriority="0" w:name="List Continue 2"/>
    <w:lsdException w:uiPriority="0" w:name="List Continue 3"/>
    <w:lsdException w:uiPriority="0" w:name="List Continue 4"/>
    <w:lsdException w:uiPriority="0" w:name="List Continue 5"/>
    <w:lsdException w:uiPriority="0" w:name="Message Header"/>
    <w:lsdException w:qFormat="1" w:unhideWhenUsed="0" w:uiPriority="11" w:semiHidden="0" w:name="Subtitle"/>
    <w:lsdException w:uiPriority="0" w:name="Salutation"/>
    <w:lsdException w:qFormat="1" w:unhideWhenUsed="0" w:uiPriority="0" w:semiHidden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qFormat="1" w:unhideWhenUsed="0" w:uiPriority="0" w:semiHidden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semiHidden="0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unhideWhenUsed="0" w:uiPriority="59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link w:val="27"/>
    <w:qFormat/>
    <w:uiPriority w:val="0"/>
    <w:pPr>
      <w:keepNext/>
      <w:keepLines/>
      <w:spacing w:before="340" w:after="330" w:line="578" w:lineRule="auto"/>
      <w:outlineLvl w:val="0"/>
    </w:pPr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default="1" w:styleId="18">
    <w:name w:val="Default Paragraph Font"/>
    <w:unhideWhenUsed/>
    <w:uiPriority w:val="1"/>
  </w:style>
  <w:style w:type="table" w:default="1" w:styleId="20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  <w:tcPr>
      <w:textDirection w:val="lrTb"/>
    </w:tcPr>
  </w:style>
  <w:style w:type="paragraph" w:styleId="3">
    <w:name w:val="toc 7"/>
    <w:basedOn w:val="1"/>
    <w:next w:val="1"/>
    <w:unhideWhenUsed/>
    <w:qFormat/>
    <w:uiPriority w:val="39"/>
    <w:pPr>
      <w:ind w:left="2520" w:leftChars="1200"/>
    </w:pPr>
  </w:style>
  <w:style w:type="paragraph" w:styleId="4">
    <w:name w:val="Body Text"/>
    <w:basedOn w:val="1"/>
    <w:link w:val="25"/>
    <w:qFormat/>
    <w:uiPriority w:val="0"/>
    <w:pPr>
      <w:widowControl/>
      <w:shd w:val="clear" w:color="auto" w:fill="FFFFFF"/>
      <w:spacing w:line="435" w:lineRule="exact"/>
      <w:jc w:val="left"/>
    </w:pPr>
    <w:rPr>
      <w:rFonts w:ascii="宋体" w:eastAsia="宋体"/>
      <w:sz w:val="17"/>
      <w:szCs w:val="17"/>
    </w:rPr>
  </w:style>
  <w:style w:type="paragraph" w:styleId="5">
    <w:name w:val="toc 5"/>
    <w:basedOn w:val="1"/>
    <w:next w:val="1"/>
    <w:unhideWhenUsed/>
    <w:qFormat/>
    <w:uiPriority w:val="39"/>
    <w:pPr>
      <w:ind w:left="1680" w:leftChars="800"/>
    </w:pPr>
  </w:style>
  <w:style w:type="paragraph" w:styleId="6">
    <w:name w:val="toc 3"/>
    <w:basedOn w:val="1"/>
    <w:next w:val="1"/>
    <w:unhideWhenUsed/>
    <w:qFormat/>
    <w:uiPriority w:val="39"/>
    <w:pPr>
      <w:ind w:left="840" w:leftChars="400"/>
    </w:pPr>
  </w:style>
  <w:style w:type="paragraph" w:styleId="7">
    <w:name w:val="toc 8"/>
    <w:basedOn w:val="1"/>
    <w:next w:val="1"/>
    <w:unhideWhenUsed/>
    <w:qFormat/>
    <w:uiPriority w:val="39"/>
    <w:pPr>
      <w:ind w:left="2940" w:leftChars="1400"/>
    </w:pPr>
  </w:style>
  <w:style w:type="paragraph" w:styleId="8">
    <w:name w:val="Date"/>
    <w:basedOn w:val="1"/>
    <w:next w:val="1"/>
    <w:link w:val="34"/>
    <w:qFormat/>
    <w:uiPriority w:val="0"/>
    <w:pPr>
      <w:ind w:left="100" w:leftChars="2500"/>
    </w:pPr>
    <w:rPr>
      <w:rFonts w:ascii="Times New Roman" w:hAnsi="Times New Roman" w:eastAsia="宋体" w:cs="Times New Roman"/>
      <w:szCs w:val="24"/>
    </w:rPr>
  </w:style>
  <w:style w:type="paragraph" w:styleId="9">
    <w:name w:val="Balloon Text"/>
    <w:basedOn w:val="1"/>
    <w:link w:val="35"/>
    <w:qFormat/>
    <w:uiPriority w:val="0"/>
    <w:rPr>
      <w:rFonts w:ascii="Times New Roman" w:hAnsi="Times New Roman" w:eastAsia="宋体" w:cs="Times New Roman"/>
      <w:sz w:val="18"/>
      <w:szCs w:val="18"/>
    </w:rPr>
  </w:style>
  <w:style w:type="paragraph" w:styleId="10">
    <w:name w:val="footer"/>
    <w:basedOn w:val="1"/>
    <w:link w:val="31"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="Times New Roman" w:hAnsi="Times New Roman" w:eastAsia="宋体" w:cs="Times New Roman"/>
      <w:sz w:val="18"/>
      <w:szCs w:val="24"/>
    </w:rPr>
  </w:style>
  <w:style w:type="paragraph" w:styleId="11">
    <w:name w:val="header"/>
    <w:basedOn w:val="1"/>
    <w:link w:val="29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 w:eastAsia="宋体" w:cs="Times New Roman"/>
      <w:sz w:val="18"/>
      <w:szCs w:val="24"/>
    </w:rPr>
  </w:style>
  <w:style w:type="paragraph" w:styleId="12">
    <w:name w:val="toc 1"/>
    <w:basedOn w:val="1"/>
    <w:next w:val="1"/>
    <w:unhideWhenUsed/>
    <w:qFormat/>
    <w:uiPriority w:val="39"/>
  </w:style>
  <w:style w:type="paragraph" w:styleId="13">
    <w:name w:val="toc 4"/>
    <w:basedOn w:val="1"/>
    <w:next w:val="1"/>
    <w:unhideWhenUsed/>
    <w:qFormat/>
    <w:uiPriority w:val="39"/>
    <w:pPr>
      <w:ind w:left="1260" w:leftChars="600"/>
    </w:pPr>
  </w:style>
  <w:style w:type="paragraph" w:styleId="14">
    <w:name w:val="toc 6"/>
    <w:basedOn w:val="1"/>
    <w:next w:val="1"/>
    <w:unhideWhenUsed/>
    <w:qFormat/>
    <w:uiPriority w:val="39"/>
    <w:pPr>
      <w:ind w:left="2100" w:leftChars="1000"/>
    </w:pPr>
  </w:style>
  <w:style w:type="paragraph" w:styleId="15">
    <w:name w:val="Body Text Indent 3"/>
    <w:basedOn w:val="1"/>
    <w:link w:val="30"/>
    <w:qFormat/>
    <w:uiPriority w:val="0"/>
    <w:pPr>
      <w:spacing w:line="340" w:lineRule="exact"/>
      <w:ind w:firstLine="420" w:firstLineChars="200"/>
    </w:pPr>
    <w:rPr>
      <w:rFonts w:ascii="Times New Roman" w:hAnsi="Times New Roman" w:eastAsia="宋体" w:cs="Times New Roman"/>
      <w:iCs/>
      <w:color w:val="FF0000"/>
      <w:szCs w:val="24"/>
    </w:rPr>
  </w:style>
  <w:style w:type="paragraph" w:styleId="16">
    <w:name w:val="toc 2"/>
    <w:basedOn w:val="1"/>
    <w:next w:val="1"/>
    <w:unhideWhenUsed/>
    <w:qFormat/>
    <w:uiPriority w:val="39"/>
    <w:pPr>
      <w:ind w:left="420" w:leftChars="200"/>
    </w:pPr>
  </w:style>
  <w:style w:type="paragraph" w:styleId="17">
    <w:name w:val="toc 9"/>
    <w:basedOn w:val="1"/>
    <w:next w:val="1"/>
    <w:unhideWhenUsed/>
    <w:qFormat/>
    <w:uiPriority w:val="39"/>
    <w:pPr>
      <w:ind w:left="3360" w:leftChars="1600"/>
    </w:pPr>
  </w:style>
  <w:style w:type="character" w:styleId="19">
    <w:name w:val="page number"/>
    <w:qFormat/>
    <w:uiPriority w:val="0"/>
    <w:rPr>
      <w:rFonts w:ascii="Times New Roman" w:hAnsi="Times New Roman" w:eastAsia="宋体"/>
      <w:sz w:val="18"/>
    </w:rPr>
  </w:style>
  <w:style w:type="paragraph" w:customStyle="1" w:styleId="21">
    <w:name w:val="正文文本 (25)"/>
    <w:basedOn w:val="1"/>
    <w:qFormat/>
    <w:uiPriority w:val="0"/>
    <w:pPr>
      <w:widowControl/>
      <w:shd w:val="clear" w:color="auto" w:fill="FFFFFF"/>
      <w:spacing w:before="600" w:after="240" w:line="600" w:lineRule="exact"/>
      <w:jc w:val="right"/>
    </w:pPr>
    <w:rPr>
      <w:rFonts w:ascii="宋体" w:hAnsi="Times New Roman" w:eastAsia="宋体" w:cs="Times New Roman"/>
      <w:sz w:val="24"/>
      <w:szCs w:val="24"/>
    </w:rPr>
  </w:style>
  <w:style w:type="paragraph" w:customStyle="1" w:styleId="22">
    <w:name w:val="Default"/>
    <w:qFormat/>
    <w:uiPriority w:val="0"/>
    <w:pPr>
      <w:widowControl w:val="0"/>
      <w:autoSpaceDE w:val="0"/>
      <w:autoSpaceDN w:val="0"/>
      <w:adjustRightInd w:val="0"/>
      <w:jc w:val="both"/>
    </w:pPr>
    <w:rPr>
      <w:rFonts w:ascii="黑体" w:hAnsi="Times New Roman" w:eastAsia="黑体" w:cs="Times New Roman"/>
      <w:color w:val="000000"/>
      <w:kern w:val="0"/>
      <w:sz w:val="24"/>
      <w:szCs w:val="20"/>
      <w:lang w:val="en-US" w:eastAsia="zh-CN" w:bidi="ar-SA"/>
    </w:rPr>
  </w:style>
  <w:style w:type="paragraph" w:customStyle="1" w:styleId="23">
    <w:name w:val="段"/>
    <w:semiHidden/>
    <w:qFormat/>
    <w:uiPriority w:val="0"/>
    <w:pPr>
      <w:autoSpaceDE w:val="0"/>
      <w:autoSpaceDN w:val="0"/>
      <w:jc w:val="both"/>
    </w:pPr>
    <w:rPr>
      <w:rFonts w:ascii="宋体" w:hAnsi="Times New Roman" w:eastAsia="宋体" w:cs="Times New Roman"/>
      <w:kern w:val="0"/>
      <w:sz w:val="21"/>
      <w:szCs w:val="20"/>
      <w:lang w:val="en-US" w:eastAsia="zh-CN" w:bidi="ar-SA"/>
    </w:rPr>
  </w:style>
  <w:style w:type="paragraph" w:customStyle="1" w:styleId="24">
    <w:name w:val="02"/>
    <w:basedOn w:val="2"/>
    <w:link w:val="32"/>
    <w:qFormat/>
    <w:uiPriority w:val="0"/>
    <w:pPr>
      <w:overflowPunct w:val="0"/>
      <w:topLinePunct/>
      <w:spacing w:before="0" w:after="0" w:line="240" w:lineRule="auto"/>
    </w:pPr>
    <w:rPr>
      <w:rFonts w:ascii="Arial" w:hAnsi="Arial" w:eastAsia="黑体" w:cs="黑体"/>
      <w:b w:val="0"/>
      <w:bCs w:val="0"/>
      <w:kern w:val="2"/>
      <w:sz w:val="21"/>
      <w:szCs w:val="21"/>
    </w:rPr>
  </w:style>
  <w:style w:type="character" w:customStyle="1" w:styleId="25">
    <w:name w:val="正文文本 Char"/>
    <w:basedOn w:val="18"/>
    <w:link w:val="4"/>
    <w:qFormat/>
    <w:uiPriority w:val="0"/>
    <w:rPr>
      <w:rFonts w:ascii="宋体" w:eastAsia="宋体"/>
      <w:sz w:val="17"/>
      <w:szCs w:val="17"/>
      <w:shd w:val="clear" w:color="auto" w:fill="FFFFFF"/>
    </w:rPr>
  </w:style>
  <w:style w:type="character" w:customStyle="1" w:styleId="26">
    <w:name w:val="正文文本 Char1"/>
    <w:basedOn w:val="18"/>
    <w:semiHidden/>
    <w:qFormat/>
    <w:uiPriority w:val="99"/>
  </w:style>
  <w:style w:type="character" w:customStyle="1" w:styleId="27">
    <w:name w:val="标题 1 Char"/>
    <w:basedOn w:val="18"/>
    <w:link w:val="2"/>
    <w:qFormat/>
    <w:uiPriority w:val="0"/>
    <w:rPr>
      <w:rFonts w:ascii="Times New Roman" w:hAnsi="Times New Roman" w:eastAsia="宋体" w:cs="Times New Roman"/>
      <w:b/>
      <w:bCs/>
      <w:kern w:val="44"/>
      <w:sz w:val="44"/>
      <w:szCs w:val="44"/>
    </w:rPr>
  </w:style>
  <w:style w:type="character" w:customStyle="1" w:styleId="28">
    <w:name w:val="正文文本 + MS Gothic"/>
    <w:qFormat/>
    <w:uiPriority w:val="0"/>
    <w:rPr>
      <w:rFonts w:ascii="MS Gothic" w:eastAsia="MS Gothic" w:cs="MS Gothic"/>
      <w:spacing w:val="9"/>
      <w:sz w:val="14"/>
      <w:szCs w:val="14"/>
      <w:shd w:val="clear" w:color="auto" w:fill="FFFFFF"/>
    </w:rPr>
  </w:style>
  <w:style w:type="character" w:customStyle="1" w:styleId="29">
    <w:name w:val="页眉 Char"/>
    <w:basedOn w:val="18"/>
    <w:link w:val="11"/>
    <w:qFormat/>
    <w:uiPriority w:val="0"/>
    <w:rPr>
      <w:rFonts w:ascii="Times New Roman" w:hAnsi="Times New Roman" w:eastAsia="宋体" w:cs="Times New Roman"/>
      <w:sz w:val="18"/>
      <w:szCs w:val="24"/>
    </w:rPr>
  </w:style>
  <w:style w:type="character" w:customStyle="1" w:styleId="30">
    <w:name w:val="正文文本缩进 3 Char"/>
    <w:basedOn w:val="18"/>
    <w:link w:val="15"/>
    <w:qFormat/>
    <w:uiPriority w:val="0"/>
    <w:rPr>
      <w:rFonts w:ascii="Times New Roman" w:hAnsi="Times New Roman" w:eastAsia="宋体" w:cs="Times New Roman"/>
      <w:iCs/>
      <w:color w:val="FF0000"/>
      <w:szCs w:val="24"/>
    </w:rPr>
  </w:style>
  <w:style w:type="character" w:customStyle="1" w:styleId="31">
    <w:name w:val="页脚 Char"/>
    <w:basedOn w:val="18"/>
    <w:link w:val="10"/>
    <w:qFormat/>
    <w:uiPriority w:val="99"/>
    <w:rPr>
      <w:rFonts w:ascii="Times New Roman" w:hAnsi="Times New Roman" w:eastAsia="宋体" w:cs="Times New Roman"/>
      <w:sz w:val="18"/>
      <w:szCs w:val="24"/>
    </w:rPr>
  </w:style>
  <w:style w:type="character" w:customStyle="1" w:styleId="32">
    <w:name w:val="02 Char"/>
    <w:link w:val="24"/>
    <w:qFormat/>
    <w:uiPriority w:val="0"/>
    <w:rPr>
      <w:rFonts w:ascii="Arial" w:hAnsi="Arial" w:eastAsia="黑体"/>
      <w:szCs w:val="21"/>
    </w:rPr>
  </w:style>
  <w:style w:type="character" w:customStyle="1" w:styleId="33">
    <w:name w:val="样式 宋体2"/>
    <w:qFormat/>
    <w:uiPriority w:val="0"/>
    <w:rPr>
      <w:rFonts w:ascii="宋体" w:hAnsi="宋体" w:eastAsia="Times New Roman"/>
    </w:rPr>
  </w:style>
  <w:style w:type="character" w:customStyle="1" w:styleId="34">
    <w:name w:val="日期 Char"/>
    <w:basedOn w:val="18"/>
    <w:link w:val="8"/>
    <w:qFormat/>
    <w:uiPriority w:val="0"/>
    <w:rPr>
      <w:rFonts w:ascii="Times New Roman" w:hAnsi="Times New Roman" w:eastAsia="宋体" w:cs="Times New Roman"/>
      <w:szCs w:val="24"/>
    </w:rPr>
  </w:style>
  <w:style w:type="character" w:customStyle="1" w:styleId="35">
    <w:name w:val="批注框文本 Char"/>
    <w:basedOn w:val="18"/>
    <w:link w:val="9"/>
    <w:qFormat/>
    <w:uiPriority w:val="0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oter" Target="footer6.xml"/><Relationship Id="rId8" Type="http://schemas.openxmlformats.org/officeDocument/2006/relationships/footer" Target="footer5.xml"/><Relationship Id="rId7" Type="http://schemas.openxmlformats.org/officeDocument/2006/relationships/footer" Target="footer4.xml"/><Relationship Id="rId6" Type="http://schemas.openxmlformats.org/officeDocument/2006/relationships/footer" Target="footer3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3" Type="http://schemas.openxmlformats.org/officeDocument/2006/relationships/fontTable" Target="fontTable.xml"/><Relationship Id="rId12" Type="http://schemas.openxmlformats.org/officeDocument/2006/relationships/numbering" Target="numbering.xml"/><Relationship Id="rId11" Type="http://schemas.openxmlformats.org/officeDocument/2006/relationships/customXml" Target="../customXml/item1.xml"/><Relationship Id="rId10" Type="http://schemas.openxmlformats.org/officeDocument/2006/relationships/theme" Target="theme/theme1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2050" textRotate="1"/>
    <customShpInfo spid="_x0000_s2049" textRotate="1"/>
    <customShpInfo spid="_x0000_s2052" textRotate="1"/>
    <customShpInfo spid="_x0000_s2051" textRotate="1"/>
    <customShpInfo spid="_x0000_s1030" textRotate="1"/>
    <customShpInfo spid="_x0000_s1031" textRotate="1"/>
    <customShpInfo spid="_x0000_s1032" textRotate="1"/>
    <customShpInfo spid="_x0000_s1033" textRotate="1"/>
    <customShpInfo spid="_x0000_s1034" textRotate="1"/>
    <customShpInfo spid="_x0000_s1035" textRotate="1"/>
    <customShpInfo spid="_x0000_s1036" textRotate="1"/>
    <customShpInfo spid="_x0000_s1037" textRotate="1"/>
    <customShpInfo spid="_x0000_s1038" textRotate="1"/>
    <customShpInfo spid="_x0000_s1039" textRotate="1"/>
    <customShpInfo spid="_x0000_s1040" textRotate="1"/>
    <customShpInfo spid="_x0000_s1041" textRotate="1"/>
    <customShpInfo spid="_x0000_s1042" textRotate="1"/>
    <customShpInfo spid="_x0000_s1043" textRotate="1"/>
    <customShpInfo spid="_x0000_s1044" textRotate="1"/>
    <customShpInfo spid="_x0000_s1045" textRotate="1"/>
    <customShpInfo spid="_x0000_s104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13</Pages>
  <Words>1260</Words>
  <Characters>7184</Characters>
  <Lines>59</Lines>
  <Paragraphs>16</Paragraphs>
  <ScaleCrop>false</ScaleCrop>
  <LinksUpToDate>false</LinksUpToDate>
  <CharactersWithSpaces>0</CharactersWithSpaces>
  <Application>WPS Office_10.1.0.6135_F1E327BC-269C-435d-A152-05C5408002CA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2014-12-08T12:11:00Z</dcterms:created>
  <dc:creator>DELL-N4050</dc:creator>
  <cp:lastModifiedBy>Administrator</cp:lastModifiedBy>
  <cp:lastPrinted>2016-05-01T03:41:00Z</cp:lastPrinted>
  <dcterms:modified xsi:type="dcterms:W3CDTF">2016-12-20T12:47:54Z</dcterms:modified>
  <dc:title>常州亿晶100MWp“渔光一体”光伏发电项目</dc:title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2052-10.1.0.6135</vt:lpwstr>
  </property>
</Properties>
</file>