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color w:val="000000"/>
          <w:kern w:val="0"/>
          <w:sz w:val="24"/>
        </w:rPr>
      </w:pPr>
    </w:p>
    <w:p>
      <w:pPr>
        <w:ind w:left="3300" w:hanging="3300" w:hangingChars="750"/>
        <w:rPr>
          <w:rFonts w:hint="eastAsia" w:ascii="宋体" w:hAnsi="宋体"/>
          <w:sz w:val="44"/>
          <w:szCs w:val="44"/>
        </w:rPr>
      </w:pPr>
    </w:p>
    <w:p>
      <w:pPr>
        <w:spacing w:before="156"/>
        <w:jc w:val="center"/>
        <w:rPr>
          <w:rFonts w:eastAsia="黑体"/>
          <w:b/>
          <w:bCs/>
          <w:sz w:val="100"/>
        </w:rPr>
      </w:pPr>
      <w:r>
        <w:rPr>
          <w:rFonts w:hint="eastAsia" w:eastAsia="黑体"/>
          <w:b/>
          <w:bCs/>
          <w:sz w:val="100"/>
        </w:rPr>
        <w:t>监</w:t>
      </w:r>
      <w:r>
        <w:rPr>
          <w:rFonts w:hint="eastAsia" w:eastAsia="黑体"/>
          <w:b/>
          <w:bCs/>
          <w:sz w:val="100"/>
          <w:lang w:val="en-US" w:eastAsia="zh-CN"/>
        </w:rPr>
        <w:t xml:space="preserve"> </w:t>
      </w:r>
      <w:r>
        <w:rPr>
          <w:rFonts w:hint="eastAsia" w:eastAsia="黑体"/>
          <w:b/>
          <w:bCs/>
          <w:sz w:val="100"/>
        </w:rPr>
        <w:t>理</w:t>
      </w:r>
      <w:r>
        <w:rPr>
          <w:rFonts w:hint="eastAsia" w:eastAsia="黑体"/>
          <w:b/>
          <w:bCs/>
          <w:sz w:val="100"/>
          <w:lang w:val="en-US" w:eastAsia="zh-CN"/>
        </w:rPr>
        <w:t xml:space="preserve"> </w:t>
      </w:r>
      <w:r>
        <w:rPr>
          <w:rFonts w:hint="eastAsia" w:eastAsia="黑体"/>
          <w:b/>
          <w:bCs/>
          <w:sz w:val="100"/>
        </w:rPr>
        <w:t>细</w:t>
      </w:r>
      <w:r>
        <w:rPr>
          <w:rFonts w:hint="eastAsia" w:eastAsia="黑体"/>
          <w:b/>
          <w:bCs/>
          <w:sz w:val="100"/>
          <w:lang w:val="en-US" w:eastAsia="zh-CN"/>
        </w:rPr>
        <w:t xml:space="preserve"> </w:t>
      </w:r>
      <w:r>
        <w:rPr>
          <w:rFonts w:hint="eastAsia" w:eastAsia="黑体"/>
          <w:b/>
          <w:bCs/>
          <w:sz w:val="100"/>
        </w:rPr>
        <w:t>则</w:t>
      </w:r>
    </w:p>
    <w:p>
      <w:pPr>
        <w:jc w:val="center"/>
        <w:rPr>
          <w:rFonts w:hint="eastAsia" w:ascii="黑体" w:eastAsia="黑体"/>
          <w:sz w:val="36"/>
          <w:szCs w:val="36"/>
        </w:rPr>
      </w:pPr>
      <w:r>
        <w:rPr>
          <w:rFonts w:hint="eastAsia" w:ascii="黑体" w:eastAsia="黑体"/>
          <w:sz w:val="36"/>
          <w:szCs w:val="36"/>
        </w:rPr>
        <w:t>（</w:t>
      </w:r>
      <w:r>
        <w:rPr>
          <w:rFonts w:hint="eastAsia" w:ascii="黑体" w:eastAsia="黑体"/>
          <w:b/>
          <w:sz w:val="36"/>
          <w:szCs w:val="36"/>
          <w:lang w:val="en-US" w:eastAsia="zh-CN"/>
        </w:rPr>
        <w:t>土建部分</w:t>
      </w:r>
      <w:r>
        <w:rPr>
          <w:rFonts w:hint="eastAsia" w:ascii="黑体" w:eastAsia="黑体"/>
          <w:sz w:val="36"/>
          <w:szCs w:val="36"/>
        </w:rPr>
        <w:t>）</w:t>
      </w:r>
    </w:p>
    <w:p>
      <w:pPr>
        <w:spacing w:before="156"/>
        <w:rPr>
          <w:rFonts w:hint="eastAsia"/>
          <w:sz w:val="30"/>
          <w:u w:val="single"/>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2"/>
          <w:szCs w:val="32"/>
        </w:rPr>
      </w:pPr>
      <w:r>
        <w:rPr>
          <w:rFonts w:hint="eastAsia"/>
          <w:sz w:val="32"/>
          <w:szCs w:val="32"/>
        </w:rPr>
        <w:t>常州正衡电力工程监理有限公司</w:t>
      </w:r>
    </w:p>
    <w:p>
      <w:pPr>
        <w:jc w:val="center"/>
        <w:rPr>
          <w:rFonts w:hint="eastAsia" w:ascii="宋体" w:hAnsi="宋体" w:cs="宋体"/>
          <w:b w:val="0"/>
          <w:bCs w:val="0"/>
          <w:kern w:val="2"/>
          <w:sz w:val="32"/>
          <w:szCs w:val="32"/>
        </w:rPr>
      </w:pPr>
      <w:r>
        <w:rPr>
          <w:rFonts w:hint="eastAsia" w:ascii="宋体" w:hAnsi="宋体" w:cs="宋体"/>
          <w:b w:val="0"/>
          <w:bCs w:val="0"/>
          <w:kern w:val="2"/>
          <w:sz w:val="32"/>
          <w:szCs w:val="32"/>
        </w:rPr>
        <w:t>诸暨鼎晖新能源有限公司</w:t>
      </w:r>
    </w:p>
    <w:p>
      <w:pPr>
        <w:jc w:val="center"/>
        <w:rPr>
          <w:rFonts w:hint="eastAsia"/>
          <w:sz w:val="32"/>
          <w:szCs w:val="32"/>
        </w:rPr>
      </w:pPr>
      <w:r>
        <w:rPr>
          <w:rFonts w:hint="eastAsia"/>
          <w:sz w:val="32"/>
          <w:szCs w:val="32"/>
        </w:rPr>
        <w:t>分布式光伏电站监理项目部  编制</w:t>
      </w:r>
    </w:p>
    <w:p>
      <w:pPr>
        <w:spacing w:before="156" w:beforeLines="50"/>
        <w:jc w:val="center"/>
        <w:rPr>
          <w:rFonts w:hint="eastAsia" w:ascii="宋体" w:hAnsi="宋体"/>
          <w:bCs/>
          <w:sz w:val="32"/>
          <w:szCs w:val="32"/>
        </w:rPr>
      </w:pPr>
      <w:r>
        <w:rPr>
          <w:rFonts w:hint="eastAsia" w:ascii="宋体" w:hAnsi="宋体"/>
          <w:bCs/>
          <w:sz w:val="32"/>
          <w:szCs w:val="32"/>
        </w:rPr>
        <w:t>二○一</w:t>
      </w:r>
      <w:r>
        <w:rPr>
          <w:rFonts w:hint="eastAsia" w:ascii="宋体" w:hAnsi="宋体"/>
          <w:bCs/>
          <w:sz w:val="32"/>
          <w:szCs w:val="32"/>
          <w:lang w:val="en-US" w:eastAsia="zh-CN"/>
        </w:rPr>
        <w:t>六</w:t>
      </w:r>
      <w:r>
        <w:rPr>
          <w:rFonts w:hint="eastAsia" w:ascii="宋体" w:hAnsi="宋体"/>
          <w:bCs/>
          <w:sz w:val="32"/>
          <w:szCs w:val="32"/>
        </w:rPr>
        <w:t>年</w:t>
      </w:r>
      <w:r>
        <w:rPr>
          <w:rFonts w:hint="eastAsia" w:ascii="宋体" w:hAnsi="宋体"/>
          <w:bCs/>
          <w:sz w:val="32"/>
          <w:szCs w:val="32"/>
          <w:lang w:val="en-US" w:eastAsia="zh-CN"/>
        </w:rPr>
        <w:t>八</w:t>
      </w:r>
      <w:r>
        <w:rPr>
          <w:rFonts w:hint="eastAsia" w:ascii="宋体" w:hAnsi="宋体"/>
          <w:bCs/>
          <w:sz w:val="32"/>
          <w:szCs w:val="32"/>
        </w:rPr>
        <w:t>月</w:t>
      </w:r>
    </w:p>
    <w:p>
      <w:pPr>
        <w:widowControl/>
        <w:wordWrap w:val="0"/>
        <w:spacing w:before="100" w:beforeAutospacing="1" w:after="100" w:afterAutospacing="1" w:line="24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rPr>
        <w:t>浙江恒瑞达科技纺织有限公司1663.75KW分布式光伏发电项目</w:t>
      </w:r>
    </w:p>
    <w:p>
      <w:pPr>
        <w:widowControl/>
        <w:wordWrap w:val="0"/>
        <w:spacing w:before="100" w:beforeAutospacing="1" w:after="100" w:afterAutospacing="1" w:line="240" w:lineRule="auto"/>
        <w:jc w:val="center"/>
        <w:rPr>
          <w:rFonts w:ascii="宋体" w:hAnsi="宋体" w:cs="宋体"/>
          <w:b/>
          <w:bCs/>
          <w:color w:val="000000"/>
          <w:kern w:val="0"/>
          <w:sz w:val="32"/>
          <w:szCs w:val="32"/>
        </w:rPr>
      </w:pPr>
      <w:r>
        <w:rPr>
          <w:rFonts w:hint="eastAsia" w:ascii="宋体" w:hAnsi="宋体" w:eastAsia="宋体" w:cs="宋体"/>
          <w:b/>
          <w:bCs/>
          <w:kern w:val="2"/>
          <w:sz w:val="32"/>
          <w:szCs w:val="32"/>
        </w:rPr>
        <w:t>浙江中蒙实业有限公司677.6KW分布式光伏发电项目</w:t>
      </w:r>
    </w:p>
    <w:p>
      <w:pPr>
        <w:widowControl/>
        <w:wordWrap w:val="0"/>
        <w:spacing w:before="100" w:beforeAutospacing="1" w:after="100" w:afterAutospacing="1" w:line="427" w:lineRule="auto"/>
        <w:ind w:firstLine="480"/>
        <w:jc w:val="center"/>
        <w:rPr>
          <w:rFonts w:ascii="宋体" w:hAnsi="宋体" w:cs="宋体"/>
          <w:b/>
          <w:bCs/>
          <w:color w:val="000000"/>
          <w:kern w:val="0"/>
          <w:sz w:val="24"/>
        </w:rPr>
      </w:pPr>
    </w:p>
    <w:p>
      <w:pPr>
        <w:ind w:left="3300" w:hanging="3300" w:hangingChars="750"/>
        <w:rPr>
          <w:rFonts w:hint="eastAsia" w:ascii="宋体" w:hAnsi="宋体"/>
          <w:sz w:val="44"/>
          <w:szCs w:val="44"/>
        </w:rPr>
      </w:pPr>
    </w:p>
    <w:p>
      <w:pPr>
        <w:spacing w:before="156"/>
        <w:jc w:val="center"/>
        <w:rPr>
          <w:rFonts w:eastAsia="黑体"/>
          <w:b/>
          <w:bCs/>
          <w:sz w:val="100"/>
        </w:rPr>
      </w:pPr>
      <w:r>
        <w:rPr>
          <w:rFonts w:hint="eastAsia" w:eastAsia="黑体"/>
          <w:b/>
          <w:bCs/>
          <w:sz w:val="100"/>
        </w:rPr>
        <w:t>监</w:t>
      </w:r>
      <w:r>
        <w:rPr>
          <w:rFonts w:hint="eastAsia" w:eastAsia="黑体"/>
          <w:b/>
          <w:bCs/>
          <w:sz w:val="100"/>
          <w:lang w:val="en-US" w:eastAsia="zh-CN"/>
        </w:rPr>
        <w:t xml:space="preserve"> </w:t>
      </w:r>
      <w:r>
        <w:rPr>
          <w:rFonts w:hint="eastAsia" w:eastAsia="黑体"/>
          <w:b/>
          <w:bCs/>
          <w:sz w:val="100"/>
        </w:rPr>
        <w:t>理</w:t>
      </w:r>
      <w:r>
        <w:rPr>
          <w:rFonts w:hint="eastAsia" w:eastAsia="黑体"/>
          <w:b/>
          <w:bCs/>
          <w:sz w:val="100"/>
          <w:lang w:val="en-US" w:eastAsia="zh-CN"/>
        </w:rPr>
        <w:t xml:space="preserve"> </w:t>
      </w:r>
      <w:r>
        <w:rPr>
          <w:rFonts w:hint="eastAsia" w:eastAsia="黑体"/>
          <w:b/>
          <w:bCs/>
          <w:sz w:val="100"/>
        </w:rPr>
        <w:t>细</w:t>
      </w:r>
      <w:r>
        <w:rPr>
          <w:rFonts w:hint="eastAsia" w:eastAsia="黑体"/>
          <w:b/>
          <w:bCs/>
          <w:sz w:val="100"/>
          <w:lang w:val="en-US" w:eastAsia="zh-CN"/>
        </w:rPr>
        <w:t xml:space="preserve"> </w:t>
      </w:r>
      <w:r>
        <w:rPr>
          <w:rFonts w:hint="eastAsia" w:eastAsia="黑体"/>
          <w:b/>
          <w:bCs/>
          <w:sz w:val="100"/>
        </w:rPr>
        <w:t>则</w:t>
      </w:r>
    </w:p>
    <w:p>
      <w:pPr>
        <w:jc w:val="center"/>
        <w:rPr>
          <w:rFonts w:hint="eastAsia" w:ascii="黑体" w:eastAsia="黑体"/>
          <w:sz w:val="36"/>
          <w:szCs w:val="36"/>
        </w:rPr>
      </w:pPr>
      <w:r>
        <w:rPr>
          <w:rFonts w:hint="eastAsia" w:ascii="黑体" w:eastAsia="黑体"/>
          <w:sz w:val="36"/>
          <w:szCs w:val="36"/>
        </w:rPr>
        <w:t>（</w:t>
      </w:r>
      <w:r>
        <w:rPr>
          <w:rFonts w:hint="eastAsia" w:ascii="黑体" w:eastAsia="黑体"/>
          <w:b/>
          <w:sz w:val="36"/>
          <w:szCs w:val="36"/>
          <w:lang w:val="en-US" w:eastAsia="zh-CN"/>
        </w:rPr>
        <w:t>土建部分</w:t>
      </w:r>
      <w:r>
        <w:rPr>
          <w:rFonts w:hint="eastAsia" w:ascii="黑体" w:eastAsia="黑体"/>
          <w:sz w:val="36"/>
          <w:szCs w:val="36"/>
        </w:rPr>
        <w:t>）</w:t>
      </w:r>
    </w:p>
    <w:p>
      <w:pPr>
        <w:tabs>
          <w:tab w:val="left" w:pos="4830"/>
        </w:tabs>
        <w:topLinePunct/>
        <w:ind w:firstLine="1120" w:firstLineChars="350"/>
        <w:rPr>
          <w:rFonts w:hint="eastAsia" w:ascii="宋体" w:hAnsi="宋体"/>
          <w:color w:val="000000"/>
          <w:kern w:val="21"/>
          <w:sz w:val="32"/>
          <w:szCs w:val="32"/>
          <w:lang w:val="en-US" w:eastAsia="zh-CN"/>
        </w:rPr>
      </w:pPr>
      <w:r>
        <w:rPr>
          <w:rFonts w:hint="eastAsia"/>
          <w:b/>
          <w:bCs/>
          <w:sz w:val="30"/>
          <w:lang w:val="en-US" w:eastAsia="zh-CN"/>
        </w:rPr>
        <w:t xml:space="preserve">  </w:t>
      </w:r>
      <w:r>
        <w:rPr>
          <w:rFonts w:hint="eastAsia" w:ascii="宋体" w:hAnsi="宋体"/>
          <w:color w:val="000000"/>
          <w:kern w:val="21"/>
          <w:sz w:val="32"/>
          <w:szCs w:val="32"/>
          <w:lang w:val="en-US" w:eastAsia="zh-CN"/>
        </w:rPr>
        <w:t xml:space="preserve"> </w:t>
      </w: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lang w:val="en-US" w:eastAsia="zh-CN"/>
        </w:rPr>
      </w:pPr>
    </w:p>
    <w:p>
      <w:pPr>
        <w:tabs>
          <w:tab w:val="left" w:pos="4830"/>
        </w:tabs>
        <w:topLinePunct/>
        <w:ind w:firstLine="1120" w:firstLineChars="350"/>
        <w:rPr>
          <w:rFonts w:hint="eastAsia" w:ascii="宋体" w:hAnsi="宋体"/>
          <w:color w:val="000000"/>
          <w:kern w:val="21"/>
          <w:sz w:val="32"/>
          <w:szCs w:val="32"/>
        </w:rPr>
      </w:pP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编  制：</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审  核：</w:t>
      </w:r>
      <w:r>
        <w:rPr>
          <w:rFonts w:hint="eastAsia" w:ascii="宋体" w:hAnsi="宋体"/>
          <w:color w:val="000000"/>
          <w:kern w:val="21"/>
          <w:sz w:val="32"/>
          <w:szCs w:val="32"/>
          <w:u w:val="single"/>
        </w:rPr>
        <w:t xml:space="preserve">                       </w:t>
      </w:r>
    </w:p>
    <w:p>
      <w:pPr>
        <w:tabs>
          <w:tab w:val="left" w:pos="4830"/>
        </w:tabs>
        <w:topLinePunct/>
        <w:rPr>
          <w:rFonts w:hint="eastAsia" w:ascii="宋体" w:hAnsi="宋体"/>
          <w:color w:val="000000"/>
          <w:kern w:val="21"/>
          <w:sz w:val="32"/>
          <w:szCs w:val="32"/>
        </w:rPr>
      </w:pPr>
      <w:r>
        <w:rPr>
          <w:rFonts w:hint="eastAsia" w:ascii="宋体" w:hAnsi="宋体"/>
          <w:color w:val="000000"/>
          <w:kern w:val="21"/>
          <w:sz w:val="32"/>
          <w:szCs w:val="32"/>
        </w:rPr>
        <w:t xml:space="preserve">         </w:t>
      </w:r>
      <w:r>
        <w:rPr>
          <w:rFonts w:hint="eastAsia" w:ascii="宋体" w:hAnsi="宋体"/>
          <w:color w:val="000000"/>
          <w:kern w:val="21"/>
          <w:sz w:val="32"/>
          <w:szCs w:val="32"/>
          <w:lang w:val="en-US" w:eastAsia="zh-CN"/>
        </w:rPr>
        <w:t xml:space="preserve">     </w:t>
      </w:r>
      <w:r>
        <w:rPr>
          <w:rFonts w:hint="eastAsia" w:ascii="宋体" w:hAnsi="宋体"/>
          <w:color w:val="000000"/>
          <w:kern w:val="21"/>
          <w:sz w:val="32"/>
          <w:szCs w:val="32"/>
        </w:rPr>
        <w:t>批  准：</w:t>
      </w:r>
      <w:r>
        <w:rPr>
          <w:rFonts w:hint="eastAsia" w:ascii="宋体" w:hAnsi="宋体"/>
          <w:color w:val="000000"/>
          <w:kern w:val="21"/>
          <w:sz w:val="32"/>
          <w:szCs w:val="32"/>
          <w:u w:val="single"/>
        </w:rPr>
        <w:t xml:space="preserve">                       </w:t>
      </w:r>
    </w:p>
    <w:p>
      <w:pPr>
        <w:tabs>
          <w:tab w:val="left" w:pos="4830"/>
        </w:tabs>
        <w:rPr>
          <w:rFonts w:hint="eastAsia"/>
          <w:sz w:val="18"/>
          <w:szCs w:val="18"/>
        </w:rPr>
      </w:pPr>
    </w:p>
    <w:p>
      <w:pPr>
        <w:tabs>
          <w:tab w:val="left" w:pos="4830"/>
        </w:tabs>
        <w:rPr>
          <w:rFonts w:hint="eastAsia"/>
          <w:sz w:val="18"/>
          <w:szCs w:val="18"/>
        </w:rPr>
      </w:pPr>
    </w:p>
    <w:p>
      <w:pPr>
        <w:tabs>
          <w:tab w:val="left" w:pos="4830"/>
        </w:tabs>
        <w:jc w:val="center"/>
        <w:rPr>
          <w:rFonts w:hint="eastAsia"/>
          <w:sz w:val="30"/>
          <w:szCs w:val="30"/>
        </w:rPr>
      </w:pPr>
    </w:p>
    <w:p>
      <w:pPr>
        <w:tabs>
          <w:tab w:val="left" w:pos="4830"/>
        </w:tabs>
        <w:jc w:val="center"/>
        <w:rPr>
          <w:rFonts w:hint="eastAsia"/>
          <w:sz w:val="30"/>
          <w:szCs w:val="30"/>
        </w:rPr>
      </w:pPr>
      <w:r>
        <w:rPr>
          <w:rFonts w:hint="eastAsia"/>
          <w:sz w:val="30"/>
          <w:szCs w:val="30"/>
        </w:rPr>
        <w:t>编制单位：常州正衡电力工程监理有限公司</w:t>
      </w:r>
    </w:p>
    <w:p>
      <w:pPr>
        <w:tabs>
          <w:tab w:val="left" w:pos="4830"/>
        </w:tabs>
        <w:jc w:val="center"/>
        <w:rPr>
          <w:rFonts w:hint="eastAsia"/>
          <w:sz w:val="30"/>
          <w:szCs w:val="30"/>
        </w:rPr>
      </w:pPr>
      <w:r>
        <w:rPr>
          <w:rFonts w:hint="eastAsia" w:ascii="宋体" w:hAnsi="宋体" w:cs="宋体"/>
          <w:b w:val="0"/>
          <w:bCs w:val="0"/>
          <w:kern w:val="2"/>
          <w:sz w:val="30"/>
          <w:szCs w:val="30"/>
        </w:rPr>
        <w:t>诸暨鼎晖新能源有限公司</w:t>
      </w:r>
      <w:r>
        <w:rPr>
          <w:rFonts w:hint="eastAsia"/>
          <w:sz w:val="30"/>
          <w:szCs w:val="30"/>
        </w:rPr>
        <w:t>分布式光伏电站项目监理部</w:t>
      </w:r>
    </w:p>
    <w:p>
      <w:pPr>
        <w:tabs>
          <w:tab w:val="left" w:pos="4830"/>
        </w:tabs>
        <w:spacing w:before="156" w:beforeLines="50"/>
        <w:jc w:val="center"/>
        <w:rPr>
          <w:rFonts w:hint="eastAsia" w:ascii="宋体" w:hAnsi="宋体"/>
          <w:b/>
          <w:sz w:val="112"/>
          <w:szCs w:val="112"/>
        </w:rPr>
      </w:pPr>
      <w:r>
        <w:rPr>
          <w:rFonts w:hint="eastAsia" w:ascii="宋体" w:hAnsi="宋体" w:cs="宋体"/>
          <w:color w:val="000000"/>
          <w:kern w:val="0"/>
          <w:sz w:val="30"/>
          <w:szCs w:val="30"/>
        </w:rPr>
        <w:t>时间：</w:t>
      </w:r>
      <w:r>
        <w:rPr>
          <w:rFonts w:hint="eastAsia" w:ascii="宋体" w:hAnsi="宋体"/>
          <w:bCs/>
          <w:sz w:val="30"/>
          <w:szCs w:val="30"/>
        </w:rPr>
        <w:t>二○一</w:t>
      </w:r>
      <w:r>
        <w:rPr>
          <w:rFonts w:hint="eastAsia" w:ascii="宋体" w:hAnsi="宋体"/>
          <w:bCs/>
          <w:sz w:val="30"/>
          <w:szCs w:val="30"/>
          <w:lang w:val="en-US" w:eastAsia="zh-CN"/>
        </w:rPr>
        <w:t>六</w:t>
      </w:r>
      <w:r>
        <w:rPr>
          <w:rFonts w:hint="eastAsia" w:ascii="宋体" w:hAnsi="宋体"/>
          <w:bCs/>
          <w:sz w:val="30"/>
          <w:szCs w:val="30"/>
        </w:rPr>
        <w:t>年</w:t>
      </w:r>
      <w:r>
        <w:rPr>
          <w:rFonts w:hint="eastAsia" w:ascii="宋体" w:hAnsi="宋体"/>
          <w:bCs/>
          <w:sz w:val="30"/>
          <w:szCs w:val="30"/>
          <w:lang w:val="en-US" w:eastAsia="zh-CN"/>
        </w:rPr>
        <w:t>八</w:t>
      </w:r>
      <w:r>
        <w:rPr>
          <w:rFonts w:hint="eastAsia" w:ascii="宋体" w:hAnsi="宋体"/>
          <w:bCs/>
          <w:sz w:val="30"/>
          <w:szCs w:val="30"/>
        </w:rPr>
        <w:t>月</w:t>
      </w:r>
    </w:p>
    <w:p>
      <w:pPr>
        <w:rPr>
          <w:rFonts w:hint="eastAsia" w:ascii="宋体" w:hAnsi="宋体" w:cs="隶书"/>
          <w:sz w:val="32"/>
          <w:szCs w:val="32"/>
        </w:rPr>
        <w:sectPr>
          <w:headerReference r:id="rId3" w:type="default"/>
          <w:pgSz w:w="11906" w:h="16838"/>
          <w:pgMar w:top="1440" w:right="1080" w:bottom="1440" w:left="1080" w:header="851" w:footer="992" w:gutter="0"/>
          <w:pgNumType w:fmt="decimal"/>
          <w:cols w:space="720" w:num="1"/>
          <w:docGrid w:type="lines" w:linePitch="312" w:charSpace="0"/>
        </w:sectPr>
      </w:pPr>
    </w:p>
    <w:p>
      <w:pPr>
        <w:spacing w:line="360" w:lineRule="auto"/>
        <w:rPr>
          <w:rFonts w:hint="eastAsia"/>
          <w:sz w:val="24"/>
          <w:szCs w:val="24"/>
        </w:rPr>
      </w:pPr>
      <w:r>
        <w:rPr>
          <w:rFonts w:hint="eastAsia" w:ascii="宋体" w:hAnsi="宋体" w:cs="宋体"/>
          <w:b w:val="0"/>
          <w:bCs w:val="0"/>
          <w:kern w:val="2"/>
          <w:sz w:val="28"/>
          <w:szCs w:val="28"/>
          <w:lang w:val="en-US" w:eastAsia="zh-CN"/>
        </w:rPr>
        <w:t xml:space="preserve">    </w:t>
      </w:r>
      <w:r>
        <w:rPr>
          <w:rFonts w:hint="eastAsia" w:ascii="宋体" w:hAnsi="宋体" w:cs="宋体"/>
          <w:b w:val="0"/>
          <w:bCs w:val="0"/>
          <w:kern w:val="2"/>
          <w:sz w:val="24"/>
          <w:szCs w:val="24"/>
        </w:rPr>
        <w:t>诸暨鼎晖新能源有限公司</w:t>
      </w:r>
      <w:r>
        <w:rPr>
          <w:rFonts w:hint="eastAsia" w:ascii="宋体" w:hAnsi="宋体" w:eastAsia="宋体" w:cs="宋体"/>
          <w:b w:val="0"/>
          <w:bCs w:val="0"/>
          <w:kern w:val="2"/>
          <w:sz w:val="24"/>
          <w:szCs w:val="24"/>
        </w:rPr>
        <w:t>浙江恒瑞达科技纺织有限公司1663.75KW分布式光伏发电</w:t>
      </w:r>
      <w:r>
        <w:rPr>
          <w:rFonts w:hint="eastAsia" w:ascii="宋体" w:hAnsi="宋体" w:eastAsia="宋体" w:cs="宋体"/>
          <w:b w:val="0"/>
          <w:bCs w:val="0"/>
          <w:kern w:val="2"/>
          <w:sz w:val="24"/>
          <w:szCs w:val="24"/>
          <w:lang w:val="en-US" w:eastAsia="zh-CN"/>
        </w:rPr>
        <w:t>项目</w:t>
      </w:r>
      <w:r>
        <w:rPr>
          <w:rFonts w:hint="eastAsia" w:ascii="宋体" w:hAnsi="宋体" w:cs="宋体"/>
          <w:b w:val="0"/>
          <w:bCs w:val="0"/>
          <w:kern w:val="2"/>
          <w:sz w:val="24"/>
          <w:szCs w:val="24"/>
          <w:lang w:val="en-US" w:eastAsia="zh-CN"/>
        </w:rPr>
        <w:t>和</w:t>
      </w:r>
      <w:r>
        <w:rPr>
          <w:rFonts w:hint="eastAsia" w:ascii="宋体" w:hAnsi="宋体" w:eastAsia="宋体" w:cs="宋体"/>
          <w:b w:val="0"/>
          <w:bCs w:val="0"/>
          <w:kern w:val="2"/>
          <w:sz w:val="24"/>
          <w:szCs w:val="24"/>
        </w:rPr>
        <w:t>浙江中蒙实业有限公司677.6KW分布式光伏发电</w:t>
      </w:r>
      <w:r>
        <w:rPr>
          <w:rFonts w:hint="eastAsia" w:ascii="宋体" w:hAnsi="宋体" w:eastAsia="宋体" w:cs="宋体"/>
          <w:b w:val="0"/>
          <w:bCs w:val="0"/>
          <w:kern w:val="2"/>
          <w:sz w:val="24"/>
          <w:szCs w:val="24"/>
          <w:lang w:val="en-US" w:eastAsia="zh-CN"/>
        </w:rPr>
        <w:t>项目</w:t>
      </w:r>
      <w:r>
        <w:rPr>
          <w:rFonts w:hint="eastAsia"/>
          <w:sz w:val="24"/>
          <w:szCs w:val="24"/>
        </w:rPr>
        <w:t>工程土建部分主要分布在两个厂区，相对比较集中，土建部分主要工程量主要是</w:t>
      </w:r>
      <w:r>
        <w:rPr>
          <w:rFonts w:hint="eastAsia"/>
          <w:sz w:val="24"/>
          <w:szCs w:val="24"/>
          <w:lang w:val="en-US" w:eastAsia="zh-CN"/>
        </w:rPr>
        <w:t>箱式变压器</w:t>
      </w:r>
      <w:r>
        <w:rPr>
          <w:rFonts w:hint="eastAsia"/>
          <w:sz w:val="24"/>
          <w:szCs w:val="24"/>
        </w:rPr>
        <w:t>、配电柜预制基础（为预制钢筋砼基础）和埋地电缆沟的开挖和回填。</w:t>
      </w:r>
    </w:p>
    <w:p>
      <w:pPr>
        <w:spacing w:line="360" w:lineRule="auto"/>
        <w:ind w:firstLine="560" w:firstLineChars="200"/>
        <w:rPr>
          <w:rFonts w:hint="eastAsia"/>
          <w:sz w:val="24"/>
          <w:szCs w:val="24"/>
        </w:rPr>
      </w:pPr>
      <w:r>
        <w:rPr>
          <w:rFonts w:hint="eastAsia"/>
          <w:sz w:val="24"/>
          <w:szCs w:val="24"/>
        </w:rPr>
        <w:t>现浇钢筋砼基础分为混凝土工程、钢筋工程及模板工程等。现根据监理规划、工程图纸、施工单位报审通过的施工组织设计、相关施工方案、技术规范标准及现场实际条件编写监理实施细则如下：</w:t>
      </w:r>
    </w:p>
    <w:p>
      <w:pPr>
        <w:rPr>
          <w:rFonts w:hint="eastAsia" w:ascii="宋体" w:hAnsi="宋体"/>
          <w:b/>
          <w:bCs/>
          <w:sz w:val="28"/>
        </w:rPr>
      </w:pPr>
      <w:r>
        <w:rPr>
          <w:rFonts w:hint="eastAsia" w:ascii="宋体" w:hAnsi="宋体"/>
          <w:b/>
          <w:bCs/>
          <w:sz w:val="28"/>
        </w:rPr>
        <w:t>【一】混凝土工程</w:t>
      </w:r>
    </w:p>
    <w:p>
      <w:pPr>
        <w:spacing w:line="360" w:lineRule="auto"/>
        <w:ind w:firstLine="560" w:firstLineChars="200"/>
        <w:rPr>
          <w:rFonts w:hint="eastAsia" w:ascii="宋体" w:hAnsi="宋体"/>
          <w:sz w:val="24"/>
          <w:szCs w:val="24"/>
        </w:rPr>
      </w:pPr>
      <w:r>
        <w:rPr>
          <w:rFonts w:hint="eastAsia" w:ascii="宋体" w:hAnsi="宋体"/>
          <w:sz w:val="24"/>
          <w:szCs w:val="24"/>
        </w:rPr>
        <w:t>《混凝土结构工程施工质量验收规范》（GB50204-2002）中明确规定了对混凝土原材料进行验收的主控项目要求和一般项目要求，监理人员进行验收时也按这一规定进行。</w:t>
      </w:r>
    </w:p>
    <w:p>
      <w:pPr>
        <w:spacing w:line="360" w:lineRule="auto"/>
        <w:ind w:firstLine="560" w:firstLineChars="200"/>
        <w:rPr>
          <w:rFonts w:hint="eastAsia" w:ascii="宋体" w:hAnsi="宋体"/>
          <w:b/>
          <w:bCs/>
          <w:sz w:val="28"/>
          <w:szCs w:val="28"/>
        </w:rPr>
      </w:pPr>
      <w:r>
        <w:rPr>
          <w:rFonts w:hint="eastAsia" w:ascii="宋体" w:hAnsi="宋体"/>
          <w:b/>
          <w:bCs/>
          <w:sz w:val="28"/>
          <w:szCs w:val="28"/>
        </w:rPr>
        <w:t>（一）主控项目</w:t>
      </w:r>
    </w:p>
    <w:p>
      <w:pPr>
        <w:spacing w:line="360" w:lineRule="auto"/>
        <w:ind w:firstLine="560" w:firstLineChars="200"/>
        <w:rPr>
          <w:rFonts w:hint="eastAsia" w:ascii="宋体" w:hAnsi="宋体"/>
          <w:sz w:val="24"/>
          <w:szCs w:val="24"/>
        </w:rPr>
      </w:pPr>
      <w:r>
        <w:rPr>
          <w:rFonts w:hint="eastAsia" w:ascii="宋体" w:hAnsi="宋体"/>
          <w:sz w:val="24"/>
          <w:szCs w:val="24"/>
        </w:rPr>
        <w:t>1、混凝土进场检查方法：</w:t>
      </w:r>
    </w:p>
    <w:p>
      <w:pPr>
        <w:spacing w:line="360" w:lineRule="auto"/>
        <w:ind w:firstLine="560" w:firstLineChars="200"/>
        <w:rPr>
          <w:rFonts w:hint="eastAsia" w:ascii="宋体" w:hAnsi="宋体"/>
          <w:sz w:val="24"/>
          <w:szCs w:val="24"/>
        </w:rPr>
      </w:pPr>
      <w:r>
        <w:rPr>
          <w:rFonts w:hint="eastAsia" w:ascii="Arial" w:hAnsi="Arial" w:cs="Arial"/>
          <w:color w:val="000000"/>
          <w:sz w:val="24"/>
          <w:szCs w:val="24"/>
        </w:rPr>
        <w:t>（</w:t>
      </w:r>
      <w:r>
        <w:rPr>
          <w:rFonts w:ascii="Arial" w:hAnsi="Arial" w:cs="Arial"/>
          <w:color w:val="000000"/>
          <w:sz w:val="24"/>
          <w:szCs w:val="24"/>
        </w:rPr>
        <w:t xml:space="preserve">1）查验运输单，确认商品混凝土的强度、数量、坍落度、出厂时间，并记录搅拌车的进场时间和卸料时间，运输时间超出技术标准的应当清出现场。 </w:t>
      </w:r>
      <w:r>
        <w:rPr>
          <w:rFonts w:ascii="Arial" w:hAnsi="Arial" w:cs="Arial"/>
          <w:color w:val="000000"/>
          <w:sz w:val="24"/>
          <w:szCs w:val="24"/>
        </w:rPr>
        <w:br w:type="textWrapping"/>
      </w:r>
      <w:r>
        <w:rPr>
          <w:rFonts w:ascii="Arial" w:hAnsi="Arial" w:cs="Arial"/>
          <w:color w:val="000000"/>
          <w:sz w:val="24"/>
          <w:szCs w:val="24"/>
        </w:rPr>
        <w:t>　　</w:t>
      </w:r>
      <w:r>
        <w:rPr>
          <w:rFonts w:hint="eastAsia" w:ascii="Arial" w:hAnsi="Arial" w:cs="Arial"/>
          <w:color w:val="000000"/>
          <w:sz w:val="24"/>
          <w:szCs w:val="24"/>
        </w:rPr>
        <w:t>（</w:t>
      </w:r>
      <w:r>
        <w:rPr>
          <w:rFonts w:ascii="Arial" w:hAnsi="Arial" w:cs="Arial"/>
          <w:color w:val="000000"/>
          <w:sz w:val="24"/>
          <w:szCs w:val="24"/>
        </w:rPr>
        <w:t>2）测定混凝土的坍落度，当坍落度实测值不能满足合同</w:t>
      </w:r>
      <w:r>
        <w:rPr>
          <w:rFonts w:hint="eastAsia" w:ascii="Arial" w:hAnsi="Arial" w:cs="Arial"/>
          <w:color w:val="000000"/>
          <w:sz w:val="24"/>
          <w:szCs w:val="24"/>
        </w:rPr>
        <w:t>、图纸设计及相关操作</w:t>
      </w:r>
      <w:r>
        <w:rPr>
          <w:rFonts w:ascii="Arial" w:hAnsi="Arial" w:cs="Arial"/>
          <w:color w:val="000000"/>
          <w:sz w:val="24"/>
          <w:szCs w:val="24"/>
        </w:rPr>
        <w:t>要求时，商品混凝土不得使用。</w:t>
      </w:r>
    </w:p>
    <w:p>
      <w:pPr>
        <w:spacing w:line="360" w:lineRule="auto"/>
        <w:ind w:firstLine="560" w:firstLineChars="200"/>
        <w:rPr>
          <w:rFonts w:hint="eastAsia" w:ascii="宋体" w:hAnsi="宋体"/>
          <w:sz w:val="24"/>
          <w:szCs w:val="24"/>
        </w:rPr>
      </w:pPr>
      <w:r>
        <w:rPr>
          <w:rFonts w:ascii="Arial" w:hAnsi="Arial" w:cs="Arial"/>
          <w:color w:val="000000"/>
          <w:sz w:val="24"/>
          <w:szCs w:val="24"/>
        </w:rPr>
        <w:t xml:space="preserve">观察所测坍落度后的混凝土试体的黏聚性和保水性。其检查方法为： </w:t>
      </w:r>
      <w:r>
        <w:rPr>
          <w:rFonts w:ascii="Arial" w:hAnsi="Arial" w:cs="Arial"/>
          <w:color w:val="000000"/>
          <w:sz w:val="24"/>
          <w:szCs w:val="24"/>
        </w:rPr>
        <w:br w:type="textWrapping"/>
      </w:r>
      <w:r>
        <w:rPr>
          <w:rFonts w:ascii="Arial" w:hAnsi="Arial" w:cs="Arial"/>
          <w:color w:val="000000"/>
          <w:sz w:val="24"/>
          <w:szCs w:val="24"/>
        </w:rPr>
        <w:t xml:space="preserve">　　黏聚性:用振捣棒在已坍落的混凝土锥体侧面轻轻敲打，此时如果锥体逐渐下沉，则表示黏聚性良好，如果锥体倒塌，部分崩裂或出现了离析现象，则表示黏聚性不好。 </w:t>
      </w:r>
      <w:r>
        <w:rPr>
          <w:rFonts w:ascii="Arial" w:hAnsi="Arial" w:cs="Arial"/>
          <w:color w:val="000000"/>
          <w:sz w:val="24"/>
          <w:szCs w:val="24"/>
        </w:rPr>
        <w:br w:type="textWrapping"/>
      </w:r>
      <w:r>
        <w:rPr>
          <w:rFonts w:ascii="Arial" w:hAnsi="Arial" w:cs="Arial"/>
          <w:color w:val="000000"/>
          <w:sz w:val="24"/>
          <w:szCs w:val="24"/>
        </w:rPr>
        <w:t xml:space="preserve">　　保水性：坍落度筒提起后，如有较多的稀浆从底部析出，锥体部分的混凝土也因失浆而骨料外露，则表明此混凝土拌合物的保水性不好，如坍落度筒提起后，无稀浆或仅有少量稀浆从底部析出，则表明此混凝土拌合物的保水性良好。 </w:t>
      </w:r>
      <w:r>
        <w:rPr>
          <w:rFonts w:ascii="Arial" w:hAnsi="Arial" w:cs="Arial"/>
          <w:color w:val="000000"/>
          <w:sz w:val="24"/>
          <w:szCs w:val="24"/>
        </w:rPr>
        <w:fldChar w:fldCharType="begin"/>
      </w:r>
      <w:r>
        <w:rPr>
          <w:rFonts w:ascii="Arial" w:hAnsi="Arial" w:cs="Arial"/>
          <w:color w:val="000000"/>
          <w:sz w:val="24"/>
          <w:szCs w:val="24"/>
        </w:rPr>
        <w:instrText xml:space="preserve"> HYPERLINK "http://www.jianshewang.com/lunwen" \o "" \t "_blank" </w:instrText>
      </w:r>
      <w:r>
        <w:rPr>
          <w:rFonts w:ascii="Arial" w:hAnsi="Arial" w:cs="Arial"/>
          <w:color w:val="000000"/>
          <w:sz w:val="24"/>
          <w:szCs w:val="24"/>
        </w:rPr>
        <w:fldChar w:fldCharType="separate"/>
      </w:r>
      <w:r>
        <w:rPr>
          <w:rStyle w:val="6"/>
          <w:rFonts w:ascii="Arial" w:hAnsi="Arial" w:cs="Arial"/>
          <w:color w:val="FFFFFF"/>
          <w:sz w:val="24"/>
          <w:szCs w:val="24"/>
          <w:u w:val="single"/>
        </w:rPr>
        <w:t>职称论文发表中心</w:t>
      </w:r>
      <w:r>
        <w:rPr>
          <w:rFonts w:ascii="Arial" w:hAnsi="Arial" w:cs="Arial"/>
          <w:color w:val="000000"/>
          <w:sz w:val="24"/>
          <w:szCs w:val="24"/>
        </w:rPr>
        <w:fldChar w:fldCharType="end"/>
      </w:r>
      <w:r>
        <w:rPr>
          <w:rFonts w:ascii="Arial" w:hAnsi="Arial" w:cs="Arial"/>
          <w:color w:val="000000"/>
          <w:sz w:val="24"/>
          <w:szCs w:val="24"/>
        </w:rPr>
        <w:br w:type="textWrapping"/>
      </w:r>
      <w:r>
        <w:rPr>
          <w:rFonts w:ascii="Arial" w:hAnsi="Arial" w:cs="Arial"/>
          <w:color w:val="000000"/>
          <w:sz w:val="24"/>
          <w:szCs w:val="24"/>
        </w:rPr>
        <w:t xml:space="preserve">　　3）现场监理人员应对商品混凝土根据规定实施见证取样，混凝土试样的采取和坍落度试验要在混凝土运到交货地点时开始算起20min内完成，试件的制作应在40min内完成。 </w:t>
      </w:r>
      <w:r>
        <w:rPr>
          <w:rFonts w:ascii="Arial" w:hAnsi="Arial" w:cs="Arial"/>
          <w:color w:val="000000"/>
          <w:sz w:val="24"/>
          <w:szCs w:val="24"/>
        </w:rPr>
        <w:br w:type="textWrapping"/>
      </w:r>
      <w:r>
        <w:rPr>
          <w:rFonts w:ascii="Arial" w:hAnsi="Arial" w:cs="Arial"/>
          <w:color w:val="000000"/>
          <w:sz w:val="24"/>
          <w:szCs w:val="24"/>
        </w:rPr>
        <w:t>　　交货检验的试样应随机从同一运输车中抽取，并应在卸料过程中卸料量的1/4至3/4之间采取，每个试样量应满足混凝土质量检验项目所需用量的1.5倍，且不得少于0.02 m</w:t>
      </w:r>
      <w:r>
        <w:rPr>
          <w:rFonts w:ascii="Arial" w:hAnsi="Arial" w:cs="Arial"/>
          <w:color w:val="000000"/>
          <w:sz w:val="24"/>
          <w:szCs w:val="24"/>
          <w:vertAlign w:val="superscript"/>
        </w:rPr>
        <w:t>3</w:t>
      </w:r>
      <w:r>
        <w:rPr>
          <w:rFonts w:ascii="Arial" w:hAnsi="Arial" w:cs="Arial"/>
          <w:color w:val="000000"/>
          <w:sz w:val="24"/>
          <w:szCs w:val="24"/>
        </w:rPr>
        <w:t xml:space="preserve">。 </w:t>
      </w:r>
      <w:r>
        <w:rPr>
          <w:rFonts w:ascii="Arial" w:hAnsi="Arial" w:cs="Arial"/>
          <w:color w:val="000000"/>
          <w:sz w:val="24"/>
          <w:szCs w:val="24"/>
        </w:rPr>
        <w:br w:type="textWrapping"/>
      </w:r>
      <w:r>
        <w:rPr>
          <w:rFonts w:ascii="Arial" w:hAnsi="Arial" w:cs="Arial"/>
          <w:color w:val="000000"/>
          <w:sz w:val="24"/>
          <w:szCs w:val="24"/>
        </w:rPr>
        <w:t>　　4）取样数量：每拌制100盘且不超过100m</w:t>
      </w:r>
      <w:r>
        <w:rPr>
          <w:rFonts w:ascii="Arial" w:hAnsi="Arial" w:cs="Arial"/>
          <w:color w:val="000000"/>
          <w:sz w:val="24"/>
          <w:szCs w:val="24"/>
          <w:vertAlign w:val="superscript"/>
        </w:rPr>
        <w:t>3</w:t>
      </w:r>
      <w:r>
        <w:rPr>
          <w:rFonts w:ascii="Arial" w:hAnsi="Arial" w:cs="Arial"/>
          <w:color w:val="000000"/>
          <w:sz w:val="24"/>
          <w:szCs w:val="24"/>
        </w:rPr>
        <w:t xml:space="preserve">的同配合比的混凝土，取样不得少于1次。 </w:t>
      </w:r>
      <w:r>
        <w:rPr>
          <w:rFonts w:ascii="Arial" w:hAnsi="Arial" w:cs="Arial"/>
          <w:color w:val="000000"/>
          <w:sz w:val="24"/>
          <w:szCs w:val="24"/>
        </w:rPr>
        <w:br w:type="textWrapping"/>
      </w:r>
      <w:r>
        <w:rPr>
          <w:rFonts w:ascii="Arial" w:hAnsi="Arial" w:cs="Arial"/>
          <w:color w:val="000000"/>
          <w:sz w:val="24"/>
          <w:szCs w:val="24"/>
        </w:rPr>
        <w:t>　　每工作班拌制的同一配合比的混凝土不足100盘时，取样不得少于1次。 当一次连续浇筑超过100</w:t>
      </w:r>
      <w:r>
        <w:rPr>
          <w:rFonts w:ascii="宋体" w:hAnsi="宋体" w:cs="Arial"/>
          <w:color w:val="000000"/>
          <w:sz w:val="24"/>
          <w:szCs w:val="24"/>
        </w:rPr>
        <w:t>0</w:t>
      </w:r>
      <w:r>
        <w:rPr>
          <w:rFonts w:ascii="Arial" w:hAnsi="Arial" w:cs="Arial"/>
          <w:color w:val="000000"/>
          <w:sz w:val="24"/>
          <w:szCs w:val="24"/>
        </w:rPr>
        <w:t>m</w:t>
      </w:r>
      <w:r>
        <w:rPr>
          <w:rFonts w:ascii="Arial" w:hAnsi="Arial" w:cs="Arial"/>
          <w:color w:val="000000"/>
          <w:sz w:val="24"/>
          <w:szCs w:val="24"/>
          <w:vertAlign w:val="superscript"/>
        </w:rPr>
        <w:t>3</w:t>
      </w:r>
      <w:r>
        <w:rPr>
          <w:rFonts w:ascii="Arial" w:hAnsi="Arial" w:cs="Arial"/>
          <w:color w:val="000000"/>
          <w:sz w:val="24"/>
          <w:szCs w:val="24"/>
        </w:rPr>
        <w:t>时，同一配合比混凝土每200m</w:t>
      </w:r>
      <w:r>
        <w:rPr>
          <w:rFonts w:ascii="Arial" w:hAnsi="Arial" w:cs="Arial"/>
          <w:color w:val="000000"/>
          <w:sz w:val="24"/>
          <w:szCs w:val="24"/>
          <w:vertAlign w:val="superscript"/>
        </w:rPr>
        <w:t>3</w:t>
      </w:r>
      <w:r>
        <w:rPr>
          <w:rFonts w:ascii="Arial" w:hAnsi="Arial" w:cs="Arial"/>
          <w:color w:val="000000"/>
          <w:sz w:val="24"/>
          <w:szCs w:val="24"/>
        </w:rPr>
        <w:t xml:space="preserve">取样不得少于1次。 </w:t>
      </w:r>
      <w:r>
        <w:rPr>
          <w:rFonts w:ascii="Arial" w:hAnsi="Arial" w:cs="Arial"/>
          <w:color w:val="000000"/>
          <w:sz w:val="24"/>
          <w:szCs w:val="24"/>
        </w:rPr>
        <w:br w:type="textWrapping"/>
      </w:r>
      <w:r>
        <w:rPr>
          <w:rFonts w:ascii="Arial" w:hAnsi="Arial" w:cs="Arial"/>
          <w:color w:val="000000"/>
          <w:sz w:val="24"/>
          <w:szCs w:val="24"/>
        </w:rPr>
        <w:t>　　</w:t>
      </w:r>
      <w:r>
        <w:rPr>
          <w:rFonts w:ascii="Arial" w:hAnsi="Arial" w:cs="Arial"/>
          <w:sz w:val="24"/>
          <w:szCs w:val="24"/>
        </w:rPr>
        <w:t>每次取样应至少留置一组标准养护试件，同条件养护试件的留置组数应根据实际需要确</w:t>
      </w:r>
      <w:r>
        <w:rPr>
          <w:rFonts w:ascii="Arial" w:hAnsi="Arial" w:cs="Arial"/>
          <w:color w:val="000000"/>
          <w:sz w:val="24"/>
          <w:szCs w:val="24"/>
        </w:rPr>
        <w:t xml:space="preserve">定。同一强度等级的同条件养护试件，其留置的数量应根据混凝土工程量和重要性确定，不宜少于10组，且不应少于3组。 </w:t>
      </w:r>
      <w:r>
        <w:rPr>
          <w:rFonts w:ascii="Arial" w:hAnsi="Arial" w:cs="Arial"/>
          <w:color w:val="000000"/>
          <w:sz w:val="24"/>
          <w:szCs w:val="24"/>
        </w:rPr>
        <w:br w:type="textWrapping"/>
      </w:r>
      <w:r>
        <w:rPr>
          <w:rFonts w:ascii="Arial" w:hAnsi="Arial" w:cs="Arial"/>
          <w:color w:val="000000"/>
          <w:sz w:val="24"/>
          <w:szCs w:val="24"/>
        </w:rPr>
        <w:t>　　</w:t>
      </w:r>
      <w:r>
        <w:rPr>
          <w:rFonts w:hint="eastAsia" w:ascii="Arial" w:hAnsi="Arial" w:cs="Arial"/>
          <w:color w:val="000000"/>
          <w:sz w:val="24"/>
          <w:szCs w:val="24"/>
        </w:rPr>
        <w:t>5</w:t>
      </w:r>
      <w:r>
        <w:rPr>
          <w:rFonts w:ascii="Arial" w:hAnsi="Arial" w:cs="Arial"/>
          <w:color w:val="000000"/>
          <w:sz w:val="24"/>
          <w:szCs w:val="24"/>
        </w:rPr>
        <w:t>）混凝土浇筑时监理工程师应监督施工单位严格按照施工方案、施工及质量验收规范和操作工艺执行，并进行旁站监理。混凝土施工结束后，要求施工单位严格按规定及时对混凝土进行养护，确保混凝土质量。</w:t>
      </w:r>
    </w:p>
    <w:p>
      <w:pPr>
        <w:spacing w:line="360" w:lineRule="auto"/>
        <w:rPr>
          <w:rFonts w:hint="eastAsia" w:ascii="宋体" w:hAnsi="宋体"/>
          <w:b/>
          <w:bCs/>
          <w:sz w:val="28"/>
          <w:szCs w:val="28"/>
        </w:rPr>
      </w:pPr>
      <w:r>
        <w:rPr>
          <w:rFonts w:hint="eastAsia" w:ascii="宋体" w:hAnsi="宋体"/>
          <w:b/>
          <w:bCs/>
          <w:sz w:val="28"/>
          <w:szCs w:val="28"/>
        </w:rPr>
        <w:t>（二）混凝土配合比的质量要求</w:t>
      </w:r>
    </w:p>
    <w:p>
      <w:pPr>
        <w:spacing w:line="360" w:lineRule="auto"/>
        <w:ind w:firstLine="560" w:firstLineChars="200"/>
        <w:rPr>
          <w:rFonts w:hint="eastAsia" w:ascii="宋体" w:hAnsi="宋体"/>
          <w:sz w:val="24"/>
          <w:szCs w:val="24"/>
        </w:rPr>
      </w:pPr>
      <w:r>
        <w:rPr>
          <w:rFonts w:hint="eastAsia" w:ascii="宋体" w:hAnsi="宋体"/>
          <w:sz w:val="24"/>
          <w:szCs w:val="24"/>
        </w:rPr>
        <w:t>1、混凝土配合比的确定</w:t>
      </w:r>
    </w:p>
    <w:p>
      <w:pPr>
        <w:spacing w:line="360" w:lineRule="auto"/>
        <w:rPr>
          <w:rFonts w:hint="eastAsia" w:ascii="宋体" w:hAnsi="宋体"/>
          <w:sz w:val="24"/>
          <w:szCs w:val="24"/>
        </w:rPr>
      </w:pPr>
      <w:r>
        <w:rPr>
          <w:rFonts w:hint="eastAsia" w:ascii="宋体" w:hAnsi="宋体"/>
          <w:sz w:val="24"/>
          <w:szCs w:val="24"/>
        </w:rPr>
        <w:t>在监理工作过程中，监理人员应对混凝土的配合比进行审查，以确认所用的配合比是否能够符合设计要求，这是监理工作主动控制的原则所要求的。</w:t>
      </w:r>
    </w:p>
    <w:p>
      <w:pPr>
        <w:spacing w:line="360" w:lineRule="auto"/>
        <w:ind w:firstLine="560" w:firstLineChars="200"/>
        <w:rPr>
          <w:rFonts w:hint="eastAsia" w:ascii="宋体" w:hAnsi="宋体"/>
          <w:sz w:val="24"/>
          <w:szCs w:val="24"/>
        </w:rPr>
      </w:pPr>
      <w:r>
        <w:rPr>
          <w:rFonts w:hint="eastAsia" w:ascii="宋体" w:hAnsi="宋体"/>
          <w:sz w:val="24"/>
          <w:szCs w:val="24"/>
        </w:rPr>
        <w:t>《混凝土结构工程施工质量验收规范》（GB50204-2002）规定，所有混凝土均必须进行配合比设计，不得采用经验配合比。</w:t>
      </w:r>
    </w:p>
    <w:p>
      <w:pPr>
        <w:spacing w:line="360" w:lineRule="auto"/>
        <w:ind w:firstLine="560" w:firstLineChars="200"/>
        <w:rPr>
          <w:rFonts w:hint="eastAsia" w:ascii="宋体" w:hAnsi="宋体"/>
          <w:sz w:val="24"/>
          <w:szCs w:val="24"/>
        </w:rPr>
      </w:pPr>
      <w:r>
        <w:rPr>
          <w:rFonts w:hint="eastAsia" w:ascii="宋体" w:hAnsi="宋体"/>
          <w:sz w:val="24"/>
          <w:szCs w:val="24"/>
        </w:rPr>
        <w:t>2、混凝土施工配合比的确定</w:t>
      </w:r>
    </w:p>
    <w:p>
      <w:pPr>
        <w:spacing w:line="360" w:lineRule="auto"/>
        <w:ind w:firstLine="560" w:firstLineChars="200"/>
        <w:rPr>
          <w:rFonts w:ascii="宋体" w:hAnsi="宋体"/>
          <w:kern w:val="0"/>
          <w:sz w:val="24"/>
          <w:szCs w:val="24"/>
        </w:rPr>
      </w:pPr>
      <w:r>
        <w:rPr>
          <w:rFonts w:ascii="宋体" w:hAnsi="宋体"/>
          <w:sz w:val="24"/>
          <w:szCs w:val="24"/>
        </w:rPr>
        <w:t>混凝土的配合比是在实验室根据初步计算的配合比经过试配和调整而确定的，称为实验室配合比。确定实验室配合比所用的骨料—砂石都是干燥的。施工现场使用的砂石都具有一定的含水率，含水率大小随季节、气候不断变化。这样仍按原配比投料，必然导致配合比不符。为保证混凝土工程质量，保证按配合比投料，在施工时要按砂、石实际含水率对配合比进行修正。根据施工现场砂、石含水率调整以后的配合比称为施工配合比。</w:t>
      </w:r>
    </w:p>
    <w:p>
      <w:pPr>
        <w:spacing w:line="360" w:lineRule="auto"/>
        <w:rPr>
          <w:rFonts w:ascii="宋体" w:hAnsi="宋体"/>
          <w:sz w:val="24"/>
          <w:szCs w:val="24"/>
        </w:rPr>
      </w:pPr>
      <w:r>
        <w:rPr>
          <w:rFonts w:ascii="宋体" w:hAnsi="宋体"/>
          <w:sz w:val="24"/>
          <w:szCs w:val="24"/>
        </w:rPr>
        <w:t>    假定实验室配合比为水泥：砂：石=1：x：y，水灰比为W/C，施工现场测得砂含水率为W</w:t>
      </w:r>
      <w:r>
        <w:rPr>
          <w:rFonts w:ascii="宋体" w:hAnsi="宋体"/>
          <w:sz w:val="24"/>
          <w:szCs w:val="24"/>
          <w:vertAlign w:val="subscript"/>
        </w:rPr>
        <w:t>sa</w:t>
      </w:r>
      <w:r>
        <w:rPr>
          <w:rFonts w:ascii="宋体" w:hAnsi="宋体"/>
          <w:sz w:val="24"/>
          <w:szCs w:val="24"/>
        </w:rPr>
        <w:t>、石子含水率为W</w:t>
      </w:r>
      <w:r>
        <w:rPr>
          <w:rFonts w:ascii="宋体" w:hAnsi="宋体"/>
          <w:sz w:val="24"/>
          <w:szCs w:val="24"/>
          <w:vertAlign w:val="subscript"/>
        </w:rPr>
        <w:t>g</w:t>
      </w:r>
      <w:r>
        <w:rPr>
          <w:rFonts w:ascii="宋体" w:hAnsi="宋体"/>
          <w:sz w:val="24"/>
          <w:szCs w:val="24"/>
        </w:rPr>
        <w:t>，则施工配合比为</w:t>
      </w:r>
    </w:p>
    <w:p>
      <w:pPr>
        <w:spacing w:line="360" w:lineRule="auto"/>
        <w:rPr>
          <w:rFonts w:ascii="宋体" w:hAnsi="宋体"/>
          <w:sz w:val="24"/>
          <w:szCs w:val="24"/>
        </w:rPr>
      </w:pPr>
      <w:r>
        <w:rPr>
          <w:rFonts w:ascii="宋体" w:hAnsi="宋体"/>
          <w:sz w:val="24"/>
          <w:szCs w:val="24"/>
        </w:rPr>
        <w:t>        水泥：砂：石=1：x（1+W</w:t>
      </w:r>
      <w:r>
        <w:rPr>
          <w:rFonts w:ascii="宋体" w:hAnsi="宋体"/>
          <w:sz w:val="24"/>
          <w:szCs w:val="24"/>
          <w:vertAlign w:val="subscript"/>
        </w:rPr>
        <w:t>sa</w:t>
      </w:r>
      <w:r>
        <w:rPr>
          <w:rFonts w:ascii="宋体" w:hAnsi="宋体"/>
          <w:sz w:val="24"/>
          <w:szCs w:val="24"/>
        </w:rPr>
        <w:t>）：y（1+W</w:t>
      </w:r>
      <w:r>
        <w:rPr>
          <w:rFonts w:ascii="宋体" w:hAnsi="宋体"/>
          <w:sz w:val="24"/>
          <w:szCs w:val="24"/>
          <w:vertAlign w:val="subscript"/>
        </w:rPr>
        <w:t>g</w:t>
      </w:r>
      <w:r>
        <w:rPr>
          <w:rFonts w:ascii="宋体" w:hAnsi="宋体"/>
          <w:sz w:val="24"/>
          <w:szCs w:val="24"/>
        </w:rPr>
        <w:t>）</w:t>
      </w:r>
    </w:p>
    <w:p>
      <w:pPr>
        <w:spacing w:line="360" w:lineRule="auto"/>
        <w:rPr>
          <w:rFonts w:hint="eastAsia" w:ascii="宋体" w:hAnsi="宋体"/>
          <w:sz w:val="24"/>
          <w:szCs w:val="24"/>
        </w:rPr>
      </w:pPr>
      <w:r>
        <w:rPr>
          <w:rFonts w:ascii="宋体" w:hAnsi="宋体"/>
          <w:sz w:val="24"/>
          <w:szCs w:val="24"/>
        </w:rPr>
        <w:t>水灰比W/C不变（但用水量要减去砂石中的含水量）。</w:t>
      </w:r>
    </w:p>
    <w:p>
      <w:pPr>
        <w:spacing w:line="360" w:lineRule="auto"/>
        <w:rPr>
          <w:rFonts w:hint="eastAsia" w:ascii="宋体" w:hAnsi="宋体"/>
          <w:b/>
          <w:bCs/>
          <w:sz w:val="28"/>
          <w:szCs w:val="28"/>
        </w:rPr>
      </w:pPr>
      <w:r>
        <w:rPr>
          <w:rFonts w:hint="eastAsia" w:ascii="宋体" w:hAnsi="宋体"/>
          <w:b/>
          <w:bCs/>
          <w:sz w:val="28"/>
          <w:szCs w:val="28"/>
        </w:rPr>
        <w:t>（三）混凝土配合比设计的监理审查与验收：</w:t>
      </w:r>
    </w:p>
    <w:p>
      <w:pPr>
        <w:spacing w:line="360" w:lineRule="auto"/>
        <w:ind w:firstLine="560" w:firstLineChars="200"/>
        <w:rPr>
          <w:rFonts w:hint="eastAsia" w:ascii="宋体" w:hAnsi="宋体"/>
          <w:sz w:val="24"/>
          <w:szCs w:val="24"/>
        </w:rPr>
      </w:pPr>
      <w:r>
        <w:rPr>
          <w:rFonts w:hint="eastAsia" w:ascii="宋体" w:hAnsi="宋体"/>
          <w:sz w:val="24"/>
          <w:szCs w:val="24"/>
        </w:rPr>
        <w:t>1、监理人员应对所有混凝土配合比进行审查</w:t>
      </w:r>
    </w:p>
    <w:p>
      <w:pPr>
        <w:spacing w:line="360" w:lineRule="auto"/>
        <w:ind w:firstLine="560" w:firstLineChars="200"/>
        <w:rPr>
          <w:rFonts w:hint="eastAsia" w:ascii="宋体" w:hAnsi="宋体"/>
          <w:sz w:val="24"/>
          <w:szCs w:val="24"/>
        </w:rPr>
      </w:pPr>
      <w:r>
        <w:rPr>
          <w:rFonts w:hint="eastAsia" w:ascii="宋体" w:hAnsi="宋体"/>
          <w:sz w:val="24"/>
          <w:szCs w:val="24"/>
        </w:rPr>
        <w:t>对混凝土配合比审查的要点有：</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、过程的审查。混凝土的配合比必须由专业试验室经配合比设计后签发。</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2 \* GB2 </w:instrText>
      </w:r>
      <w:r>
        <w:rPr>
          <w:rFonts w:ascii="宋体" w:hAnsi="宋体"/>
          <w:sz w:val="24"/>
          <w:szCs w:val="24"/>
        </w:rPr>
        <w:fldChar w:fldCharType="separate"/>
      </w:r>
      <w:r>
        <w:rPr>
          <w:rFonts w:ascii="宋体" w:hAnsi="宋体"/>
          <w:sz w:val="24"/>
          <w:szCs w:val="24"/>
        </w:rPr>
        <w:t>⑵</w:t>
      </w:r>
      <w:r>
        <w:rPr>
          <w:rFonts w:ascii="宋体" w:hAnsi="宋体"/>
          <w:sz w:val="24"/>
          <w:szCs w:val="24"/>
        </w:rPr>
        <w:fldChar w:fldCharType="end"/>
      </w:r>
      <w:r>
        <w:rPr>
          <w:rFonts w:hint="eastAsia" w:ascii="宋体" w:hAnsi="宋体"/>
          <w:sz w:val="24"/>
          <w:szCs w:val="24"/>
        </w:rPr>
        <w:t>、结果的验证。监理人员要根据要求的混凝土强度等级及混凝土拌合物的坍落度，并结合以往的参考配合比和本工程的实际情况进行混凝土配合比审查，一般还应对配合比进行试验验证。当混凝土有其他技术性能要求，必须进行相应项目的试验验证。</w:t>
      </w:r>
    </w:p>
    <w:p>
      <w:pPr>
        <w:spacing w:line="360" w:lineRule="auto"/>
        <w:ind w:firstLine="560" w:firstLineChars="200"/>
        <w:rPr>
          <w:rFonts w:hint="eastAsia" w:ascii="宋体" w:hAnsi="宋体"/>
          <w:sz w:val="24"/>
          <w:szCs w:val="24"/>
        </w:rPr>
      </w:pPr>
      <w:r>
        <w:rPr>
          <w:rFonts w:hint="eastAsia" w:ascii="宋体" w:hAnsi="宋体"/>
          <w:sz w:val="24"/>
          <w:szCs w:val="24"/>
        </w:rPr>
        <w:t>2、主控项目</w:t>
      </w:r>
    </w:p>
    <w:p>
      <w:pPr>
        <w:spacing w:line="360" w:lineRule="auto"/>
        <w:ind w:firstLine="560" w:firstLineChars="200"/>
        <w:rPr>
          <w:rFonts w:hint="eastAsia" w:ascii="宋体" w:hAnsi="宋体"/>
          <w:sz w:val="24"/>
          <w:szCs w:val="24"/>
        </w:rPr>
      </w:pPr>
      <w:r>
        <w:rPr>
          <w:rFonts w:hint="eastAsia" w:ascii="宋体" w:hAnsi="宋体"/>
          <w:sz w:val="24"/>
          <w:szCs w:val="24"/>
        </w:rPr>
        <w:t>混凝土应按国家现行标准《普通混凝土配合比设计规程》（JGJ55）的有关规定，根据混凝土强度等级、耐久性和工作性等要求进行配合比设计。</w:t>
      </w:r>
    </w:p>
    <w:p>
      <w:pPr>
        <w:spacing w:line="360" w:lineRule="auto"/>
        <w:rPr>
          <w:rFonts w:hint="eastAsia" w:ascii="宋体" w:hAnsi="宋体"/>
          <w:sz w:val="24"/>
          <w:szCs w:val="24"/>
        </w:rPr>
      </w:pPr>
      <w:r>
        <w:rPr>
          <w:rFonts w:hint="eastAsia" w:ascii="宋体" w:hAnsi="宋体"/>
          <w:sz w:val="24"/>
          <w:szCs w:val="24"/>
        </w:rPr>
        <w:t>对有特殊要求的混凝土，其配合比设计尚应符合国家现行有关标准的专门规定。</w:t>
      </w:r>
    </w:p>
    <w:p>
      <w:pPr>
        <w:spacing w:line="360" w:lineRule="auto"/>
        <w:ind w:firstLine="560" w:firstLineChars="200"/>
        <w:rPr>
          <w:rFonts w:hint="eastAsia" w:ascii="宋体" w:hAnsi="宋体"/>
          <w:sz w:val="24"/>
          <w:szCs w:val="24"/>
        </w:rPr>
      </w:pPr>
      <w:r>
        <w:rPr>
          <w:rFonts w:hint="eastAsia" w:ascii="宋体" w:hAnsi="宋体"/>
          <w:sz w:val="24"/>
          <w:szCs w:val="24"/>
        </w:rPr>
        <w:t>检验方法：检查配合比设计资料。</w:t>
      </w:r>
    </w:p>
    <w:p>
      <w:pPr>
        <w:spacing w:line="360" w:lineRule="auto"/>
        <w:ind w:firstLine="560" w:firstLineChars="200"/>
        <w:rPr>
          <w:rFonts w:hint="eastAsia" w:ascii="宋体" w:hAnsi="宋体"/>
          <w:sz w:val="24"/>
          <w:szCs w:val="24"/>
        </w:rPr>
      </w:pPr>
      <w:r>
        <w:rPr>
          <w:rFonts w:hint="eastAsia" w:ascii="宋体" w:hAnsi="宋体"/>
          <w:sz w:val="24"/>
          <w:szCs w:val="24"/>
        </w:rPr>
        <w:t>3、一般项目</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、首次使用的混凝土配合比应进行开盘鉴定，其工作性应满足设计配合比的要求。开始生产时应至少留置一组标准养护试件，作为验证配合比的依据。</w:t>
      </w:r>
    </w:p>
    <w:p>
      <w:pPr>
        <w:spacing w:line="360" w:lineRule="auto"/>
        <w:rPr>
          <w:rFonts w:hint="eastAsia" w:ascii="宋体" w:hAnsi="宋体"/>
          <w:b/>
          <w:bCs/>
          <w:sz w:val="28"/>
          <w:szCs w:val="28"/>
        </w:rPr>
      </w:pPr>
      <w:r>
        <w:rPr>
          <w:rFonts w:hint="eastAsia" w:ascii="宋体" w:hAnsi="宋体"/>
          <w:b/>
          <w:bCs/>
          <w:sz w:val="28"/>
          <w:szCs w:val="28"/>
        </w:rPr>
        <w:t>（四）混凝土施工的监理巡视旁站要点</w:t>
      </w:r>
      <w:r>
        <w:rPr>
          <w:rFonts w:hint="eastAsia" w:ascii="宋体" w:hAnsi="宋体"/>
          <w:b/>
          <w:bCs/>
          <w:sz w:val="28"/>
          <w:szCs w:val="28"/>
          <w:lang w:eastAsia="zh-CN"/>
        </w:rPr>
        <w:t>：</w:t>
      </w:r>
    </w:p>
    <w:p>
      <w:pPr>
        <w:spacing w:line="360" w:lineRule="auto"/>
        <w:ind w:firstLine="560" w:firstLineChars="200"/>
        <w:rPr>
          <w:rFonts w:hint="eastAsia" w:ascii="宋体" w:hAnsi="宋体"/>
          <w:sz w:val="24"/>
          <w:szCs w:val="24"/>
        </w:rPr>
      </w:pPr>
      <w:r>
        <w:rPr>
          <w:rFonts w:hint="eastAsia" w:ascii="宋体" w:hAnsi="宋体"/>
          <w:sz w:val="24"/>
          <w:szCs w:val="24"/>
        </w:rPr>
        <w:t>考虑到混凝土工程的特点及影响性，监理人员在混凝土施工中应全过程旁站，在旁站过程中，监理人员要解决浇筑质量、浇筑顺序与振捣密实三个方面的任务。</w:t>
      </w:r>
    </w:p>
    <w:p>
      <w:pPr>
        <w:spacing w:line="360" w:lineRule="auto"/>
        <w:rPr>
          <w:rFonts w:hint="eastAsia" w:ascii="宋体" w:hAnsi="宋体"/>
          <w:sz w:val="24"/>
          <w:szCs w:val="24"/>
        </w:rPr>
      </w:pPr>
      <w:r>
        <w:rPr>
          <w:rFonts w:hint="eastAsia" w:ascii="宋体" w:hAnsi="宋体"/>
          <w:sz w:val="24"/>
          <w:szCs w:val="24"/>
        </w:rPr>
        <w:t>1、浇筑顺序与振捣密实的监理旁站要点</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、浇注</w:t>
      </w:r>
    </w:p>
    <w:p>
      <w:pPr>
        <w:spacing w:line="360" w:lineRule="auto"/>
        <w:ind w:firstLine="560" w:firstLineChars="200"/>
        <w:rPr>
          <w:rFonts w:hint="eastAsia" w:ascii="宋体" w:hAnsi="宋体"/>
          <w:sz w:val="24"/>
          <w:szCs w:val="24"/>
        </w:rPr>
      </w:pPr>
      <w:r>
        <w:rPr>
          <w:rFonts w:hint="eastAsia" w:ascii="宋体" w:hAnsi="宋体"/>
          <w:sz w:val="24"/>
          <w:szCs w:val="24"/>
        </w:rPr>
        <w:t>混凝土运至施工现场时，应随即进行浇筑，并在初凝前浇筑完毕。浇注的顺序应在浇注前根据结构的特点、混凝土量的大小、混凝土的运输条件和气温等综合确定，在浇注过程中应予以执行。</w:t>
      </w:r>
    </w:p>
    <w:p>
      <w:pPr>
        <w:spacing w:line="360" w:lineRule="auto"/>
        <w:ind w:firstLine="560" w:firstLineChars="200"/>
        <w:rPr>
          <w:rFonts w:hint="eastAsia" w:ascii="宋体" w:hAnsi="宋体"/>
          <w:sz w:val="24"/>
          <w:szCs w:val="24"/>
        </w:rPr>
      </w:pPr>
      <w:r>
        <w:rPr>
          <w:rFonts w:hint="eastAsia" w:ascii="宋体" w:hAnsi="宋体"/>
          <w:sz w:val="24"/>
          <w:szCs w:val="24"/>
        </w:rPr>
        <w:t>当浇筑高度超过3</w:t>
      </w:r>
      <w:r>
        <w:rPr>
          <w:rFonts w:ascii="宋体" w:hAnsi="宋体"/>
          <w:sz w:val="24"/>
          <w:szCs w:val="24"/>
        </w:rPr>
        <w:t>m</w:t>
      </w:r>
      <w:r>
        <w:rPr>
          <w:rFonts w:hint="eastAsia" w:ascii="宋体" w:hAnsi="宋体"/>
          <w:sz w:val="24"/>
          <w:szCs w:val="24"/>
        </w:rPr>
        <w:t>时，可使用串筒、斜槽或溜管下料，串筒的最下两节应保持与混凝土浇筑面垂直。</w:t>
      </w:r>
    </w:p>
    <w:p>
      <w:pPr>
        <w:spacing w:line="360" w:lineRule="auto"/>
        <w:ind w:firstLine="560" w:firstLineChars="200"/>
        <w:rPr>
          <w:rFonts w:hint="eastAsia" w:ascii="宋体" w:hAnsi="宋体"/>
          <w:sz w:val="24"/>
          <w:szCs w:val="24"/>
        </w:rPr>
      </w:pPr>
      <w:r>
        <w:rPr>
          <w:rFonts w:hint="eastAsia" w:ascii="宋体" w:hAnsi="宋体"/>
          <w:sz w:val="24"/>
          <w:szCs w:val="24"/>
        </w:rPr>
        <w:t>为使混凝土密实，监理人员在旁站中应注意检查分层及连续浇筑的分层厚度，避免一次投料过多，不易振实。</w:t>
      </w:r>
    </w:p>
    <w:p>
      <w:pPr>
        <w:spacing w:line="360" w:lineRule="auto"/>
        <w:ind w:firstLine="560" w:firstLineChars="200"/>
        <w:rPr>
          <w:rFonts w:hint="eastAsia" w:ascii="宋体" w:hAnsi="宋体"/>
          <w:sz w:val="24"/>
          <w:szCs w:val="24"/>
        </w:rPr>
      </w:pPr>
      <w:r>
        <w:rPr>
          <w:rFonts w:hint="eastAsia" w:ascii="宋体" w:hAnsi="宋体"/>
          <w:sz w:val="24"/>
          <w:szCs w:val="24"/>
        </w:rPr>
        <w:t>浇筑混凝土应连续进行。若受客观条件的限制必须间歇时，间歇时间应尽量缩短，并应在前层混凝土初凝之前，将此层混凝土浇筑完毕。</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2 \* GB2 </w:instrText>
      </w:r>
      <w:r>
        <w:rPr>
          <w:rFonts w:ascii="宋体" w:hAnsi="宋体"/>
          <w:sz w:val="24"/>
          <w:szCs w:val="24"/>
        </w:rPr>
        <w:fldChar w:fldCharType="separate"/>
      </w:r>
      <w:r>
        <w:rPr>
          <w:rFonts w:ascii="宋体" w:hAnsi="宋体"/>
          <w:sz w:val="24"/>
          <w:szCs w:val="24"/>
        </w:rPr>
        <w:t>⑵</w:t>
      </w:r>
      <w:r>
        <w:rPr>
          <w:rFonts w:ascii="宋体" w:hAnsi="宋体"/>
          <w:sz w:val="24"/>
          <w:szCs w:val="24"/>
        </w:rPr>
        <w:fldChar w:fldCharType="end"/>
      </w:r>
      <w:r>
        <w:rPr>
          <w:rFonts w:hint="eastAsia" w:ascii="宋体" w:hAnsi="宋体"/>
          <w:sz w:val="24"/>
          <w:szCs w:val="24"/>
        </w:rPr>
        <w:t>、振捣</w:t>
      </w:r>
    </w:p>
    <w:p>
      <w:pPr>
        <w:spacing w:line="360" w:lineRule="auto"/>
        <w:ind w:firstLine="560" w:firstLineChars="200"/>
        <w:rPr>
          <w:rFonts w:hint="eastAsia" w:ascii="宋体" w:hAnsi="宋体"/>
          <w:sz w:val="24"/>
          <w:szCs w:val="24"/>
        </w:rPr>
      </w:pPr>
      <w:r>
        <w:rPr>
          <w:rFonts w:hint="eastAsia" w:ascii="宋体" w:hAnsi="宋体"/>
          <w:sz w:val="24"/>
          <w:szCs w:val="24"/>
        </w:rPr>
        <w:t>1）基础混凝土应采用插入式振动器机械振捣成型，并确定振捣时间。</w:t>
      </w:r>
    </w:p>
    <w:p>
      <w:pPr>
        <w:spacing w:line="360" w:lineRule="auto"/>
        <w:ind w:firstLine="560" w:firstLineChars="200"/>
        <w:rPr>
          <w:rFonts w:hint="eastAsia" w:ascii="宋体" w:hAnsi="宋体"/>
          <w:sz w:val="24"/>
          <w:szCs w:val="24"/>
        </w:rPr>
      </w:pPr>
      <w:r>
        <w:rPr>
          <w:rFonts w:hint="eastAsia" w:ascii="宋体" w:hAnsi="宋体"/>
          <w:sz w:val="24"/>
          <w:szCs w:val="24"/>
        </w:rPr>
        <w:t>2）使用振动器时应做到“快插慢拔”。振动器插点应排列均匀，可采用“行列式”或“交错式”，按顺序移动，不应混用，以免造成混乱而发生漏振。每次移动位置的距离应不大于振动器作用半径的</w:t>
      </w:r>
      <w:r>
        <w:rPr>
          <w:rFonts w:ascii="宋体" w:hAnsi="宋体"/>
          <w:sz w:val="24"/>
          <w:szCs w:val="24"/>
        </w:rPr>
        <w:t>1.5</w:t>
      </w:r>
      <w:r>
        <w:rPr>
          <w:rFonts w:hint="eastAsia" w:ascii="宋体" w:hAnsi="宋体"/>
          <w:sz w:val="24"/>
          <w:szCs w:val="24"/>
        </w:rPr>
        <w:t>倍，当混凝土分层浇筑时，振捣上一层混凝土时，应插入下一层中50</w:t>
      </w:r>
      <w:r>
        <w:rPr>
          <w:rFonts w:ascii="宋体" w:hAnsi="宋体"/>
          <w:sz w:val="24"/>
          <w:szCs w:val="24"/>
        </w:rPr>
        <w:t>mm</w:t>
      </w:r>
      <w:r>
        <w:rPr>
          <w:rFonts w:hint="eastAsia" w:ascii="宋体" w:hAnsi="宋体"/>
          <w:sz w:val="24"/>
          <w:szCs w:val="24"/>
        </w:rPr>
        <w:t>左右，以消除两层之间的接缝，同时振捣上层混凝土应在下层混凝土的初凝之前进行。平板式振动器在每一位置上应连续振动一定时间，一般情况下约为</w:t>
      </w:r>
      <w:r>
        <w:rPr>
          <w:rFonts w:ascii="宋体" w:hAnsi="宋体"/>
          <w:sz w:val="24"/>
          <w:szCs w:val="24"/>
        </w:rPr>
        <w:t>25-40s</w:t>
      </w:r>
      <w:r>
        <w:rPr>
          <w:rFonts w:hint="eastAsia" w:ascii="宋体" w:hAnsi="宋体"/>
          <w:sz w:val="24"/>
          <w:szCs w:val="24"/>
        </w:rPr>
        <w:t>。以混凝土表面出现浮浆为准。</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3 \* GB2 </w:instrText>
      </w:r>
      <w:r>
        <w:rPr>
          <w:rFonts w:ascii="宋体" w:hAnsi="宋体"/>
          <w:sz w:val="24"/>
          <w:szCs w:val="24"/>
        </w:rPr>
        <w:fldChar w:fldCharType="separate"/>
      </w:r>
      <w:r>
        <w:rPr>
          <w:rFonts w:ascii="宋体" w:hAnsi="宋体"/>
          <w:sz w:val="24"/>
          <w:szCs w:val="24"/>
        </w:rPr>
        <w:t>⑶</w:t>
      </w:r>
      <w:r>
        <w:rPr>
          <w:rFonts w:ascii="宋体" w:hAnsi="宋体"/>
          <w:sz w:val="24"/>
          <w:szCs w:val="24"/>
        </w:rPr>
        <w:fldChar w:fldCharType="end"/>
      </w:r>
      <w:r>
        <w:rPr>
          <w:rFonts w:hint="eastAsia" w:ascii="宋体" w:hAnsi="宋体"/>
          <w:sz w:val="24"/>
          <w:szCs w:val="24"/>
        </w:rPr>
        <w:t>、其他注意事项</w:t>
      </w:r>
    </w:p>
    <w:p>
      <w:pPr>
        <w:spacing w:line="360" w:lineRule="auto"/>
        <w:ind w:firstLine="560" w:firstLineChars="200"/>
        <w:rPr>
          <w:rFonts w:hint="eastAsia" w:ascii="宋体" w:hAnsi="宋体"/>
          <w:sz w:val="24"/>
          <w:szCs w:val="24"/>
        </w:rPr>
      </w:pPr>
      <w:r>
        <w:rPr>
          <w:rFonts w:hint="eastAsia" w:ascii="宋体" w:hAnsi="宋体"/>
          <w:sz w:val="24"/>
          <w:szCs w:val="24"/>
        </w:rPr>
        <w:t>在浇注过程中，监理人员一方面要督促施工单位安排模板工、钢筋工、架子工检查模板、支架、钢筋、预埋件的情况，同时也要注意检查模板支架的稳定与漏浆等情况，若发现有变形、移位时，应及时采取措施进行处理。监理人员还要检查预埋件及后放钢筋的实施情况，发现问题及时纠正。</w:t>
      </w:r>
    </w:p>
    <w:p>
      <w:pPr>
        <w:spacing w:line="360" w:lineRule="auto"/>
        <w:rPr>
          <w:rFonts w:hint="eastAsia"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浇筑过程中，监理人员应制止操作人员在模板支撑和钢筋上行走，应注意督促施工人员将模内钢筋的临时支撑和混凝土厚度标志随时抽出，不得埋入混凝土内。</w:t>
      </w:r>
    </w:p>
    <w:p>
      <w:pPr>
        <w:spacing w:line="360" w:lineRule="auto"/>
        <w:rPr>
          <w:rFonts w:hint="eastAsia" w:ascii="宋体" w:hAnsi="宋体"/>
          <w:color w:val="333333"/>
          <w:sz w:val="24"/>
          <w:szCs w:val="24"/>
        </w:rPr>
      </w:pPr>
      <w:r>
        <w:rPr>
          <w:rFonts w:hint="eastAsia" w:ascii="宋体" w:hAnsi="宋体"/>
          <w:b/>
          <w:bCs/>
          <w:sz w:val="28"/>
          <w:szCs w:val="28"/>
        </w:rPr>
        <w:t>（五）混凝土施工的监理验收</w:t>
      </w:r>
      <w:r>
        <w:rPr>
          <w:rFonts w:ascii="宋体" w:hAnsi="宋体"/>
          <w:color w:val="333333"/>
          <w:sz w:val="24"/>
          <w:szCs w:val="24"/>
        </w:rPr>
        <w:br w:type="textWrapping"/>
      </w:r>
      <w:r>
        <w:rPr>
          <w:rFonts w:hint="eastAsia" w:ascii="宋体" w:hAnsi="宋体"/>
          <w:color w:val="333333"/>
          <w:sz w:val="24"/>
          <w:szCs w:val="24"/>
        </w:rPr>
        <w:t>　　混凝土工程完成且质量控制资料齐全后，监理工程师应根据质量保证资料、混凝土结构实体质量和设计文件、现行《混凝土强度检验评定标准》GBJ107、《混凝土结构工程施工质量验收规范》GB50204－2002、《建筑工程施工质量验收统一标准》GB50300－2001的规定，对混凝土结构工程的施工质量进行检查、评估与验收。</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泵送混凝土施工过程中，监理工程师应加强对原材料的质量控制，并及时对施工现场进行巡视检查、平行检查和旁站监理，如发现有影响混凝土结构施工质量的问题或事项决不迁就，并及时要求施工方整改，该返工的要彻底返工，使混凝土结构的施工质量自始至终处于受控状态，才能提高混凝土结构的施工质量。</w:t>
      </w:r>
    </w:p>
    <w:p>
      <w:pPr>
        <w:pStyle w:val="2"/>
        <w:spacing w:line="360" w:lineRule="auto"/>
        <w:ind w:firstLine="560" w:firstLineChars="200"/>
        <w:rPr>
          <w:rFonts w:hint="eastAsia" w:ascii="宋体" w:hAnsi="宋体"/>
          <w:sz w:val="24"/>
          <w:szCs w:val="24"/>
        </w:rPr>
      </w:pPr>
      <w:r>
        <w:rPr>
          <w:rFonts w:hint="eastAsia" w:ascii="宋体" w:hAnsi="宋体"/>
          <w:sz w:val="24"/>
          <w:szCs w:val="24"/>
        </w:rPr>
        <w:t>1、主控项目</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、结构混凝土的强度等级必须符合设计要求</w:t>
      </w:r>
    </w:p>
    <w:p>
      <w:pPr>
        <w:spacing w:line="360" w:lineRule="auto"/>
        <w:ind w:firstLine="560" w:firstLineChars="200"/>
        <w:rPr>
          <w:rFonts w:hint="eastAsia" w:ascii="宋体" w:hAnsi="宋体"/>
          <w:sz w:val="24"/>
          <w:szCs w:val="24"/>
        </w:rPr>
      </w:pPr>
      <w:r>
        <w:rPr>
          <w:rFonts w:hint="eastAsia" w:ascii="宋体" w:hAnsi="宋体"/>
          <w:sz w:val="24"/>
          <w:szCs w:val="24"/>
        </w:rPr>
        <w:t>检验方法：检查施工记录及试件强度试验报告。</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2 \* GB2 </w:instrText>
      </w:r>
      <w:r>
        <w:rPr>
          <w:rFonts w:ascii="宋体" w:hAnsi="宋体"/>
          <w:sz w:val="24"/>
          <w:szCs w:val="24"/>
        </w:rPr>
        <w:fldChar w:fldCharType="separate"/>
      </w:r>
      <w:r>
        <w:rPr>
          <w:rFonts w:ascii="宋体" w:hAnsi="宋体"/>
          <w:sz w:val="24"/>
          <w:szCs w:val="24"/>
        </w:rPr>
        <w:t>⑵</w:t>
      </w:r>
      <w:r>
        <w:rPr>
          <w:rFonts w:ascii="宋体" w:hAnsi="宋体"/>
          <w:sz w:val="24"/>
          <w:szCs w:val="24"/>
        </w:rPr>
        <w:fldChar w:fldCharType="end"/>
      </w:r>
      <w:r>
        <w:rPr>
          <w:rFonts w:hint="eastAsia" w:ascii="宋体" w:hAnsi="宋体"/>
          <w:sz w:val="24"/>
          <w:szCs w:val="24"/>
        </w:rPr>
        <w:t>、对有抗渗要求的混凝土结构，其混凝土试件应在浇筑地点随机取样。同一工程、同一配合比混凝土，取样不应少于一次，留置组数可根据实际需要确定。</w:t>
      </w:r>
    </w:p>
    <w:p>
      <w:pPr>
        <w:spacing w:line="360" w:lineRule="auto"/>
        <w:ind w:firstLine="560" w:firstLineChars="200"/>
        <w:rPr>
          <w:rFonts w:hint="eastAsia" w:ascii="宋体" w:hAnsi="宋体"/>
          <w:sz w:val="24"/>
          <w:szCs w:val="24"/>
        </w:rPr>
      </w:pPr>
      <w:r>
        <w:rPr>
          <w:rFonts w:hint="eastAsia" w:ascii="宋体" w:hAnsi="宋体"/>
          <w:sz w:val="24"/>
          <w:szCs w:val="24"/>
        </w:rPr>
        <w:t>检验方法：检查试件抗渗试验报告。</w:t>
      </w:r>
    </w:p>
    <w:p>
      <w:pPr>
        <w:spacing w:line="360" w:lineRule="auto"/>
        <w:ind w:firstLine="560" w:firstLineChars="200"/>
        <w:rPr>
          <w:rFonts w:hint="eastAsia" w:ascii="宋体" w:hAnsi="宋体"/>
          <w:sz w:val="24"/>
          <w:szCs w:val="24"/>
        </w:rPr>
      </w:pPr>
      <w:r>
        <w:rPr>
          <w:rFonts w:hint="eastAsia" w:ascii="宋体" w:hAnsi="宋体"/>
          <w:sz w:val="24"/>
          <w:szCs w:val="24"/>
        </w:rPr>
        <w:t>2、一般项目</w:t>
      </w:r>
    </w:p>
    <w:p>
      <w:pPr>
        <w:spacing w:line="360" w:lineRule="auto"/>
        <w:ind w:left="561" w:leftChars="267"/>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、混凝土浇筑完毕后，应按施工技术方案及时采取有效的养护措施，并应符合下列规定：</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roman </w:instrText>
      </w:r>
      <w:r>
        <w:rPr>
          <w:rFonts w:ascii="宋体" w:hAnsi="宋体"/>
          <w:sz w:val="24"/>
          <w:szCs w:val="24"/>
        </w:rPr>
        <w:fldChar w:fldCharType="separate"/>
      </w:r>
      <w:r>
        <w:rPr>
          <w:rFonts w:ascii="宋体" w:hAnsi="宋体"/>
          <w:sz w:val="24"/>
          <w:szCs w:val="24"/>
        </w:rPr>
        <w:t>i</w:t>
      </w:r>
      <w:r>
        <w:rPr>
          <w:rFonts w:ascii="宋体" w:hAnsi="宋体"/>
          <w:sz w:val="24"/>
          <w:szCs w:val="24"/>
        </w:rPr>
        <w:fldChar w:fldCharType="end"/>
      </w:r>
      <w:r>
        <w:rPr>
          <w:rFonts w:hint="eastAsia" w:ascii="宋体" w:hAnsi="宋体"/>
          <w:sz w:val="24"/>
          <w:szCs w:val="24"/>
        </w:rPr>
        <w:t>应在浇筑完毕后的12</w:t>
      </w:r>
      <w:r>
        <w:rPr>
          <w:rFonts w:ascii="宋体" w:hAnsi="宋体"/>
          <w:sz w:val="24"/>
          <w:szCs w:val="24"/>
        </w:rPr>
        <w:t>h</w:t>
      </w:r>
      <w:r>
        <w:rPr>
          <w:rFonts w:hint="eastAsia" w:ascii="宋体" w:hAnsi="宋体"/>
          <w:sz w:val="24"/>
          <w:szCs w:val="24"/>
        </w:rPr>
        <w:t>以内对混凝土加以覆盖并保湿养护；</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2 \* roman </w:instrText>
      </w:r>
      <w:r>
        <w:rPr>
          <w:rFonts w:ascii="宋体" w:hAnsi="宋体"/>
          <w:sz w:val="24"/>
          <w:szCs w:val="24"/>
        </w:rPr>
        <w:fldChar w:fldCharType="separate"/>
      </w:r>
      <w:r>
        <w:rPr>
          <w:rFonts w:ascii="宋体" w:hAnsi="宋体"/>
          <w:sz w:val="24"/>
          <w:szCs w:val="24"/>
        </w:rPr>
        <w:t>ii</w:t>
      </w:r>
      <w:r>
        <w:rPr>
          <w:rFonts w:ascii="宋体" w:hAnsi="宋体"/>
          <w:sz w:val="24"/>
          <w:szCs w:val="24"/>
        </w:rPr>
        <w:fldChar w:fldCharType="end"/>
      </w:r>
      <w:r>
        <w:rPr>
          <w:rFonts w:hint="eastAsia" w:ascii="宋体" w:hAnsi="宋体"/>
          <w:sz w:val="24"/>
          <w:szCs w:val="24"/>
        </w:rPr>
        <w:t>采用塑料布覆盖养护的混凝土，其敞露的全部表面应覆盖严密，并应保持塑料布内有凝结水。</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3 \* roman </w:instrText>
      </w:r>
      <w:r>
        <w:rPr>
          <w:rFonts w:ascii="宋体" w:hAnsi="宋体"/>
          <w:sz w:val="24"/>
          <w:szCs w:val="24"/>
        </w:rPr>
        <w:fldChar w:fldCharType="separate"/>
      </w:r>
      <w:r>
        <w:rPr>
          <w:rFonts w:ascii="宋体" w:hAnsi="宋体"/>
          <w:sz w:val="24"/>
          <w:szCs w:val="24"/>
        </w:rPr>
        <w:t>iii</w:t>
      </w:r>
      <w:r>
        <w:rPr>
          <w:rFonts w:ascii="宋体" w:hAnsi="宋体"/>
          <w:sz w:val="24"/>
          <w:szCs w:val="24"/>
        </w:rPr>
        <w:fldChar w:fldCharType="end"/>
      </w:r>
      <w:r>
        <w:rPr>
          <w:rFonts w:hint="eastAsia" w:ascii="宋体" w:hAnsi="宋体"/>
          <w:sz w:val="24"/>
          <w:szCs w:val="24"/>
        </w:rPr>
        <w:t>混凝土强度达到</w:t>
      </w:r>
      <w:r>
        <w:rPr>
          <w:rFonts w:ascii="宋体" w:hAnsi="宋体"/>
          <w:sz w:val="24"/>
          <w:szCs w:val="24"/>
        </w:rPr>
        <w:t>1.2N/mm2</w:t>
      </w:r>
      <w:r>
        <w:rPr>
          <w:rFonts w:hint="eastAsia" w:ascii="宋体" w:hAnsi="宋体"/>
          <w:sz w:val="24"/>
          <w:szCs w:val="24"/>
        </w:rPr>
        <w:t>前，不得在其上踩踏或安装模板及支架。</w:t>
      </w:r>
    </w:p>
    <w:p>
      <w:pPr>
        <w:spacing w:line="360" w:lineRule="auto"/>
        <w:rPr>
          <w:rFonts w:hint="eastAsia" w:ascii="宋体" w:hAnsi="宋体"/>
          <w:b/>
          <w:bCs/>
          <w:sz w:val="28"/>
          <w:szCs w:val="28"/>
        </w:rPr>
      </w:pPr>
      <w:r>
        <w:rPr>
          <w:rFonts w:hint="eastAsia" w:ascii="宋体" w:hAnsi="宋体"/>
          <w:b/>
          <w:bCs/>
          <w:sz w:val="28"/>
          <w:szCs w:val="28"/>
        </w:rPr>
        <w:t>（六）现浇结构分项工程的验收</w:t>
      </w:r>
    </w:p>
    <w:p>
      <w:pPr>
        <w:spacing w:line="360" w:lineRule="auto"/>
        <w:ind w:firstLine="560" w:firstLineChars="200"/>
        <w:rPr>
          <w:rFonts w:hint="eastAsia" w:ascii="宋体" w:hAnsi="宋体"/>
          <w:sz w:val="24"/>
          <w:szCs w:val="24"/>
        </w:rPr>
      </w:pPr>
      <w:r>
        <w:rPr>
          <w:rFonts w:hint="eastAsia" w:ascii="宋体" w:hAnsi="宋体"/>
          <w:sz w:val="24"/>
          <w:szCs w:val="24"/>
        </w:rPr>
        <w:t>1、外观缺陷的检查与认定</w:t>
      </w:r>
    </w:p>
    <w:p>
      <w:pPr>
        <w:spacing w:line="360" w:lineRule="auto"/>
        <w:ind w:firstLine="560" w:firstLineChars="200"/>
        <w:rPr>
          <w:rFonts w:hint="eastAsia" w:ascii="宋体" w:hAnsi="宋体"/>
          <w:sz w:val="24"/>
          <w:szCs w:val="24"/>
        </w:rPr>
      </w:pPr>
      <w:r>
        <w:rPr>
          <w:rFonts w:hint="eastAsia" w:ascii="宋体" w:hAnsi="宋体"/>
          <w:sz w:val="24"/>
          <w:szCs w:val="24"/>
        </w:rPr>
        <w:t>现浇结构拆模后，监理员应对混凝土的外观质量和尺寸偏差进行检查，作出监理检查记录，并应及时按施工技术方案对缺陷进行处理。监理机构应对现浇结构的外观质量缺陷，根据其对结构性能和使用功能影响的严重程度可分为：严重缺陷和一般缺陷。</w:t>
      </w:r>
    </w:p>
    <w:p>
      <w:pPr>
        <w:spacing w:line="360" w:lineRule="auto"/>
        <w:ind w:firstLine="560" w:firstLineChars="200"/>
        <w:rPr>
          <w:rFonts w:hint="eastAsia" w:ascii="宋体" w:hAnsi="宋体"/>
          <w:sz w:val="24"/>
          <w:szCs w:val="24"/>
        </w:rPr>
      </w:pPr>
      <w:r>
        <w:rPr>
          <w:rFonts w:hint="eastAsia" w:ascii="宋体" w:hAnsi="宋体"/>
          <w:sz w:val="24"/>
          <w:szCs w:val="24"/>
        </w:rPr>
        <w:t>2、混凝土现浇结构的外观质量监理验收</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、主控项目</w:t>
      </w:r>
    </w:p>
    <w:p>
      <w:pPr>
        <w:spacing w:line="360" w:lineRule="auto"/>
        <w:ind w:firstLine="560" w:firstLineChars="200"/>
        <w:rPr>
          <w:rFonts w:hint="eastAsia" w:ascii="宋体" w:hAnsi="宋体"/>
          <w:sz w:val="24"/>
          <w:szCs w:val="24"/>
        </w:rPr>
      </w:pPr>
      <w:r>
        <w:rPr>
          <w:rFonts w:hint="eastAsia" w:ascii="宋体" w:hAnsi="宋体"/>
          <w:sz w:val="24"/>
          <w:szCs w:val="24"/>
        </w:rPr>
        <w:t>现浇结构的外观质量不应有严重缺陷。</w:t>
      </w:r>
    </w:p>
    <w:p>
      <w:pPr>
        <w:spacing w:line="360" w:lineRule="auto"/>
        <w:ind w:firstLine="560" w:firstLineChars="200"/>
        <w:rPr>
          <w:rFonts w:hint="eastAsia" w:ascii="宋体" w:hAnsi="宋体"/>
          <w:sz w:val="24"/>
          <w:szCs w:val="24"/>
        </w:rPr>
      </w:pPr>
      <w:r>
        <w:rPr>
          <w:rFonts w:hint="eastAsia" w:ascii="宋体" w:hAnsi="宋体"/>
          <w:sz w:val="24"/>
          <w:szCs w:val="24"/>
        </w:rPr>
        <w:t>对已经出现的严重缺陷，应由施工单位提出技术处理方案，并监理机构认可后进行处理。对经处理的部位，监理人员应重新检查验收。</w:t>
      </w:r>
    </w:p>
    <w:p>
      <w:pPr>
        <w:spacing w:line="360" w:lineRule="auto"/>
        <w:ind w:firstLine="560" w:firstLineChars="200"/>
        <w:rPr>
          <w:rFonts w:hint="eastAsia" w:ascii="宋体" w:hAnsi="宋体"/>
          <w:sz w:val="24"/>
          <w:szCs w:val="24"/>
        </w:rPr>
      </w:pPr>
      <w:r>
        <w:rPr>
          <w:rFonts w:hint="eastAsia" w:ascii="宋体" w:hAnsi="宋体"/>
          <w:sz w:val="24"/>
          <w:szCs w:val="24"/>
        </w:rPr>
        <w:t>检查数量：全数检查。</w:t>
      </w:r>
    </w:p>
    <w:p>
      <w:pPr>
        <w:spacing w:line="360" w:lineRule="auto"/>
        <w:ind w:firstLine="560" w:firstLineChars="200"/>
        <w:rPr>
          <w:rFonts w:hint="eastAsia" w:ascii="宋体" w:hAnsi="宋体"/>
          <w:sz w:val="24"/>
          <w:szCs w:val="24"/>
        </w:rPr>
      </w:pPr>
      <w:r>
        <w:rPr>
          <w:rFonts w:hint="eastAsia" w:ascii="宋体" w:hAnsi="宋体"/>
          <w:sz w:val="24"/>
          <w:szCs w:val="24"/>
        </w:rPr>
        <w:t>检验方法：观察，检查技术处理方案。</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2 \* GB2 </w:instrText>
      </w:r>
      <w:r>
        <w:rPr>
          <w:rFonts w:ascii="宋体" w:hAnsi="宋体"/>
          <w:sz w:val="24"/>
          <w:szCs w:val="24"/>
        </w:rPr>
        <w:fldChar w:fldCharType="separate"/>
      </w:r>
      <w:r>
        <w:rPr>
          <w:rFonts w:ascii="宋体" w:hAnsi="宋体"/>
          <w:sz w:val="24"/>
          <w:szCs w:val="24"/>
        </w:rPr>
        <w:t>⑵</w:t>
      </w:r>
      <w:r>
        <w:rPr>
          <w:rFonts w:ascii="宋体" w:hAnsi="宋体"/>
          <w:sz w:val="24"/>
          <w:szCs w:val="24"/>
        </w:rPr>
        <w:fldChar w:fldCharType="end"/>
      </w:r>
      <w:r>
        <w:rPr>
          <w:rFonts w:hint="eastAsia" w:ascii="宋体" w:hAnsi="宋体"/>
          <w:sz w:val="24"/>
          <w:szCs w:val="24"/>
        </w:rPr>
        <w:t>、一般项目</w:t>
      </w:r>
    </w:p>
    <w:p>
      <w:pPr>
        <w:spacing w:line="360" w:lineRule="auto"/>
        <w:ind w:firstLine="560" w:firstLineChars="200"/>
        <w:rPr>
          <w:rFonts w:hint="eastAsia" w:ascii="宋体" w:hAnsi="宋体"/>
          <w:sz w:val="24"/>
          <w:szCs w:val="24"/>
        </w:rPr>
      </w:pPr>
      <w:r>
        <w:rPr>
          <w:rFonts w:hint="eastAsia" w:ascii="宋体" w:hAnsi="宋体"/>
          <w:sz w:val="24"/>
          <w:szCs w:val="24"/>
        </w:rPr>
        <w:t>现浇结构的外观质量不宜有一般缺陷。</w:t>
      </w:r>
    </w:p>
    <w:p>
      <w:pPr>
        <w:spacing w:line="360" w:lineRule="auto"/>
        <w:ind w:firstLine="560" w:firstLineChars="200"/>
        <w:rPr>
          <w:rFonts w:hint="eastAsia" w:ascii="宋体" w:hAnsi="宋体"/>
          <w:sz w:val="24"/>
          <w:szCs w:val="24"/>
        </w:rPr>
      </w:pPr>
      <w:r>
        <w:rPr>
          <w:rFonts w:hint="eastAsia" w:ascii="宋体" w:hAnsi="宋体"/>
          <w:sz w:val="24"/>
          <w:szCs w:val="24"/>
        </w:rPr>
        <w:t>对已经出现的一般缺陷，应由施工单位按技术处理方案进行处理，并重新检查验收。</w:t>
      </w:r>
    </w:p>
    <w:p>
      <w:pPr>
        <w:spacing w:line="360" w:lineRule="auto"/>
        <w:ind w:firstLine="560" w:firstLineChars="200"/>
        <w:rPr>
          <w:rFonts w:hint="eastAsia" w:ascii="宋体" w:hAnsi="宋体"/>
          <w:sz w:val="24"/>
          <w:szCs w:val="24"/>
        </w:rPr>
      </w:pPr>
      <w:r>
        <w:rPr>
          <w:rFonts w:hint="eastAsia" w:ascii="宋体" w:hAnsi="宋体"/>
          <w:sz w:val="24"/>
          <w:szCs w:val="24"/>
        </w:rPr>
        <w:t>检查数量：全部检查。</w:t>
      </w:r>
    </w:p>
    <w:p>
      <w:pPr>
        <w:spacing w:line="360" w:lineRule="auto"/>
        <w:ind w:firstLine="560" w:firstLineChars="200"/>
        <w:rPr>
          <w:rFonts w:hint="eastAsia" w:ascii="宋体" w:hAnsi="宋体"/>
          <w:sz w:val="24"/>
          <w:szCs w:val="24"/>
        </w:rPr>
      </w:pPr>
      <w:r>
        <w:rPr>
          <w:rFonts w:hint="eastAsia" w:ascii="宋体" w:hAnsi="宋体"/>
          <w:sz w:val="24"/>
          <w:szCs w:val="24"/>
        </w:rPr>
        <w:t>检验方法：观察，检查技术处理方案。</w:t>
      </w:r>
    </w:p>
    <w:p>
      <w:pPr>
        <w:spacing w:line="360" w:lineRule="auto"/>
        <w:ind w:firstLine="560" w:firstLineChars="200"/>
        <w:rPr>
          <w:rFonts w:hint="eastAsia" w:ascii="宋体" w:hAnsi="宋体"/>
          <w:sz w:val="24"/>
          <w:szCs w:val="24"/>
        </w:rPr>
      </w:pPr>
      <w:r>
        <w:rPr>
          <w:rFonts w:hint="eastAsia" w:ascii="宋体" w:hAnsi="宋体"/>
          <w:sz w:val="24"/>
          <w:szCs w:val="24"/>
        </w:rPr>
        <w:t>3、混凝土现浇结构尺寸偏差的检查验收</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GB2 </w:instrText>
      </w:r>
      <w:r>
        <w:rPr>
          <w:rFonts w:ascii="宋体" w:hAnsi="宋体"/>
          <w:sz w:val="24"/>
          <w:szCs w:val="24"/>
        </w:rPr>
        <w:fldChar w:fldCharType="separate"/>
      </w:r>
      <w:r>
        <w:rPr>
          <w:rFonts w:ascii="宋体" w:hAnsi="宋体"/>
          <w:sz w:val="24"/>
          <w:szCs w:val="24"/>
        </w:rPr>
        <w:t>⑴</w:t>
      </w:r>
      <w:r>
        <w:rPr>
          <w:rFonts w:ascii="宋体" w:hAnsi="宋体"/>
          <w:sz w:val="24"/>
          <w:szCs w:val="24"/>
        </w:rPr>
        <w:fldChar w:fldCharType="end"/>
      </w:r>
      <w:r>
        <w:rPr>
          <w:rFonts w:hint="eastAsia" w:ascii="宋体" w:hAnsi="宋体"/>
          <w:sz w:val="24"/>
          <w:szCs w:val="24"/>
        </w:rPr>
        <w:t>、主控项目</w:t>
      </w:r>
    </w:p>
    <w:p>
      <w:pPr>
        <w:spacing w:line="360" w:lineRule="auto"/>
        <w:ind w:firstLine="560" w:firstLineChars="200"/>
        <w:rPr>
          <w:rFonts w:hint="eastAsia" w:ascii="宋体" w:hAnsi="宋体"/>
          <w:sz w:val="24"/>
          <w:szCs w:val="24"/>
        </w:rPr>
      </w:pPr>
      <w:r>
        <w:rPr>
          <w:rFonts w:hint="eastAsia" w:ascii="宋体" w:hAnsi="宋体"/>
          <w:sz w:val="24"/>
          <w:szCs w:val="24"/>
        </w:rPr>
        <w:t>现浇结构不应有影响结构性能和使用功能的尺寸偏差。混凝土设备基础不应有影响结构性能和设备安装的尺寸偏差，预埋件安装位置和尺寸严格按照设计图纸进行。</w:t>
      </w:r>
    </w:p>
    <w:p>
      <w:pPr>
        <w:spacing w:line="360" w:lineRule="auto"/>
        <w:ind w:firstLine="560" w:firstLineChars="200"/>
        <w:rPr>
          <w:rFonts w:hint="eastAsia" w:ascii="宋体" w:hAnsi="宋体"/>
          <w:sz w:val="24"/>
          <w:szCs w:val="24"/>
        </w:rPr>
      </w:pPr>
      <w:r>
        <w:rPr>
          <w:rFonts w:hint="eastAsia" w:ascii="宋体" w:hAnsi="宋体"/>
          <w:sz w:val="24"/>
          <w:szCs w:val="24"/>
        </w:rPr>
        <w:t>对超过尺寸允许地偏差且影响结构性能和安装、使用功能的部位、应由施工提出技术处理方案，并经监理（建设）认可后进行处理。对经处理的部位，监理人员应重新检查验收。</w:t>
      </w:r>
    </w:p>
    <w:p>
      <w:pPr>
        <w:spacing w:line="360" w:lineRule="auto"/>
        <w:ind w:firstLine="560" w:firstLineChars="200"/>
        <w:rPr>
          <w:rFonts w:hint="eastAsia" w:ascii="宋体" w:hAnsi="宋体"/>
          <w:sz w:val="24"/>
          <w:szCs w:val="24"/>
        </w:rPr>
      </w:pPr>
      <w:r>
        <w:rPr>
          <w:rFonts w:hint="eastAsia" w:ascii="宋体" w:hAnsi="宋体"/>
          <w:sz w:val="24"/>
          <w:szCs w:val="24"/>
        </w:rPr>
        <w:t>检查数量：全部检查。</w:t>
      </w:r>
    </w:p>
    <w:p>
      <w:pPr>
        <w:spacing w:line="360" w:lineRule="auto"/>
        <w:ind w:firstLine="560" w:firstLineChars="200"/>
        <w:rPr>
          <w:rFonts w:hint="eastAsia" w:ascii="宋体" w:hAnsi="宋体"/>
          <w:sz w:val="24"/>
          <w:szCs w:val="24"/>
        </w:rPr>
      </w:pPr>
      <w:r>
        <w:rPr>
          <w:rFonts w:hint="eastAsia" w:ascii="宋体" w:hAnsi="宋体"/>
          <w:sz w:val="24"/>
          <w:szCs w:val="24"/>
        </w:rPr>
        <w:t>检验方法：量测，检查技术处理方案。</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2 \* GB2 </w:instrText>
      </w:r>
      <w:r>
        <w:rPr>
          <w:rFonts w:ascii="宋体" w:hAnsi="宋体"/>
          <w:sz w:val="24"/>
          <w:szCs w:val="24"/>
        </w:rPr>
        <w:fldChar w:fldCharType="separate"/>
      </w:r>
      <w:r>
        <w:rPr>
          <w:rFonts w:ascii="宋体" w:hAnsi="宋体"/>
          <w:sz w:val="24"/>
          <w:szCs w:val="24"/>
        </w:rPr>
        <w:t>⑵</w:t>
      </w:r>
      <w:r>
        <w:rPr>
          <w:rFonts w:ascii="宋体" w:hAnsi="宋体"/>
          <w:sz w:val="24"/>
          <w:szCs w:val="24"/>
        </w:rPr>
        <w:fldChar w:fldCharType="end"/>
      </w:r>
      <w:r>
        <w:rPr>
          <w:rFonts w:hint="eastAsia" w:ascii="宋体" w:hAnsi="宋体"/>
          <w:sz w:val="24"/>
          <w:szCs w:val="24"/>
        </w:rPr>
        <w:t>、一般项目</w:t>
      </w:r>
    </w:p>
    <w:p>
      <w:pPr>
        <w:spacing w:line="360" w:lineRule="auto"/>
        <w:ind w:firstLine="560" w:firstLineChars="20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 1 \* roman </w:instrText>
      </w:r>
      <w:r>
        <w:rPr>
          <w:rFonts w:ascii="宋体" w:hAnsi="宋体"/>
          <w:sz w:val="24"/>
          <w:szCs w:val="24"/>
        </w:rPr>
        <w:fldChar w:fldCharType="separate"/>
      </w:r>
      <w:r>
        <w:rPr>
          <w:rFonts w:ascii="宋体" w:hAnsi="宋体"/>
          <w:sz w:val="24"/>
          <w:szCs w:val="24"/>
        </w:rPr>
        <w:t>i</w:t>
      </w:r>
      <w:r>
        <w:rPr>
          <w:rFonts w:ascii="宋体" w:hAnsi="宋体"/>
          <w:sz w:val="24"/>
          <w:szCs w:val="24"/>
        </w:rPr>
        <w:fldChar w:fldCharType="end"/>
      </w:r>
      <w:r>
        <w:rPr>
          <w:rFonts w:hint="eastAsia" w:ascii="宋体" w:hAnsi="宋体"/>
          <w:sz w:val="24"/>
          <w:szCs w:val="24"/>
        </w:rPr>
        <w:t>、现浇结构和混凝土设备基础拆模后的尺寸偏差应符合下表的规定。</w:t>
      </w:r>
    </w:p>
    <w:p>
      <w:pPr>
        <w:spacing w:line="360" w:lineRule="auto"/>
        <w:ind w:firstLine="560" w:firstLineChars="200"/>
        <w:rPr>
          <w:rFonts w:hint="eastAsia" w:ascii="宋体" w:hAnsi="宋体"/>
          <w:b/>
          <w:bCs/>
          <w:sz w:val="24"/>
          <w:szCs w:val="24"/>
        </w:rPr>
      </w:pPr>
      <w:r>
        <w:rPr>
          <w:rFonts w:hint="eastAsia" w:ascii="宋体" w:hAnsi="宋体"/>
          <w:sz w:val="24"/>
          <w:szCs w:val="24"/>
        </w:rPr>
        <w:t>检查数量：按施工段划分检验批。在同一检验批内，对独立基础，应抽查构件数量的10%，且不少于3件。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130" w:type="dxa"/>
            <w:vAlign w:val="top"/>
          </w:tcPr>
          <w:p>
            <w:pPr>
              <w:spacing w:line="360" w:lineRule="auto"/>
              <w:rPr>
                <w:rFonts w:hint="eastAsia" w:ascii="宋体" w:hAnsi="宋体"/>
                <w:bCs/>
                <w:sz w:val="24"/>
                <w:szCs w:val="24"/>
              </w:rPr>
            </w:pPr>
          </w:p>
        </w:tc>
        <w:tc>
          <w:tcPr>
            <w:tcW w:w="2130" w:type="dxa"/>
            <w:vAlign w:val="top"/>
          </w:tcPr>
          <w:p>
            <w:pPr>
              <w:spacing w:line="360" w:lineRule="auto"/>
              <w:rPr>
                <w:rFonts w:hint="eastAsia" w:ascii="宋体" w:hAnsi="宋体"/>
                <w:bCs/>
                <w:sz w:val="24"/>
                <w:szCs w:val="24"/>
              </w:rPr>
            </w:pPr>
            <w:r>
              <w:rPr>
                <w:rFonts w:hint="eastAsia" w:ascii="宋体" w:hAnsi="宋体"/>
                <w:bCs/>
                <w:sz w:val="24"/>
                <w:szCs w:val="24"/>
              </w:rPr>
              <w:t>项目</w:t>
            </w:r>
          </w:p>
        </w:tc>
        <w:tc>
          <w:tcPr>
            <w:tcW w:w="2131" w:type="dxa"/>
            <w:vAlign w:val="top"/>
          </w:tcPr>
          <w:p>
            <w:pPr>
              <w:spacing w:line="360" w:lineRule="auto"/>
              <w:rPr>
                <w:rFonts w:hint="eastAsia" w:ascii="宋体" w:hAnsi="宋体"/>
                <w:bCs/>
                <w:sz w:val="24"/>
                <w:szCs w:val="24"/>
              </w:rPr>
            </w:pPr>
            <w:r>
              <w:rPr>
                <w:rFonts w:hint="eastAsia" w:ascii="宋体" w:hAnsi="宋体"/>
                <w:bCs/>
                <w:sz w:val="24"/>
                <w:szCs w:val="24"/>
              </w:rPr>
              <w:t>允许偏差（mm</w:t>
            </w:r>
            <w:r>
              <w:rPr>
                <w:rFonts w:ascii="宋体" w:hAnsi="宋体"/>
                <w:bCs/>
                <w:sz w:val="24"/>
                <w:szCs w:val="24"/>
              </w:rPr>
              <w:t>）</w:t>
            </w:r>
          </w:p>
        </w:tc>
        <w:tc>
          <w:tcPr>
            <w:tcW w:w="2131" w:type="dxa"/>
            <w:vAlign w:val="top"/>
          </w:tcPr>
          <w:p>
            <w:pPr>
              <w:spacing w:line="360" w:lineRule="auto"/>
              <w:rPr>
                <w:rFonts w:hint="eastAsia" w:ascii="宋体" w:hAnsi="宋体"/>
                <w:bCs/>
                <w:sz w:val="24"/>
                <w:szCs w:val="24"/>
              </w:rPr>
            </w:pPr>
            <w:r>
              <w:rPr>
                <w:rFonts w:hint="eastAsia" w:ascii="宋体" w:hAnsi="宋体"/>
                <w:bCs/>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130" w:type="dxa"/>
            <w:vAlign w:val="top"/>
          </w:tcPr>
          <w:p>
            <w:pPr>
              <w:spacing w:line="360" w:lineRule="auto"/>
              <w:rPr>
                <w:rFonts w:hint="eastAsia" w:ascii="宋体" w:hAnsi="宋体"/>
                <w:bCs/>
                <w:sz w:val="24"/>
                <w:szCs w:val="24"/>
              </w:rPr>
            </w:pPr>
            <w:r>
              <w:rPr>
                <w:rFonts w:hint="eastAsia" w:ascii="宋体" w:hAnsi="宋体"/>
                <w:bCs/>
                <w:sz w:val="24"/>
                <w:szCs w:val="24"/>
              </w:rPr>
              <w:t>轴线位置</w:t>
            </w:r>
          </w:p>
        </w:tc>
        <w:tc>
          <w:tcPr>
            <w:tcW w:w="2130" w:type="dxa"/>
            <w:vAlign w:val="top"/>
          </w:tcPr>
          <w:p>
            <w:pPr>
              <w:spacing w:line="360" w:lineRule="auto"/>
              <w:rPr>
                <w:rFonts w:hint="eastAsia" w:ascii="宋体" w:hAnsi="宋体"/>
                <w:bCs/>
                <w:sz w:val="24"/>
                <w:szCs w:val="24"/>
              </w:rPr>
            </w:pPr>
            <w:r>
              <w:rPr>
                <w:rFonts w:hint="eastAsia" w:ascii="宋体" w:hAnsi="宋体"/>
                <w:bCs/>
                <w:sz w:val="24"/>
                <w:szCs w:val="24"/>
              </w:rPr>
              <w:t>独立基础</w:t>
            </w:r>
          </w:p>
        </w:tc>
        <w:tc>
          <w:tcPr>
            <w:tcW w:w="2131" w:type="dxa"/>
            <w:vAlign w:val="top"/>
          </w:tcPr>
          <w:p>
            <w:pPr>
              <w:spacing w:line="360" w:lineRule="auto"/>
              <w:rPr>
                <w:rFonts w:hint="eastAsia" w:ascii="宋体" w:hAnsi="宋体"/>
                <w:bCs/>
                <w:sz w:val="24"/>
                <w:szCs w:val="24"/>
              </w:rPr>
            </w:pPr>
            <w:r>
              <w:rPr>
                <w:rFonts w:hint="eastAsia" w:ascii="宋体" w:hAnsi="宋体"/>
                <w:bCs/>
                <w:sz w:val="24"/>
                <w:szCs w:val="24"/>
              </w:rPr>
              <w:t>10</w:t>
            </w:r>
          </w:p>
        </w:tc>
        <w:tc>
          <w:tcPr>
            <w:tcW w:w="2131" w:type="dxa"/>
            <w:vAlign w:val="top"/>
          </w:tcPr>
          <w:p>
            <w:pPr>
              <w:spacing w:line="360" w:lineRule="auto"/>
              <w:rPr>
                <w:rFonts w:hint="eastAsia" w:ascii="宋体" w:hAnsi="宋体"/>
                <w:bCs/>
                <w:sz w:val="24"/>
                <w:szCs w:val="24"/>
              </w:rPr>
            </w:pPr>
            <w:r>
              <w:rPr>
                <w:rFonts w:hint="eastAsia" w:ascii="宋体" w:hAnsi="宋体"/>
                <w:bCs/>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2130" w:type="dxa"/>
            <w:vMerge w:val="restart"/>
            <w:vAlign w:val="top"/>
          </w:tcPr>
          <w:p>
            <w:pPr>
              <w:spacing w:line="360" w:lineRule="auto"/>
              <w:rPr>
                <w:rFonts w:hint="eastAsia" w:ascii="宋体" w:hAnsi="宋体"/>
                <w:bCs/>
                <w:sz w:val="24"/>
                <w:szCs w:val="24"/>
              </w:rPr>
            </w:pPr>
            <w:r>
              <w:rPr>
                <w:rFonts w:hint="eastAsia" w:ascii="宋体" w:hAnsi="宋体"/>
                <w:bCs/>
                <w:sz w:val="24"/>
                <w:szCs w:val="24"/>
              </w:rPr>
              <w:t>预埋构件中心线位置</w:t>
            </w:r>
          </w:p>
        </w:tc>
        <w:tc>
          <w:tcPr>
            <w:tcW w:w="2130" w:type="dxa"/>
            <w:vAlign w:val="center"/>
          </w:tcPr>
          <w:p>
            <w:pPr>
              <w:spacing w:line="360" w:lineRule="auto"/>
              <w:rPr>
                <w:rFonts w:hint="eastAsia" w:ascii="宋体" w:hAnsi="宋体"/>
                <w:bCs/>
                <w:sz w:val="24"/>
                <w:szCs w:val="24"/>
              </w:rPr>
            </w:pPr>
            <w:r>
              <w:rPr>
                <w:rFonts w:hint="eastAsia" w:ascii="宋体" w:hAnsi="宋体"/>
                <w:bCs/>
                <w:sz w:val="24"/>
                <w:szCs w:val="24"/>
              </w:rPr>
              <w:t>预埋件</w:t>
            </w:r>
          </w:p>
        </w:tc>
        <w:tc>
          <w:tcPr>
            <w:tcW w:w="2131" w:type="dxa"/>
            <w:vAlign w:val="top"/>
          </w:tcPr>
          <w:p>
            <w:pPr>
              <w:spacing w:line="360" w:lineRule="auto"/>
              <w:rPr>
                <w:rFonts w:hint="eastAsia" w:ascii="宋体" w:hAnsi="宋体"/>
                <w:bCs/>
                <w:sz w:val="24"/>
                <w:szCs w:val="24"/>
              </w:rPr>
            </w:pPr>
            <w:r>
              <w:rPr>
                <w:rFonts w:hint="eastAsia" w:ascii="宋体" w:hAnsi="宋体"/>
                <w:bCs/>
                <w:sz w:val="24"/>
                <w:szCs w:val="24"/>
              </w:rPr>
              <w:t>10</w:t>
            </w:r>
          </w:p>
        </w:tc>
        <w:tc>
          <w:tcPr>
            <w:tcW w:w="2131" w:type="dxa"/>
            <w:vMerge w:val="restart"/>
            <w:vAlign w:val="top"/>
          </w:tcPr>
          <w:p>
            <w:pPr>
              <w:spacing w:line="360" w:lineRule="auto"/>
              <w:rPr>
                <w:rFonts w:hint="eastAsia" w:ascii="宋体" w:hAnsi="宋体"/>
                <w:bCs/>
                <w:sz w:val="24"/>
                <w:szCs w:val="24"/>
              </w:rPr>
            </w:pPr>
            <w:r>
              <w:rPr>
                <w:rFonts w:hint="eastAsia" w:ascii="宋体" w:hAnsi="宋体"/>
                <w:bCs/>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2130" w:type="dxa"/>
            <w:vMerge w:val="continue"/>
            <w:vAlign w:val="top"/>
          </w:tcPr>
          <w:p>
            <w:pPr>
              <w:spacing w:line="360" w:lineRule="auto"/>
              <w:rPr>
                <w:rFonts w:hint="eastAsia" w:ascii="宋体" w:hAnsi="宋体"/>
                <w:bCs/>
                <w:sz w:val="24"/>
                <w:szCs w:val="24"/>
              </w:rPr>
            </w:pPr>
          </w:p>
        </w:tc>
        <w:tc>
          <w:tcPr>
            <w:tcW w:w="2130" w:type="dxa"/>
            <w:vAlign w:val="center"/>
          </w:tcPr>
          <w:p>
            <w:pPr>
              <w:spacing w:line="360" w:lineRule="auto"/>
              <w:rPr>
                <w:rFonts w:hint="eastAsia" w:ascii="宋体" w:hAnsi="宋体"/>
                <w:bCs/>
                <w:sz w:val="24"/>
                <w:szCs w:val="24"/>
              </w:rPr>
            </w:pPr>
            <w:r>
              <w:rPr>
                <w:rFonts w:hint="eastAsia" w:ascii="宋体" w:hAnsi="宋体"/>
                <w:bCs/>
                <w:sz w:val="24"/>
                <w:szCs w:val="24"/>
              </w:rPr>
              <w:t>预埋螺栓</w:t>
            </w:r>
          </w:p>
        </w:tc>
        <w:tc>
          <w:tcPr>
            <w:tcW w:w="2131" w:type="dxa"/>
            <w:vAlign w:val="top"/>
          </w:tcPr>
          <w:p>
            <w:pPr>
              <w:spacing w:line="360" w:lineRule="auto"/>
              <w:rPr>
                <w:rFonts w:hint="eastAsia" w:ascii="宋体" w:hAnsi="宋体"/>
                <w:bCs/>
                <w:sz w:val="24"/>
                <w:szCs w:val="24"/>
              </w:rPr>
            </w:pPr>
            <w:r>
              <w:rPr>
                <w:rFonts w:hint="eastAsia" w:ascii="宋体" w:hAnsi="宋体"/>
                <w:bCs/>
                <w:sz w:val="24"/>
                <w:szCs w:val="24"/>
              </w:rPr>
              <w:t>5</w:t>
            </w:r>
          </w:p>
        </w:tc>
        <w:tc>
          <w:tcPr>
            <w:tcW w:w="2131" w:type="dxa"/>
            <w:vMerge w:val="continue"/>
            <w:vAlign w:val="top"/>
          </w:tcPr>
          <w:p>
            <w:pPr>
              <w:spacing w:line="360" w:lineRule="auto"/>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4260" w:type="dxa"/>
            <w:gridSpan w:val="2"/>
            <w:vAlign w:val="center"/>
          </w:tcPr>
          <w:p>
            <w:pPr>
              <w:spacing w:line="360" w:lineRule="auto"/>
              <w:rPr>
                <w:rFonts w:hint="eastAsia" w:ascii="宋体" w:hAnsi="宋体"/>
                <w:bCs/>
                <w:sz w:val="24"/>
                <w:szCs w:val="24"/>
              </w:rPr>
            </w:pPr>
            <w:r>
              <w:rPr>
                <w:rFonts w:hint="eastAsia" w:ascii="宋体" w:hAnsi="宋体"/>
                <w:bCs/>
                <w:sz w:val="24"/>
                <w:szCs w:val="24"/>
              </w:rPr>
              <w:t>预留孔洞中心线位置</w:t>
            </w:r>
          </w:p>
        </w:tc>
        <w:tc>
          <w:tcPr>
            <w:tcW w:w="2131" w:type="dxa"/>
            <w:vAlign w:val="center"/>
          </w:tcPr>
          <w:p>
            <w:pPr>
              <w:spacing w:line="360" w:lineRule="auto"/>
              <w:rPr>
                <w:rFonts w:hint="eastAsia" w:ascii="宋体" w:hAnsi="宋体"/>
                <w:bCs/>
                <w:sz w:val="24"/>
                <w:szCs w:val="24"/>
              </w:rPr>
            </w:pPr>
            <w:r>
              <w:rPr>
                <w:rFonts w:hint="eastAsia" w:ascii="宋体" w:hAnsi="宋体"/>
                <w:bCs/>
                <w:sz w:val="24"/>
                <w:szCs w:val="24"/>
              </w:rPr>
              <w:t>15</w:t>
            </w:r>
          </w:p>
        </w:tc>
        <w:tc>
          <w:tcPr>
            <w:tcW w:w="2131" w:type="dxa"/>
            <w:vAlign w:val="center"/>
          </w:tcPr>
          <w:p>
            <w:pPr>
              <w:spacing w:line="360" w:lineRule="auto"/>
              <w:rPr>
                <w:rFonts w:hint="eastAsia" w:ascii="宋体" w:hAnsi="宋体"/>
                <w:bCs/>
                <w:sz w:val="24"/>
                <w:szCs w:val="24"/>
              </w:rPr>
            </w:pPr>
            <w:r>
              <w:rPr>
                <w:rFonts w:hint="eastAsia" w:ascii="宋体" w:hAnsi="宋体"/>
                <w:bCs/>
                <w:sz w:val="24"/>
                <w:szCs w:val="24"/>
              </w:rPr>
              <w:t>钢尺检查</w:t>
            </w:r>
          </w:p>
        </w:tc>
      </w:tr>
    </w:tbl>
    <w:p>
      <w:pPr>
        <w:spacing w:line="360" w:lineRule="auto"/>
        <w:rPr>
          <w:rFonts w:hint="eastAsia" w:ascii="宋体" w:hAnsi="宋体"/>
          <w:sz w:val="24"/>
          <w:szCs w:val="24"/>
        </w:rPr>
      </w:pPr>
      <w:r>
        <w:rPr>
          <w:rFonts w:hint="eastAsia" w:ascii="宋体" w:hAnsi="宋体"/>
          <w:sz w:val="24"/>
          <w:szCs w:val="24"/>
        </w:rPr>
        <w:t>注：检查轴线、中心线位置时，应沿纵、横两个方向量测，并取其中的较大值。</w:t>
      </w:r>
    </w:p>
    <w:p>
      <w:pPr>
        <w:spacing w:line="360" w:lineRule="auto"/>
        <w:rPr>
          <w:rFonts w:hint="eastAsia" w:ascii="宋体" w:hAnsi="宋体"/>
          <w:b/>
          <w:bCs/>
          <w:sz w:val="28"/>
          <w:szCs w:val="28"/>
        </w:rPr>
      </w:pPr>
      <w:r>
        <w:rPr>
          <w:rFonts w:hint="eastAsia" w:ascii="宋体" w:hAnsi="宋体"/>
          <w:b/>
          <w:bCs/>
          <w:sz w:val="28"/>
          <w:szCs w:val="28"/>
        </w:rPr>
        <w:t>（七）混凝土浇筑应注意的质量问题</w:t>
      </w:r>
    </w:p>
    <w:p>
      <w:pPr>
        <w:spacing w:line="360" w:lineRule="auto"/>
        <w:ind w:firstLine="560" w:firstLineChars="200"/>
        <w:rPr>
          <w:rFonts w:hint="eastAsia" w:ascii="宋体" w:hAnsi="宋体"/>
          <w:sz w:val="24"/>
          <w:szCs w:val="24"/>
        </w:rPr>
      </w:pPr>
      <w:r>
        <w:rPr>
          <w:rFonts w:hint="eastAsia" w:ascii="宋体" w:hAnsi="宋体"/>
          <w:sz w:val="24"/>
          <w:szCs w:val="24"/>
        </w:rPr>
        <w:t>1、蜂窝：原因是混凝土一次下料过厚，振捣不实或漏振，模板有缝隙使水泥浆流失，钢筋较密而混凝土坍落度过小或石子过大，墙根部模板有缝隙，以致混凝土中的砂浆从下部涌出而造成。</w:t>
      </w:r>
    </w:p>
    <w:p>
      <w:pPr>
        <w:spacing w:line="360" w:lineRule="auto"/>
        <w:ind w:firstLine="560" w:firstLineChars="200"/>
        <w:rPr>
          <w:rFonts w:hint="eastAsia" w:ascii="宋体" w:hAnsi="宋体"/>
          <w:sz w:val="24"/>
          <w:szCs w:val="24"/>
        </w:rPr>
      </w:pPr>
      <w:r>
        <w:rPr>
          <w:rFonts w:hint="eastAsia" w:ascii="宋体" w:hAnsi="宋体"/>
          <w:sz w:val="24"/>
          <w:szCs w:val="24"/>
        </w:rPr>
        <w:t>2、露筋：原因是钢筋绑扎不规范钢筋位移、间距过大、漏放导致钢筋紧贴模板。板底部振捣不实，也可能出现露筋。</w:t>
      </w:r>
    </w:p>
    <w:p>
      <w:pPr>
        <w:spacing w:line="360" w:lineRule="auto"/>
        <w:ind w:firstLine="560" w:firstLineChars="200"/>
        <w:rPr>
          <w:rFonts w:hint="eastAsia" w:ascii="宋体" w:hAnsi="宋体"/>
          <w:sz w:val="24"/>
          <w:szCs w:val="24"/>
        </w:rPr>
      </w:pPr>
      <w:r>
        <w:rPr>
          <w:rFonts w:hint="eastAsia" w:ascii="宋体" w:hAnsi="宋体"/>
          <w:sz w:val="24"/>
          <w:szCs w:val="24"/>
        </w:rPr>
        <w:t>3、麻面：拆模过早或模板表面漏刷隔离剂或模板湿润不够，构件表面混凝土易粘附在模板上造成麻面脱皮，或因砼气泡多，振捣不足。</w:t>
      </w:r>
    </w:p>
    <w:p>
      <w:pPr>
        <w:spacing w:line="360" w:lineRule="auto"/>
        <w:ind w:firstLine="560" w:firstLineChars="200"/>
        <w:rPr>
          <w:rFonts w:hint="eastAsia" w:ascii="宋体" w:hAnsi="宋体"/>
          <w:sz w:val="24"/>
          <w:szCs w:val="24"/>
        </w:rPr>
      </w:pPr>
      <w:r>
        <w:rPr>
          <w:rFonts w:hint="eastAsia" w:ascii="宋体" w:hAnsi="宋体"/>
          <w:sz w:val="24"/>
          <w:szCs w:val="24"/>
        </w:rPr>
        <w:t>4、孔洞：原因是钢筋较密的部位混凝土被卡，未经振捣就继续浇筑上层混凝土。</w:t>
      </w:r>
    </w:p>
    <w:p>
      <w:pPr>
        <w:spacing w:line="360" w:lineRule="auto"/>
        <w:rPr>
          <w:rFonts w:hint="eastAsia" w:ascii="宋体" w:hAnsi="宋体"/>
          <w:b/>
          <w:bCs/>
          <w:sz w:val="28"/>
          <w:szCs w:val="28"/>
        </w:rPr>
      </w:pPr>
      <w:r>
        <w:rPr>
          <w:rFonts w:hint="eastAsia" w:ascii="宋体" w:hAnsi="宋体"/>
          <w:b/>
          <w:bCs/>
          <w:sz w:val="28"/>
          <w:szCs w:val="28"/>
        </w:rPr>
        <w:t>（八）成品保护</w:t>
      </w:r>
    </w:p>
    <w:p>
      <w:pPr>
        <w:spacing w:line="360" w:lineRule="auto"/>
        <w:ind w:firstLine="560" w:firstLineChars="200"/>
        <w:rPr>
          <w:rFonts w:hint="eastAsia" w:ascii="宋体" w:hAnsi="宋体"/>
          <w:sz w:val="24"/>
          <w:szCs w:val="24"/>
        </w:rPr>
      </w:pPr>
      <w:r>
        <w:rPr>
          <w:rFonts w:hint="eastAsia" w:ascii="宋体" w:hAnsi="宋体"/>
          <w:sz w:val="24"/>
          <w:szCs w:val="24"/>
        </w:rPr>
        <w:t>1、要保证钢筋的位置正确，不碰动预埋件和插筋。</w:t>
      </w:r>
    </w:p>
    <w:p>
      <w:pPr>
        <w:spacing w:line="360" w:lineRule="auto"/>
        <w:ind w:firstLine="560" w:firstLineChars="200"/>
        <w:rPr>
          <w:rFonts w:hint="eastAsia" w:ascii="宋体" w:hAnsi="宋体"/>
          <w:sz w:val="24"/>
          <w:szCs w:val="24"/>
        </w:rPr>
      </w:pPr>
      <w:r>
        <w:rPr>
          <w:rFonts w:hint="eastAsia" w:ascii="宋体" w:hAnsi="宋体"/>
          <w:sz w:val="24"/>
          <w:szCs w:val="24"/>
        </w:rPr>
        <w:t>2、不用重物冲击模板。</w:t>
      </w:r>
    </w:p>
    <w:p>
      <w:pPr>
        <w:spacing w:line="360" w:lineRule="auto"/>
        <w:ind w:firstLine="560" w:firstLineChars="200"/>
        <w:rPr>
          <w:rFonts w:hint="eastAsia" w:ascii="宋体" w:hAnsi="宋体"/>
          <w:sz w:val="24"/>
          <w:szCs w:val="24"/>
        </w:rPr>
      </w:pPr>
      <w:r>
        <w:rPr>
          <w:rFonts w:hint="eastAsia" w:ascii="宋体" w:hAnsi="宋体"/>
          <w:sz w:val="24"/>
          <w:szCs w:val="24"/>
        </w:rPr>
        <w:t>3、在浇筑混凝土时，要对已经完成的成品进行保护。</w:t>
      </w:r>
    </w:p>
    <w:p>
      <w:pPr>
        <w:spacing w:line="360" w:lineRule="auto"/>
        <w:ind w:firstLine="560" w:firstLineChars="200"/>
        <w:rPr>
          <w:rFonts w:hint="eastAsia" w:ascii="宋体" w:hAnsi="宋体"/>
          <w:sz w:val="24"/>
          <w:szCs w:val="24"/>
        </w:rPr>
      </w:pPr>
      <w:r>
        <w:rPr>
          <w:rFonts w:hint="eastAsia" w:ascii="宋体" w:hAnsi="宋体"/>
          <w:sz w:val="24"/>
          <w:szCs w:val="24"/>
        </w:rPr>
        <w:t>4、所有甩出钢筋，在进行砼施工时，必须用塑料套管或塑料布加以保护，防砼污染钢筋。</w:t>
      </w:r>
    </w:p>
    <w:p>
      <w:pPr>
        <w:rPr>
          <w:rFonts w:hint="eastAsia" w:ascii="宋体" w:hAnsi="宋体"/>
          <w:b/>
          <w:bCs/>
          <w:sz w:val="28"/>
        </w:rPr>
      </w:pPr>
      <w:r>
        <w:rPr>
          <w:rFonts w:hint="eastAsia" w:ascii="宋体" w:hAnsi="宋体"/>
          <w:b/>
          <w:bCs/>
          <w:sz w:val="28"/>
        </w:rPr>
        <w:t>【二】钢筋工程</w:t>
      </w:r>
    </w:p>
    <w:p>
      <w:pPr>
        <w:spacing w:line="360" w:lineRule="auto"/>
        <w:ind w:firstLine="560" w:firstLineChars="200"/>
        <w:rPr>
          <w:rFonts w:hint="eastAsia" w:ascii="宋体" w:hAnsi="宋体"/>
          <w:b/>
          <w:bCs/>
          <w:sz w:val="28"/>
          <w:szCs w:val="28"/>
        </w:rPr>
      </w:pPr>
      <w:r>
        <w:rPr>
          <w:rFonts w:hint="eastAsia" w:ascii="宋体" w:hAnsi="宋体"/>
          <w:b/>
          <w:bCs/>
          <w:sz w:val="28"/>
          <w:szCs w:val="28"/>
        </w:rPr>
        <w:t>一、专业工程特点：</w:t>
      </w:r>
    </w:p>
    <w:p>
      <w:pPr>
        <w:spacing w:line="360" w:lineRule="auto"/>
        <w:ind w:firstLine="560" w:firstLineChars="200"/>
        <w:rPr>
          <w:rFonts w:hint="eastAsia" w:ascii="宋体" w:hAnsi="宋体"/>
          <w:sz w:val="24"/>
          <w:szCs w:val="24"/>
        </w:rPr>
      </w:pPr>
      <w:r>
        <w:rPr>
          <w:rFonts w:hint="eastAsia" w:ascii="宋体" w:hAnsi="宋体"/>
          <w:sz w:val="24"/>
          <w:szCs w:val="24"/>
        </w:rPr>
        <w:t>1、本工程屋面均为预制钢筋砼基础、车库为现浇独立基础。</w:t>
      </w:r>
    </w:p>
    <w:p>
      <w:pPr>
        <w:spacing w:line="360" w:lineRule="auto"/>
        <w:ind w:firstLine="560" w:firstLineChars="200"/>
        <w:rPr>
          <w:rFonts w:hint="eastAsia" w:ascii="宋体" w:hAnsi="宋体"/>
          <w:sz w:val="24"/>
          <w:szCs w:val="24"/>
        </w:rPr>
      </w:pPr>
      <w:r>
        <w:rPr>
          <w:rFonts w:hint="eastAsia" w:ascii="宋体" w:hAnsi="宋体"/>
          <w:sz w:val="24"/>
          <w:szCs w:val="24"/>
        </w:rPr>
        <w:t>2、主要结构类型：为独立基础。</w:t>
      </w:r>
    </w:p>
    <w:p>
      <w:pPr>
        <w:spacing w:line="360" w:lineRule="auto"/>
        <w:ind w:firstLine="560" w:firstLineChars="200"/>
        <w:rPr>
          <w:rFonts w:hint="eastAsia" w:ascii="宋体" w:hAnsi="宋体"/>
          <w:b/>
          <w:bCs/>
          <w:sz w:val="28"/>
          <w:szCs w:val="28"/>
        </w:rPr>
      </w:pPr>
      <w:r>
        <w:rPr>
          <w:rFonts w:hint="eastAsia" w:ascii="宋体" w:hAnsi="宋体"/>
          <w:b/>
          <w:bCs/>
          <w:sz w:val="28"/>
          <w:szCs w:val="28"/>
        </w:rPr>
        <w:t>二、编制依据：</w:t>
      </w:r>
    </w:p>
    <w:p>
      <w:pPr>
        <w:spacing w:line="360" w:lineRule="auto"/>
        <w:ind w:firstLine="560" w:firstLineChars="200"/>
        <w:rPr>
          <w:rFonts w:hint="eastAsia" w:ascii="宋体" w:hAnsi="宋体"/>
          <w:sz w:val="24"/>
          <w:szCs w:val="24"/>
        </w:rPr>
      </w:pPr>
      <w:r>
        <w:rPr>
          <w:rFonts w:hint="eastAsia" w:ascii="宋体" w:hAnsi="宋体"/>
          <w:sz w:val="24"/>
          <w:szCs w:val="24"/>
        </w:rPr>
        <w:t>1、《建设工程监理规范》（GB50319-2000）</w:t>
      </w:r>
    </w:p>
    <w:p>
      <w:pPr>
        <w:spacing w:line="360" w:lineRule="auto"/>
        <w:ind w:firstLine="560" w:firstLineChars="200"/>
        <w:rPr>
          <w:rFonts w:hint="eastAsia" w:ascii="宋体" w:hAnsi="宋体"/>
          <w:sz w:val="24"/>
          <w:szCs w:val="24"/>
        </w:rPr>
      </w:pPr>
      <w:r>
        <w:rPr>
          <w:rFonts w:hint="eastAsia" w:ascii="宋体" w:hAnsi="宋体"/>
          <w:sz w:val="24"/>
          <w:szCs w:val="24"/>
        </w:rPr>
        <w:t>2、《工程建设标准强制性条文》（房屋建筑部分）</w:t>
      </w:r>
    </w:p>
    <w:p>
      <w:pPr>
        <w:spacing w:line="360" w:lineRule="auto"/>
        <w:ind w:firstLine="560" w:firstLineChars="200"/>
        <w:rPr>
          <w:rFonts w:hint="eastAsia" w:ascii="宋体" w:hAnsi="宋体"/>
          <w:sz w:val="24"/>
          <w:szCs w:val="24"/>
        </w:rPr>
      </w:pPr>
      <w:r>
        <w:rPr>
          <w:rFonts w:hint="eastAsia" w:ascii="宋体" w:hAnsi="宋体"/>
          <w:sz w:val="24"/>
          <w:szCs w:val="24"/>
        </w:rPr>
        <w:t>3、《建筑工程施工质量验收统一标准》（GB50300-2001）</w:t>
      </w:r>
    </w:p>
    <w:p>
      <w:pPr>
        <w:spacing w:line="360" w:lineRule="auto"/>
        <w:ind w:firstLine="560" w:firstLineChars="200"/>
        <w:rPr>
          <w:rFonts w:hint="eastAsia" w:ascii="宋体" w:hAnsi="宋体"/>
          <w:sz w:val="24"/>
          <w:szCs w:val="24"/>
        </w:rPr>
      </w:pPr>
      <w:r>
        <w:rPr>
          <w:rFonts w:hint="eastAsia" w:ascii="宋体" w:hAnsi="宋体"/>
          <w:sz w:val="24"/>
          <w:szCs w:val="24"/>
        </w:rPr>
        <w:t>4、《混凝土结构工程施工质量验收规范》（GB50204-2002）</w:t>
      </w:r>
    </w:p>
    <w:p>
      <w:pPr>
        <w:spacing w:line="360" w:lineRule="auto"/>
        <w:ind w:firstLine="560" w:firstLineChars="200"/>
        <w:rPr>
          <w:rFonts w:hint="eastAsia" w:ascii="宋体" w:hAnsi="宋体"/>
          <w:sz w:val="24"/>
          <w:szCs w:val="24"/>
        </w:rPr>
      </w:pPr>
      <w:r>
        <w:rPr>
          <w:rFonts w:hint="eastAsia" w:ascii="宋体" w:hAnsi="宋体"/>
          <w:sz w:val="24"/>
          <w:szCs w:val="24"/>
        </w:rPr>
        <w:t>5、《钢筋焊接及验收规程》JGJ18-2003</w:t>
      </w:r>
    </w:p>
    <w:p>
      <w:pPr>
        <w:spacing w:line="360" w:lineRule="auto"/>
        <w:ind w:firstLine="560" w:firstLineChars="200"/>
        <w:rPr>
          <w:rFonts w:hint="eastAsia" w:ascii="宋体" w:hAnsi="宋体"/>
          <w:sz w:val="24"/>
          <w:szCs w:val="24"/>
        </w:rPr>
      </w:pPr>
      <w:r>
        <w:rPr>
          <w:rFonts w:hint="eastAsia" w:ascii="宋体" w:hAnsi="宋体"/>
          <w:sz w:val="24"/>
          <w:szCs w:val="24"/>
        </w:rPr>
        <w:t>6、《房屋建筑工程施工旁站监理管理办法（试行）》（建市[2002]189号）</w:t>
      </w:r>
    </w:p>
    <w:p>
      <w:pPr>
        <w:spacing w:line="360" w:lineRule="auto"/>
        <w:ind w:firstLine="560" w:firstLineChars="200"/>
        <w:rPr>
          <w:rFonts w:hint="eastAsia" w:ascii="宋体" w:hAnsi="宋体"/>
          <w:sz w:val="24"/>
          <w:szCs w:val="24"/>
        </w:rPr>
      </w:pPr>
      <w:r>
        <w:rPr>
          <w:rFonts w:hint="eastAsia" w:ascii="宋体" w:hAnsi="宋体"/>
          <w:sz w:val="24"/>
          <w:szCs w:val="24"/>
        </w:rPr>
        <w:t>7、《监理规划》。</w:t>
      </w:r>
    </w:p>
    <w:p>
      <w:pPr>
        <w:spacing w:line="360" w:lineRule="auto"/>
        <w:ind w:firstLine="560" w:firstLineChars="200"/>
        <w:rPr>
          <w:rFonts w:hint="eastAsia" w:ascii="宋体" w:hAnsi="宋体"/>
          <w:sz w:val="24"/>
          <w:szCs w:val="24"/>
        </w:rPr>
      </w:pPr>
      <w:r>
        <w:rPr>
          <w:rFonts w:hint="eastAsia" w:ascii="宋体" w:hAnsi="宋体"/>
          <w:sz w:val="24"/>
          <w:szCs w:val="24"/>
        </w:rPr>
        <w:t>8、承包方报审的《施工组织设计》、《施工方案》</w:t>
      </w:r>
    </w:p>
    <w:p>
      <w:pPr>
        <w:ind w:firstLine="560" w:firstLineChars="200"/>
        <w:rPr>
          <w:rFonts w:hint="eastAsia" w:ascii="宋体" w:hAnsi="宋体"/>
          <w:b/>
          <w:bCs/>
          <w:sz w:val="28"/>
        </w:rPr>
      </w:pPr>
      <w:r>
        <w:rPr>
          <w:rFonts w:hint="eastAsia" w:ascii="宋体" w:hAnsi="宋体"/>
          <w:b/>
          <w:bCs/>
          <w:sz w:val="28"/>
        </w:rPr>
        <w:t>三、钢筋工程的质量要求。</w:t>
      </w:r>
    </w:p>
    <w:p>
      <w:pPr>
        <w:ind w:firstLine="560" w:firstLineChars="200"/>
        <w:rPr>
          <w:rFonts w:hint="eastAsia" w:ascii="宋体" w:hAnsi="宋体"/>
          <w:b/>
          <w:bCs/>
          <w:sz w:val="28"/>
        </w:rPr>
      </w:pPr>
      <w:r>
        <w:rPr>
          <w:rFonts w:hint="eastAsia" w:ascii="宋体" w:hAnsi="宋体"/>
          <w:b/>
          <w:bCs/>
          <w:sz w:val="28"/>
        </w:rPr>
        <w:t>（一）钢筋的质量要求：</w:t>
      </w:r>
    </w:p>
    <w:p>
      <w:pPr>
        <w:spacing w:line="360" w:lineRule="auto"/>
        <w:ind w:firstLine="560" w:firstLineChars="200"/>
        <w:rPr>
          <w:rFonts w:hint="eastAsia" w:ascii="宋体" w:hAnsi="宋体"/>
          <w:sz w:val="24"/>
          <w:szCs w:val="24"/>
        </w:rPr>
      </w:pPr>
      <w:r>
        <w:rPr>
          <w:rFonts w:hint="eastAsia" w:ascii="宋体" w:hAnsi="宋体"/>
          <w:sz w:val="24"/>
          <w:szCs w:val="24"/>
        </w:rPr>
        <w:t>1、钢筋的外观质量要求如下：</w:t>
      </w:r>
    </w:p>
    <w:p>
      <w:pPr>
        <w:spacing w:line="360" w:lineRule="auto"/>
        <w:ind w:firstLine="560" w:firstLineChars="200"/>
        <w:rPr>
          <w:rFonts w:hint="eastAsia" w:ascii="宋体" w:hAnsi="宋体"/>
          <w:sz w:val="24"/>
          <w:szCs w:val="24"/>
        </w:rPr>
      </w:pPr>
      <w:r>
        <w:rPr>
          <w:rFonts w:hint="eastAsia" w:ascii="宋体" w:hAnsi="宋体"/>
          <w:sz w:val="24"/>
          <w:szCs w:val="24"/>
        </w:rPr>
        <w:t>（1）热轧钢筋：表面无裂缝，结疤、折叠，如有凸块不得超过螺纹的高度，其他缺陷的高度和深度不得大于所在部位的允许偏差。</w:t>
      </w:r>
    </w:p>
    <w:p>
      <w:pPr>
        <w:spacing w:line="360" w:lineRule="auto"/>
        <w:ind w:firstLine="560" w:firstLineChars="200"/>
        <w:rPr>
          <w:rFonts w:hint="eastAsia" w:ascii="宋体" w:hAnsi="宋体"/>
          <w:sz w:val="24"/>
          <w:szCs w:val="24"/>
        </w:rPr>
      </w:pPr>
      <w:r>
        <w:rPr>
          <w:rFonts w:hint="eastAsia" w:ascii="宋体" w:hAnsi="宋体"/>
          <w:sz w:val="24"/>
          <w:szCs w:val="24"/>
        </w:rPr>
        <w:t>（2）热处理钢筋：表面无肉眼可见的裂纹、结疤、折叠，如有凸块不得超过横肋的高度，表面不得沾有油污。</w:t>
      </w:r>
    </w:p>
    <w:p>
      <w:pPr>
        <w:spacing w:line="360" w:lineRule="auto"/>
        <w:ind w:firstLine="560" w:firstLineChars="200"/>
        <w:rPr>
          <w:rFonts w:hint="eastAsia" w:ascii="宋体" w:hAnsi="宋体"/>
          <w:sz w:val="24"/>
          <w:szCs w:val="24"/>
        </w:rPr>
      </w:pPr>
      <w:r>
        <w:rPr>
          <w:rFonts w:hint="eastAsia" w:ascii="宋体" w:hAnsi="宋体"/>
          <w:sz w:val="24"/>
          <w:szCs w:val="24"/>
        </w:rPr>
        <w:t>（3）各类钢筋的力学性能符合相关技术标准规定，并按规定数量抽检，合格后方可使用。</w:t>
      </w:r>
    </w:p>
    <w:p>
      <w:pPr>
        <w:ind w:firstLine="560" w:firstLineChars="200"/>
        <w:rPr>
          <w:rFonts w:hint="eastAsia" w:ascii="宋体" w:hAnsi="宋体"/>
          <w:b/>
          <w:bCs/>
          <w:sz w:val="28"/>
        </w:rPr>
      </w:pPr>
      <w:r>
        <w:rPr>
          <w:rFonts w:hint="eastAsia" w:ascii="宋体" w:hAnsi="宋体"/>
          <w:b/>
          <w:bCs/>
          <w:sz w:val="28"/>
        </w:rPr>
        <w:t>（二）钢筋工程施工中的质量要求</w:t>
      </w:r>
    </w:p>
    <w:p>
      <w:pPr>
        <w:spacing w:line="360" w:lineRule="auto"/>
        <w:ind w:firstLine="560" w:firstLineChars="200"/>
        <w:rPr>
          <w:rFonts w:hint="eastAsia" w:ascii="宋体" w:hAnsi="宋体"/>
          <w:sz w:val="24"/>
          <w:szCs w:val="24"/>
        </w:rPr>
      </w:pPr>
      <w:r>
        <w:rPr>
          <w:rFonts w:hint="eastAsia" w:ascii="宋体" w:hAnsi="宋体"/>
          <w:sz w:val="24"/>
          <w:szCs w:val="24"/>
        </w:rPr>
        <w:t>钢筋绑扎工程质量要求见下表：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494"/>
        <w:gridCol w:w="955"/>
        <w:gridCol w:w="381"/>
        <w:gridCol w:w="1092"/>
        <w:gridCol w:w="466"/>
        <w:gridCol w:w="677"/>
        <w:gridCol w:w="163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310" w:type="dxa"/>
            <w:gridSpan w:val="8"/>
            <w:vAlign w:val="center"/>
          </w:tcPr>
          <w:p>
            <w:pPr>
              <w:spacing w:line="360" w:lineRule="auto"/>
              <w:jc w:val="center"/>
              <w:rPr>
                <w:rFonts w:hint="eastAsia" w:ascii="宋体" w:hAnsi="宋体"/>
                <w:sz w:val="24"/>
                <w:szCs w:val="24"/>
              </w:rPr>
            </w:pPr>
            <w:r>
              <w:rPr>
                <w:rFonts w:hint="eastAsia" w:ascii="宋体" w:hAnsi="宋体"/>
                <w:sz w:val="24"/>
                <w:szCs w:val="24"/>
              </w:rPr>
              <w:t>项               目</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restart"/>
            <w:vAlign w:val="center"/>
          </w:tcPr>
          <w:p>
            <w:pPr>
              <w:spacing w:line="360" w:lineRule="auto"/>
              <w:jc w:val="center"/>
              <w:rPr>
                <w:rFonts w:hint="eastAsia" w:ascii="宋体" w:hAnsi="宋体"/>
                <w:sz w:val="24"/>
                <w:szCs w:val="24"/>
              </w:rPr>
            </w:pPr>
            <w:r>
              <w:rPr>
                <w:rFonts w:hint="eastAsia" w:ascii="宋体" w:hAnsi="宋体"/>
                <w:sz w:val="24"/>
                <w:szCs w:val="24"/>
              </w:rPr>
              <w:t>主控项目</w:t>
            </w: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力学性能检验</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5.2.1</w:t>
            </w:r>
            <w:r>
              <w:rPr>
                <w:rFonts w:hint="eastAsia" w:ascii="宋体" w:hAnsi="宋体"/>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抗震用钢筋强度实测值</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5.2.</w:t>
            </w:r>
            <w:r>
              <w:rPr>
                <w:rFonts w:hint="eastAsia" w:ascii="宋体" w:hAnsi="宋体"/>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3</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化学成份等专项检查</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5.2.</w:t>
            </w:r>
            <w:r>
              <w:rPr>
                <w:rFonts w:hint="eastAsia" w:ascii="宋体" w:hAnsi="宋体"/>
                <w:sz w:val="24"/>
                <w:szCs w:val="24"/>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4</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受力钢筋的弯钩和弯折</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5.3.</w:t>
            </w:r>
            <w:r>
              <w:rPr>
                <w:rFonts w:hint="eastAsia" w:ascii="宋体" w:hAnsi="宋体"/>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5</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箍筋弯钩形式</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5.3.</w:t>
            </w:r>
            <w:r>
              <w:rPr>
                <w:rFonts w:hint="eastAsia" w:ascii="宋体" w:hAnsi="宋体"/>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6</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纵向受力钢筋的连接方式</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7</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机械连接和焊接接头的力学性能</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8</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受力钢筋的品种、级别、规格和数量</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5</w:t>
            </w:r>
            <w:r>
              <w:rPr>
                <w:rFonts w:ascii="宋体" w:hAnsi="宋体"/>
                <w:sz w:val="24"/>
                <w:szCs w:val="24"/>
              </w:rPr>
              <w:t>.</w:t>
            </w:r>
            <w:r>
              <w:rPr>
                <w:rFonts w:hint="eastAsia" w:ascii="宋体" w:hAnsi="宋体"/>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restart"/>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外观质量</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2</w:t>
            </w:r>
            <w:r>
              <w:rPr>
                <w:rFonts w:ascii="宋体" w:hAnsi="宋体"/>
                <w:sz w:val="24"/>
                <w:szCs w:val="24"/>
              </w:rPr>
              <w:t>.</w:t>
            </w:r>
            <w:r>
              <w:rPr>
                <w:rFonts w:hint="eastAsia" w:ascii="宋体" w:hAnsi="宋体"/>
                <w:sz w:val="24"/>
                <w:szCs w:val="24"/>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钢筋调直</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3</w:t>
            </w:r>
            <w:r>
              <w:rPr>
                <w:rFonts w:ascii="宋体" w:hAnsi="宋体"/>
                <w:sz w:val="24"/>
                <w:szCs w:val="24"/>
              </w:rPr>
              <w:t>.</w:t>
            </w:r>
            <w:r>
              <w:rPr>
                <w:rFonts w:hint="eastAsia" w:ascii="宋体" w:hAnsi="宋体"/>
                <w:sz w:val="24"/>
                <w:szCs w:val="24"/>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610" w:type="dxa"/>
            <w:vMerge w:val="continue"/>
            <w:vAlign w:val="center"/>
          </w:tcPr>
          <w:p>
            <w:pPr>
              <w:spacing w:line="360" w:lineRule="auto"/>
              <w:jc w:val="center"/>
              <w:rPr>
                <w:rFonts w:hint="eastAsia" w:ascii="宋体" w:hAnsi="宋体"/>
                <w:sz w:val="24"/>
                <w:szCs w:val="24"/>
              </w:rPr>
            </w:pPr>
          </w:p>
        </w:tc>
        <w:tc>
          <w:tcPr>
            <w:tcW w:w="494" w:type="dxa"/>
            <w:vMerge w:val="restart"/>
            <w:vAlign w:val="center"/>
          </w:tcPr>
          <w:p>
            <w:pPr>
              <w:spacing w:line="360" w:lineRule="auto"/>
              <w:jc w:val="center"/>
              <w:rPr>
                <w:rFonts w:hint="eastAsia" w:ascii="宋体" w:hAnsi="宋体"/>
                <w:sz w:val="24"/>
                <w:szCs w:val="24"/>
              </w:rPr>
            </w:pPr>
            <w:r>
              <w:rPr>
                <w:rFonts w:hint="eastAsia" w:ascii="宋体" w:hAnsi="宋体"/>
                <w:sz w:val="24"/>
                <w:szCs w:val="24"/>
              </w:rPr>
              <w:t>3</w:t>
            </w:r>
          </w:p>
        </w:tc>
        <w:tc>
          <w:tcPr>
            <w:tcW w:w="1336" w:type="dxa"/>
            <w:gridSpan w:val="2"/>
            <w:vMerge w:val="restart"/>
            <w:vAlign w:val="center"/>
          </w:tcPr>
          <w:p>
            <w:pPr>
              <w:spacing w:line="360" w:lineRule="auto"/>
              <w:rPr>
                <w:rFonts w:hint="eastAsia" w:ascii="宋体" w:hAnsi="宋体"/>
                <w:sz w:val="24"/>
                <w:szCs w:val="24"/>
              </w:rPr>
            </w:pPr>
            <w:r>
              <w:rPr>
                <w:rFonts w:hint="eastAsia" w:ascii="宋体" w:hAnsi="宋体"/>
                <w:sz w:val="24"/>
                <w:szCs w:val="24"/>
              </w:rPr>
              <w:t>钢筋加的形状、尺寸</w:t>
            </w:r>
          </w:p>
        </w:tc>
        <w:tc>
          <w:tcPr>
            <w:tcW w:w="3870" w:type="dxa"/>
            <w:gridSpan w:val="4"/>
            <w:vAlign w:val="center"/>
          </w:tcPr>
          <w:p>
            <w:pPr>
              <w:spacing w:line="360" w:lineRule="auto"/>
              <w:rPr>
                <w:rFonts w:hint="eastAsia" w:ascii="宋体" w:hAnsi="宋体"/>
                <w:sz w:val="24"/>
                <w:szCs w:val="24"/>
              </w:rPr>
            </w:pPr>
            <w:r>
              <w:rPr>
                <w:rFonts w:hint="eastAsia" w:ascii="宋体" w:hAnsi="宋体"/>
                <w:sz w:val="24"/>
                <w:szCs w:val="24"/>
              </w:rPr>
              <w:t>受力钢筋顺长度方向全长的净尺寸</w:t>
            </w:r>
          </w:p>
        </w:tc>
        <w:tc>
          <w:tcPr>
            <w:tcW w:w="2212" w:type="dxa"/>
            <w:vAlign w:val="center"/>
          </w:tcPr>
          <w:p>
            <w:pPr>
              <w:spacing w:line="360" w:lineRule="auto"/>
              <w:jc w:val="center"/>
              <w:rPr>
                <w:rFonts w:ascii="宋体" w:hAnsi="宋体"/>
                <w:sz w:val="24"/>
                <w:szCs w:val="24"/>
              </w:rPr>
            </w:pPr>
            <w:r>
              <w:rPr>
                <w:rFonts w:hint="eastAsia" w:ascii="宋体" w:hAnsi="宋体"/>
                <w:sz w:val="24"/>
                <w:szCs w:val="24"/>
              </w:rPr>
              <w:t>±10</w:t>
            </w:r>
            <w:r>
              <w:rPr>
                <w:rFonts w:ascii="宋体" w:hAnsi="宋体"/>
                <w:sz w:val="24"/>
                <w:szCs w:val="24"/>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1336" w:type="dxa"/>
            <w:gridSpan w:val="2"/>
            <w:vMerge w:val="continue"/>
            <w:vAlign w:val="center"/>
          </w:tcPr>
          <w:p>
            <w:pPr>
              <w:spacing w:line="360" w:lineRule="auto"/>
              <w:rPr>
                <w:rFonts w:hint="eastAsia" w:ascii="宋体" w:hAnsi="宋体"/>
                <w:sz w:val="24"/>
                <w:szCs w:val="24"/>
              </w:rPr>
            </w:pPr>
          </w:p>
        </w:tc>
        <w:tc>
          <w:tcPr>
            <w:tcW w:w="3870" w:type="dxa"/>
            <w:gridSpan w:val="4"/>
            <w:vAlign w:val="center"/>
          </w:tcPr>
          <w:p>
            <w:pPr>
              <w:spacing w:line="360" w:lineRule="auto"/>
              <w:rPr>
                <w:rFonts w:hint="eastAsia" w:ascii="宋体" w:hAnsi="宋体"/>
                <w:sz w:val="24"/>
                <w:szCs w:val="24"/>
              </w:rPr>
            </w:pPr>
            <w:r>
              <w:rPr>
                <w:rFonts w:hint="eastAsia" w:ascii="宋体" w:hAnsi="宋体"/>
                <w:sz w:val="24"/>
                <w:szCs w:val="24"/>
              </w:rPr>
              <w:t>弯起钢筋的弯折位置</w:t>
            </w:r>
          </w:p>
        </w:tc>
        <w:tc>
          <w:tcPr>
            <w:tcW w:w="2212" w:type="dxa"/>
            <w:vAlign w:val="center"/>
          </w:tcPr>
          <w:p>
            <w:pPr>
              <w:spacing w:line="360" w:lineRule="auto"/>
              <w:jc w:val="center"/>
              <w:rPr>
                <w:rFonts w:ascii="宋体" w:hAnsi="宋体"/>
                <w:sz w:val="24"/>
                <w:szCs w:val="24"/>
              </w:rPr>
            </w:pPr>
            <w:r>
              <w:rPr>
                <w:rFonts w:hint="eastAsia" w:ascii="宋体" w:hAnsi="宋体"/>
                <w:sz w:val="24"/>
                <w:szCs w:val="24"/>
              </w:rPr>
              <w:t>±20</w:t>
            </w:r>
            <w:r>
              <w:rPr>
                <w:rFonts w:ascii="宋体" w:hAnsi="宋体"/>
                <w:sz w:val="24"/>
                <w:szCs w:val="24"/>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1336" w:type="dxa"/>
            <w:gridSpan w:val="2"/>
            <w:vMerge w:val="continue"/>
            <w:vAlign w:val="center"/>
          </w:tcPr>
          <w:p>
            <w:pPr>
              <w:spacing w:line="360" w:lineRule="auto"/>
              <w:rPr>
                <w:rFonts w:hint="eastAsia" w:ascii="宋体" w:hAnsi="宋体"/>
                <w:sz w:val="24"/>
                <w:szCs w:val="24"/>
              </w:rPr>
            </w:pPr>
          </w:p>
        </w:tc>
        <w:tc>
          <w:tcPr>
            <w:tcW w:w="3870" w:type="dxa"/>
            <w:gridSpan w:val="4"/>
            <w:vAlign w:val="center"/>
          </w:tcPr>
          <w:p>
            <w:pPr>
              <w:spacing w:line="360" w:lineRule="auto"/>
              <w:rPr>
                <w:rFonts w:hint="eastAsia" w:ascii="宋体" w:hAnsi="宋体"/>
                <w:sz w:val="24"/>
                <w:szCs w:val="24"/>
              </w:rPr>
            </w:pPr>
            <w:r>
              <w:rPr>
                <w:rFonts w:hint="eastAsia" w:ascii="宋体" w:hAnsi="宋体"/>
                <w:sz w:val="24"/>
                <w:szCs w:val="24"/>
              </w:rPr>
              <w:t>箍筋内净尺寸</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w:t>
            </w:r>
            <w:r>
              <w:rPr>
                <w:rFonts w:ascii="宋体" w:hAnsi="宋体"/>
                <w:sz w:val="24"/>
                <w:szCs w:val="24"/>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4</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接头位置和数量</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5</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机械连接和焊接的外观质量</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6</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机械连接和焊接的接头面积百分率</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7</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绑扎搭接接头面积百分率和搭接长度</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6条附录</w:t>
            </w:r>
            <w:r>
              <w:rPr>
                <w:rFonts w:ascii="宋体" w:hAnsi="宋体"/>
                <w:sz w:val="24"/>
                <w:szCs w:val="24"/>
              </w:rPr>
              <w:t xml:space="preserve">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Align w:val="center"/>
          </w:tcPr>
          <w:p>
            <w:pPr>
              <w:spacing w:line="360" w:lineRule="auto"/>
              <w:jc w:val="center"/>
              <w:rPr>
                <w:rFonts w:hint="eastAsia" w:ascii="宋体" w:hAnsi="宋体"/>
                <w:sz w:val="24"/>
                <w:szCs w:val="24"/>
              </w:rPr>
            </w:pPr>
            <w:r>
              <w:rPr>
                <w:rFonts w:hint="eastAsia" w:ascii="宋体" w:hAnsi="宋体"/>
                <w:sz w:val="24"/>
                <w:szCs w:val="24"/>
              </w:rPr>
              <w:t>8</w:t>
            </w:r>
          </w:p>
        </w:tc>
        <w:tc>
          <w:tcPr>
            <w:tcW w:w="5206" w:type="dxa"/>
            <w:gridSpan w:val="6"/>
            <w:vAlign w:val="center"/>
          </w:tcPr>
          <w:p>
            <w:pPr>
              <w:spacing w:line="360" w:lineRule="auto"/>
              <w:rPr>
                <w:rFonts w:hint="eastAsia" w:ascii="宋体" w:hAnsi="宋体"/>
                <w:sz w:val="24"/>
                <w:szCs w:val="24"/>
              </w:rPr>
            </w:pPr>
            <w:r>
              <w:rPr>
                <w:rFonts w:hint="eastAsia" w:ascii="宋体" w:hAnsi="宋体"/>
                <w:sz w:val="24"/>
                <w:szCs w:val="24"/>
              </w:rPr>
              <w:t>搭接长度范围内的箍筋</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第</w:t>
            </w:r>
            <w:r>
              <w:rPr>
                <w:rFonts w:ascii="宋体" w:hAnsi="宋体"/>
                <w:sz w:val="24"/>
                <w:szCs w:val="24"/>
              </w:rPr>
              <w:t>5.</w:t>
            </w:r>
            <w:r>
              <w:rPr>
                <w:rFonts w:hint="eastAsia" w:ascii="宋体" w:hAnsi="宋体"/>
                <w:sz w:val="24"/>
                <w:szCs w:val="24"/>
              </w:rPr>
              <w:t>4</w:t>
            </w:r>
            <w:r>
              <w:rPr>
                <w:rFonts w:ascii="宋体" w:hAnsi="宋体"/>
                <w:sz w:val="24"/>
                <w:szCs w:val="24"/>
              </w:rPr>
              <w:t>.</w:t>
            </w:r>
            <w:r>
              <w:rPr>
                <w:rFonts w:hint="eastAsia" w:ascii="宋体" w:hAnsi="宋体"/>
                <w:sz w:val="24"/>
                <w:szCs w:val="24"/>
              </w:rPr>
              <w:t>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restart"/>
            <w:vAlign w:val="center"/>
          </w:tcPr>
          <w:p>
            <w:pPr>
              <w:spacing w:line="360" w:lineRule="auto"/>
              <w:jc w:val="center"/>
              <w:rPr>
                <w:rFonts w:hint="eastAsia" w:ascii="宋体" w:hAnsi="宋体"/>
                <w:sz w:val="24"/>
                <w:szCs w:val="24"/>
              </w:rPr>
            </w:pPr>
          </w:p>
        </w:tc>
        <w:tc>
          <w:tcPr>
            <w:tcW w:w="494" w:type="dxa"/>
            <w:vMerge w:val="restart"/>
            <w:vAlign w:val="center"/>
          </w:tcPr>
          <w:p>
            <w:pPr>
              <w:spacing w:line="360" w:lineRule="auto"/>
              <w:jc w:val="center"/>
              <w:rPr>
                <w:rFonts w:hint="eastAsia" w:ascii="宋体" w:hAnsi="宋体"/>
                <w:sz w:val="24"/>
                <w:szCs w:val="24"/>
              </w:rPr>
            </w:pPr>
            <w:r>
              <w:rPr>
                <w:rFonts w:hint="eastAsia" w:ascii="宋体" w:hAnsi="宋体"/>
                <w:sz w:val="24"/>
                <w:szCs w:val="24"/>
              </w:rPr>
              <w:t>9</w:t>
            </w:r>
          </w:p>
        </w:tc>
        <w:tc>
          <w:tcPr>
            <w:tcW w:w="955" w:type="dxa"/>
            <w:vMerge w:val="restart"/>
            <w:vAlign w:val="center"/>
          </w:tcPr>
          <w:p>
            <w:pPr>
              <w:spacing w:line="360" w:lineRule="auto"/>
              <w:jc w:val="center"/>
              <w:rPr>
                <w:rFonts w:hint="eastAsia" w:ascii="宋体" w:hAnsi="宋体"/>
                <w:sz w:val="24"/>
                <w:szCs w:val="24"/>
              </w:rPr>
            </w:pPr>
            <w:r>
              <w:rPr>
                <w:rFonts w:hint="eastAsia" w:ascii="宋体" w:hAnsi="宋体"/>
                <w:sz w:val="24"/>
                <w:szCs w:val="24"/>
              </w:rPr>
              <w:t>钢筋</w:t>
            </w:r>
          </w:p>
          <w:p>
            <w:pPr>
              <w:spacing w:line="360" w:lineRule="auto"/>
              <w:jc w:val="center"/>
              <w:rPr>
                <w:rFonts w:hint="eastAsia" w:ascii="宋体" w:hAnsi="宋体"/>
                <w:sz w:val="24"/>
                <w:szCs w:val="24"/>
              </w:rPr>
            </w:pPr>
            <w:r>
              <w:rPr>
                <w:rFonts w:hint="eastAsia" w:ascii="宋体" w:hAnsi="宋体"/>
                <w:sz w:val="24"/>
                <w:szCs w:val="24"/>
              </w:rPr>
              <w:t>安装</w:t>
            </w:r>
          </w:p>
          <w:p>
            <w:pPr>
              <w:spacing w:line="360" w:lineRule="auto"/>
              <w:jc w:val="center"/>
              <w:rPr>
                <w:rFonts w:hint="eastAsia" w:ascii="宋体" w:hAnsi="宋体"/>
                <w:sz w:val="24"/>
                <w:szCs w:val="24"/>
              </w:rPr>
            </w:pPr>
            <w:r>
              <w:rPr>
                <w:rFonts w:hint="eastAsia" w:ascii="宋体" w:hAnsi="宋体"/>
                <w:sz w:val="24"/>
                <w:szCs w:val="24"/>
              </w:rPr>
              <w:t>允许</w:t>
            </w:r>
          </w:p>
          <w:p>
            <w:pPr>
              <w:spacing w:line="360" w:lineRule="auto"/>
              <w:jc w:val="center"/>
              <w:rPr>
                <w:rFonts w:hint="eastAsia" w:ascii="宋体" w:hAnsi="宋体"/>
                <w:sz w:val="24"/>
                <w:szCs w:val="24"/>
              </w:rPr>
            </w:pPr>
            <w:r>
              <w:rPr>
                <w:rFonts w:hint="eastAsia" w:ascii="宋体" w:hAnsi="宋体"/>
                <w:sz w:val="24"/>
                <w:szCs w:val="24"/>
              </w:rPr>
              <w:t>偏差</w:t>
            </w:r>
          </w:p>
        </w:tc>
        <w:tc>
          <w:tcPr>
            <w:tcW w:w="1939" w:type="dxa"/>
            <w:gridSpan w:val="3"/>
            <w:vMerge w:val="restart"/>
            <w:vAlign w:val="center"/>
          </w:tcPr>
          <w:p>
            <w:pPr>
              <w:spacing w:line="360" w:lineRule="auto"/>
              <w:rPr>
                <w:rFonts w:hint="eastAsia" w:ascii="宋体" w:hAnsi="宋体"/>
                <w:sz w:val="24"/>
                <w:szCs w:val="24"/>
              </w:rPr>
            </w:pPr>
            <w:r>
              <w:rPr>
                <w:rFonts w:hint="eastAsia" w:ascii="宋体" w:hAnsi="宋体"/>
                <w:sz w:val="24"/>
                <w:szCs w:val="24"/>
              </w:rPr>
              <w:t>绑扎钢筋网</w:t>
            </w:r>
          </w:p>
        </w:tc>
        <w:tc>
          <w:tcPr>
            <w:tcW w:w="2312" w:type="dxa"/>
            <w:gridSpan w:val="2"/>
            <w:vAlign w:val="center"/>
          </w:tcPr>
          <w:p>
            <w:pPr>
              <w:spacing w:line="360" w:lineRule="auto"/>
              <w:rPr>
                <w:rFonts w:hint="eastAsia" w:ascii="宋体" w:hAnsi="宋体"/>
                <w:sz w:val="24"/>
                <w:szCs w:val="24"/>
              </w:rPr>
            </w:pPr>
            <w:r>
              <w:rPr>
                <w:rFonts w:hint="eastAsia" w:ascii="宋体" w:hAnsi="宋体"/>
                <w:sz w:val="24"/>
                <w:szCs w:val="24"/>
              </w:rPr>
              <w:t>长、宽</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±10</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939" w:type="dxa"/>
            <w:gridSpan w:val="3"/>
            <w:vMerge w:val="continue"/>
            <w:vAlign w:val="center"/>
          </w:tcPr>
          <w:p>
            <w:pPr>
              <w:spacing w:line="360" w:lineRule="auto"/>
              <w:rPr>
                <w:rFonts w:hint="eastAsia" w:ascii="宋体" w:hAnsi="宋体"/>
                <w:sz w:val="24"/>
                <w:szCs w:val="24"/>
              </w:rPr>
            </w:pPr>
          </w:p>
        </w:tc>
        <w:tc>
          <w:tcPr>
            <w:tcW w:w="2312" w:type="dxa"/>
            <w:gridSpan w:val="2"/>
            <w:vAlign w:val="center"/>
          </w:tcPr>
          <w:p>
            <w:pPr>
              <w:spacing w:line="360" w:lineRule="auto"/>
              <w:rPr>
                <w:rFonts w:hint="eastAsia" w:ascii="宋体" w:hAnsi="宋体"/>
                <w:sz w:val="24"/>
                <w:szCs w:val="24"/>
              </w:rPr>
            </w:pPr>
            <w:r>
              <w:rPr>
                <w:rFonts w:hint="eastAsia" w:ascii="宋体" w:hAnsi="宋体"/>
                <w:sz w:val="24"/>
                <w:szCs w:val="24"/>
              </w:rPr>
              <w:t>网眼尺寸</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±20</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939" w:type="dxa"/>
            <w:gridSpan w:val="3"/>
            <w:vMerge w:val="restart"/>
            <w:vAlign w:val="center"/>
          </w:tcPr>
          <w:p>
            <w:pPr>
              <w:spacing w:line="360" w:lineRule="auto"/>
              <w:rPr>
                <w:rFonts w:hint="eastAsia" w:ascii="宋体" w:hAnsi="宋体"/>
                <w:sz w:val="24"/>
                <w:szCs w:val="24"/>
              </w:rPr>
            </w:pPr>
            <w:r>
              <w:rPr>
                <w:rFonts w:hint="eastAsia" w:ascii="宋体" w:hAnsi="宋体"/>
                <w:sz w:val="24"/>
                <w:szCs w:val="24"/>
              </w:rPr>
              <w:t>绑扎钢筋骨架</w:t>
            </w:r>
          </w:p>
        </w:tc>
        <w:tc>
          <w:tcPr>
            <w:tcW w:w="2312" w:type="dxa"/>
            <w:gridSpan w:val="2"/>
            <w:vAlign w:val="center"/>
          </w:tcPr>
          <w:p>
            <w:pPr>
              <w:spacing w:line="360" w:lineRule="auto"/>
              <w:rPr>
                <w:rFonts w:hint="eastAsia" w:ascii="宋体" w:hAnsi="宋体"/>
                <w:sz w:val="24"/>
                <w:szCs w:val="24"/>
              </w:rPr>
            </w:pPr>
            <w:r>
              <w:rPr>
                <w:rFonts w:hint="eastAsia" w:ascii="宋体" w:hAnsi="宋体"/>
                <w:sz w:val="24"/>
                <w:szCs w:val="24"/>
              </w:rPr>
              <w:t>长</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±21</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939" w:type="dxa"/>
            <w:gridSpan w:val="3"/>
            <w:vMerge w:val="continue"/>
            <w:vAlign w:val="center"/>
          </w:tcPr>
          <w:p>
            <w:pPr>
              <w:spacing w:line="360" w:lineRule="auto"/>
              <w:rPr>
                <w:rFonts w:hint="eastAsia" w:ascii="宋体" w:hAnsi="宋体"/>
                <w:sz w:val="24"/>
                <w:szCs w:val="24"/>
              </w:rPr>
            </w:pPr>
          </w:p>
        </w:tc>
        <w:tc>
          <w:tcPr>
            <w:tcW w:w="2312" w:type="dxa"/>
            <w:gridSpan w:val="2"/>
            <w:vAlign w:val="center"/>
          </w:tcPr>
          <w:p>
            <w:pPr>
              <w:spacing w:line="360" w:lineRule="auto"/>
              <w:rPr>
                <w:rFonts w:hint="eastAsia" w:ascii="宋体" w:hAnsi="宋体"/>
                <w:sz w:val="24"/>
                <w:szCs w:val="24"/>
              </w:rPr>
            </w:pPr>
            <w:r>
              <w:rPr>
                <w:rFonts w:hint="eastAsia" w:ascii="宋体" w:hAnsi="宋体"/>
                <w:sz w:val="24"/>
                <w:szCs w:val="24"/>
              </w:rPr>
              <w:t>宽、高</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±5</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473" w:type="dxa"/>
            <w:gridSpan w:val="2"/>
            <w:vMerge w:val="restart"/>
            <w:vAlign w:val="center"/>
          </w:tcPr>
          <w:p>
            <w:pPr>
              <w:spacing w:line="360" w:lineRule="auto"/>
              <w:rPr>
                <w:rFonts w:hint="eastAsia" w:ascii="宋体" w:hAnsi="宋体"/>
                <w:sz w:val="24"/>
                <w:szCs w:val="24"/>
              </w:rPr>
            </w:pPr>
            <w:r>
              <w:rPr>
                <w:rFonts w:hint="eastAsia" w:ascii="宋体" w:hAnsi="宋体"/>
                <w:sz w:val="24"/>
                <w:szCs w:val="24"/>
              </w:rPr>
              <w:t>受力钢筋</w:t>
            </w:r>
          </w:p>
        </w:tc>
        <w:tc>
          <w:tcPr>
            <w:tcW w:w="2778" w:type="dxa"/>
            <w:gridSpan w:val="3"/>
            <w:vAlign w:val="center"/>
          </w:tcPr>
          <w:p>
            <w:pPr>
              <w:spacing w:line="360" w:lineRule="auto"/>
              <w:rPr>
                <w:rFonts w:hint="eastAsia" w:ascii="宋体" w:hAnsi="宋体"/>
                <w:sz w:val="24"/>
                <w:szCs w:val="24"/>
              </w:rPr>
            </w:pPr>
            <w:r>
              <w:rPr>
                <w:rFonts w:hint="eastAsia" w:ascii="宋体" w:hAnsi="宋体"/>
                <w:sz w:val="24"/>
                <w:szCs w:val="24"/>
              </w:rPr>
              <w:t>间距</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±10</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473" w:type="dxa"/>
            <w:gridSpan w:val="2"/>
            <w:vMerge w:val="continue"/>
            <w:vAlign w:val="center"/>
          </w:tcPr>
          <w:p>
            <w:pPr>
              <w:spacing w:line="360" w:lineRule="auto"/>
              <w:rPr>
                <w:rFonts w:hint="eastAsia" w:ascii="宋体" w:hAnsi="宋体"/>
                <w:sz w:val="24"/>
                <w:szCs w:val="24"/>
              </w:rPr>
            </w:pPr>
          </w:p>
        </w:tc>
        <w:tc>
          <w:tcPr>
            <w:tcW w:w="2778" w:type="dxa"/>
            <w:gridSpan w:val="3"/>
            <w:vAlign w:val="center"/>
          </w:tcPr>
          <w:p>
            <w:pPr>
              <w:spacing w:line="360" w:lineRule="auto"/>
              <w:rPr>
                <w:rFonts w:hint="eastAsia" w:ascii="宋体" w:hAnsi="宋体"/>
                <w:sz w:val="24"/>
                <w:szCs w:val="24"/>
              </w:rPr>
            </w:pPr>
            <w:r>
              <w:rPr>
                <w:rFonts w:hint="eastAsia" w:ascii="宋体" w:hAnsi="宋体"/>
                <w:sz w:val="24"/>
                <w:szCs w:val="24"/>
              </w:rPr>
              <w:t>排距</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±5</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473" w:type="dxa"/>
            <w:gridSpan w:val="2"/>
            <w:vMerge w:val="continue"/>
            <w:vAlign w:val="center"/>
          </w:tcPr>
          <w:p>
            <w:pPr>
              <w:spacing w:line="360" w:lineRule="auto"/>
              <w:rPr>
                <w:rFonts w:hint="eastAsia" w:ascii="宋体" w:hAnsi="宋体"/>
                <w:sz w:val="24"/>
                <w:szCs w:val="24"/>
              </w:rPr>
            </w:pPr>
          </w:p>
        </w:tc>
        <w:tc>
          <w:tcPr>
            <w:tcW w:w="1143" w:type="dxa"/>
            <w:gridSpan w:val="2"/>
            <w:vMerge w:val="restart"/>
            <w:vAlign w:val="center"/>
          </w:tcPr>
          <w:p>
            <w:pPr>
              <w:spacing w:line="360" w:lineRule="auto"/>
              <w:rPr>
                <w:rFonts w:hint="eastAsia" w:ascii="宋体" w:hAnsi="宋体"/>
                <w:sz w:val="24"/>
                <w:szCs w:val="24"/>
              </w:rPr>
            </w:pPr>
            <w:r>
              <w:rPr>
                <w:rFonts w:hint="eastAsia" w:ascii="宋体" w:hAnsi="宋体"/>
                <w:sz w:val="24"/>
                <w:szCs w:val="24"/>
              </w:rPr>
              <w:t>保护层厚度</w:t>
            </w:r>
          </w:p>
        </w:tc>
        <w:tc>
          <w:tcPr>
            <w:tcW w:w="1635" w:type="dxa"/>
            <w:vAlign w:val="center"/>
          </w:tcPr>
          <w:p>
            <w:pPr>
              <w:spacing w:line="360" w:lineRule="auto"/>
              <w:rPr>
                <w:rFonts w:hint="eastAsia" w:ascii="宋体" w:hAnsi="宋体"/>
                <w:sz w:val="24"/>
                <w:szCs w:val="24"/>
              </w:rPr>
            </w:pPr>
            <w:r>
              <w:rPr>
                <w:rFonts w:hint="eastAsia" w:ascii="宋体" w:hAnsi="宋体"/>
                <w:sz w:val="24"/>
                <w:szCs w:val="24"/>
              </w:rPr>
              <w:t>基础</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±10</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473" w:type="dxa"/>
            <w:gridSpan w:val="2"/>
            <w:vMerge w:val="continue"/>
            <w:vAlign w:val="center"/>
          </w:tcPr>
          <w:p>
            <w:pPr>
              <w:spacing w:line="360" w:lineRule="auto"/>
              <w:rPr>
                <w:rFonts w:hint="eastAsia" w:ascii="宋体" w:hAnsi="宋体"/>
                <w:sz w:val="24"/>
                <w:szCs w:val="24"/>
              </w:rPr>
            </w:pPr>
          </w:p>
        </w:tc>
        <w:tc>
          <w:tcPr>
            <w:tcW w:w="1143" w:type="dxa"/>
            <w:gridSpan w:val="2"/>
            <w:vMerge w:val="continue"/>
            <w:vAlign w:val="center"/>
          </w:tcPr>
          <w:p>
            <w:pPr>
              <w:spacing w:line="360" w:lineRule="auto"/>
              <w:rPr>
                <w:rFonts w:hint="eastAsia" w:ascii="宋体" w:hAnsi="宋体"/>
                <w:sz w:val="24"/>
                <w:szCs w:val="24"/>
              </w:rPr>
            </w:pPr>
          </w:p>
        </w:tc>
        <w:tc>
          <w:tcPr>
            <w:tcW w:w="1635" w:type="dxa"/>
            <w:vAlign w:val="center"/>
          </w:tcPr>
          <w:p>
            <w:pPr>
              <w:spacing w:line="360" w:lineRule="auto"/>
              <w:rPr>
                <w:rFonts w:hint="eastAsia" w:ascii="宋体" w:hAnsi="宋体"/>
                <w:sz w:val="24"/>
                <w:szCs w:val="24"/>
              </w:rPr>
            </w:pPr>
            <w:r>
              <w:rPr>
                <w:rFonts w:hint="eastAsia" w:ascii="宋体" w:hAnsi="宋体"/>
                <w:sz w:val="24"/>
                <w:szCs w:val="24"/>
              </w:rPr>
              <w:t>柱、梁</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±5</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473" w:type="dxa"/>
            <w:gridSpan w:val="2"/>
            <w:vMerge w:val="continue"/>
            <w:vAlign w:val="center"/>
          </w:tcPr>
          <w:p>
            <w:pPr>
              <w:spacing w:line="360" w:lineRule="auto"/>
              <w:rPr>
                <w:rFonts w:hint="eastAsia" w:ascii="宋体" w:hAnsi="宋体"/>
                <w:sz w:val="24"/>
                <w:szCs w:val="24"/>
              </w:rPr>
            </w:pPr>
          </w:p>
        </w:tc>
        <w:tc>
          <w:tcPr>
            <w:tcW w:w="1143" w:type="dxa"/>
            <w:gridSpan w:val="2"/>
            <w:vMerge w:val="continue"/>
            <w:vAlign w:val="center"/>
          </w:tcPr>
          <w:p>
            <w:pPr>
              <w:spacing w:line="360" w:lineRule="auto"/>
              <w:rPr>
                <w:rFonts w:hint="eastAsia" w:ascii="宋体" w:hAnsi="宋体"/>
                <w:sz w:val="24"/>
                <w:szCs w:val="24"/>
              </w:rPr>
            </w:pPr>
          </w:p>
        </w:tc>
        <w:tc>
          <w:tcPr>
            <w:tcW w:w="1635" w:type="dxa"/>
            <w:vAlign w:val="center"/>
          </w:tcPr>
          <w:p>
            <w:pPr>
              <w:spacing w:line="360" w:lineRule="auto"/>
              <w:rPr>
                <w:rFonts w:hint="eastAsia" w:ascii="宋体" w:hAnsi="宋体"/>
                <w:sz w:val="24"/>
                <w:szCs w:val="24"/>
              </w:rPr>
            </w:pPr>
            <w:r>
              <w:rPr>
                <w:rFonts w:hint="eastAsia" w:ascii="宋体" w:hAnsi="宋体"/>
                <w:sz w:val="24"/>
                <w:szCs w:val="24"/>
              </w:rPr>
              <w:t>板、墙、壳</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±3</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4251" w:type="dxa"/>
            <w:gridSpan w:val="5"/>
            <w:vAlign w:val="center"/>
          </w:tcPr>
          <w:p>
            <w:pPr>
              <w:spacing w:line="360" w:lineRule="auto"/>
              <w:rPr>
                <w:rFonts w:hint="eastAsia" w:ascii="宋体" w:hAnsi="宋体"/>
                <w:sz w:val="24"/>
                <w:szCs w:val="24"/>
              </w:rPr>
            </w:pPr>
            <w:r>
              <w:rPr>
                <w:rFonts w:hint="eastAsia" w:ascii="宋体" w:hAnsi="宋体"/>
                <w:sz w:val="24"/>
                <w:szCs w:val="24"/>
              </w:rPr>
              <w:t>绑扎箍筋、横向间距</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±20</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4251" w:type="dxa"/>
            <w:gridSpan w:val="5"/>
            <w:vAlign w:val="center"/>
          </w:tcPr>
          <w:p>
            <w:pPr>
              <w:spacing w:line="360" w:lineRule="auto"/>
              <w:rPr>
                <w:rFonts w:hint="eastAsia" w:ascii="宋体" w:hAnsi="宋体"/>
                <w:sz w:val="24"/>
                <w:szCs w:val="24"/>
              </w:rPr>
            </w:pPr>
            <w:r>
              <w:rPr>
                <w:rFonts w:hint="eastAsia" w:ascii="宋体" w:hAnsi="宋体"/>
                <w:sz w:val="24"/>
                <w:szCs w:val="24"/>
              </w:rPr>
              <w:t>钢筋弯起点位置</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20</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939" w:type="dxa"/>
            <w:gridSpan w:val="3"/>
            <w:vMerge w:val="restart"/>
            <w:vAlign w:val="center"/>
          </w:tcPr>
          <w:p>
            <w:pPr>
              <w:spacing w:line="360" w:lineRule="auto"/>
              <w:rPr>
                <w:rFonts w:hint="eastAsia" w:ascii="宋体" w:hAnsi="宋体"/>
                <w:sz w:val="24"/>
                <w:szCs w:val="24"/>
              </w:rPr>
            </w:pPr>
            <w:r>
              <w:rPr>
                <w:rFonts w:hint="eastAsia" w:ascii="宋体" w:hAnsi="宋体"/>
                <w:sz w:val="24"/>
                <w:szCs w:val="24"/>
              </w:rPr>
              <w:t>预埋件</w:t>
            </w:r>
          </w:p>
        </w:tc>
        <w:tc>
          <w:tcPr>
            <w:tcW w:w="2312" w:type="dxa"/>
            <w:gridSpan w:val="2"/>
            <w:vAlign w:val="center"/>
          </w:tcPr>
          <w:p>
            <w:pPr>
              <w:spacing w:line="360" w:lineRule="auto"/>
              <w:rPr>
                <w:rFonts w:hint="eastAsia" w:ascii="宋体" w:hAnsi="宋体"/>
                <w:sz w:val="24"/>
                <w:szCs w:val="24"/>
              </w:rPr>
            </w:pPr>
            <w:r>
              <w:rPr>
                <w:rFonts w:hint="eastAsia" w:ascii="宋体" w:hAnsi="宋体"/>
                <w:sz w:val="24"/>
                <w:szCs w:val="24"/>
              </w:rPr>
              <w:t>中心线位置</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5</w:t>
            </w:r>
            <w:r>
              <w:rPr>
                <w:rFonts w:ascii="宋体" w:hAnsi="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10" w:type="dxa"/>
            <w:vMerge w:val="continue"/>
            <w:vAlign w:val="center"/>
          </w:tcPr>
          <w:p>
            <w:pPr>
              <w:spacing w:line="360" w:lineRule="auto"/>
              <w:jc w:val="center"/>
              <w:rPr>
                <w:rFonts w:hint="eastAsia" w:ascii="宋体" w:hAnsi="宋体"/>
                <w:sz w:val="24"/>
                <w:szCs w:val="24"/>
              </w:rPr>
            </w:pPr>
          </w:p>
        </w:tc>
        <w:tc>
          <w:tcPr>
            <w:tcW w:w="494" w:type="dxa"/>
            <w:vMerge w:val="continue"/>
            <w:vAlign w:val="center"/>
          </w:tcPr>
          <w:p>
            <w:pPr>
              <w:spacing w:line="360" w:lineRule="auto"/>
              <w:jc w:val="center"/>
              <w:rPr>
                <w:rFonts w:hint="eastAsia" w:ascii="宋体" w:hAnsi="宋体"/>
                <w:sz w:val="24"/>
                <w:szCs w:val="24"/>
              </w:rPr>
            </w:pPr>
          </w:p>
        </w:tc>
        <w:tc>
          <w:tcPr>
            <w:tcW w:w="955" w:type="dxa"/>
            <w:vMerge w:val="continue"/>
            <w:vAlign w:val="center"/>
          </w:tcPr>
          <w:p>
            <w:pPr>
              <w:spacing w:line="360" w:lineRule="auto"/>
              <w:rPr>
                <w:rFonts w:hint="eastAsia" w:ascii="宋体" w:hAnsi="宋体"/>
                <w:sz w:val="24"/>
                <w:szCs w:val="24"/>
              </w:rPr>
            </w:pPr>
          </w:p>
        </w:tc>
        <w:tc>
          <w:tcPr>
            <w:tcW w:w="1939" w:type="dxa"/>
            <w:gridSpan w:val="3"/>
            <w:vMerge w:val="continue"/>
            <w:vAlign w:val="center"/>
          </w:tcPr>
          <w:p>
            <w:pPr>
              <w:spacing w:line="360" w:lineRule="auto"/>
              <w:rPr>
                <w:rFonts w:hint="eastAsia" w:ascii="宋体" w:hAnsi="宋体"/>
                <w:sz w:val="24"/>
                <w:szCs w:val="24"/>
              </w:rPr>
            </w:pPr>
          </w:p>
        </w:tc>
        <w:tc>
          <w:tcPr>
            <w:tcW w:w="2312" w:type="dxa"/>
            <w:gridSpan w:val="2"/>
            <w:vAlign w:val="center"/>
          </w:tcPr>
          <w:p>
            <w:pPr>
              <w:spacing w:line="360" w:lineRule="auto"/>
              <w:rPr>
                <w:rFonts w:hint="eastAsia" w:ascii="宋体" w:hAnsi="宋体"/>
                <w:sz w:val="24"/>
                <w:szCs w:val="24"/>
              </w:rPr>
            </w:pPr>
            <w:r>
              <w:rPr>
                <w:rFonts w:hint="eastAsia" w:ascii="宋体" w:hAnsi="宋体"/>
                <w:sz w:val="24"/>
                <w:szCs w:val="24"/>
              </w:rPr>
              <w:t>水平高差</w:t>
            </w:r>
          </w:p>
        </w:tc>
        <w:tc>
          <w:tcPr>
            <w:tcW w:w="2212" w:type="dxa"/>
            <w:vAlign w:val="center"/>
          </w:tcPr>
          <w:p>
            <w:pPr>
              <w:spacing w:line="360" w:lineRule="auto"/>
              <w:jc w:val="center"/>
              <w:rPr>
                <w:rFonts w:hint="eastAsia" w:ascii="宋体" w:hAnsi="宋体"/>
                <w:sz w:val="24"/>
                <w:szCs w:val="24"/>
              </w:rPr>
            </w:pPr>
            <w:r>
              <w:rPr>
                <w:rFonts w:hint="eastAsia" w:ascii="宋体" w:hAnsi="宋体"/>
                <w:sz w:val="24"/>
                <w:szCs w:val="24"/>
              </w:rPr>
              <w:t>+3，0</w:t>
            </w:r>
            <w:r>
              <w:rPr>
                <w:rFonts w:ascii="宋体" w:hAnsi="宋体"/>
                <w:sz w:val="24"/>
                <w:szCs w:val="24"/>
              </w:rPr>
              <w:t>mm</w:t>
            </w:r>
          </w:p>
        </w:tc>
      </w:tr>
    </w:tbl>
    <w:p>
      <w:pPr>
        <w:spacing w:line="360" w:lineRule="auto"/>
        <w:ind w:firstLine="560" w:firstLineChars="200"/>
        <w:rPr>
          <w:rFonts w:hint="eastAsia" w:ascii="宋体" w:hAnsi="宋体"/>
          <w:sz w:val="24"/>
          <w:szCs w:val="24"/>
        </w:rPr>
      </w:pPr>
      <w:r>
        <w:rPr>
          <w:rFonts w:hint="eastAsia" w:ascii="宋体" w:hAnsi="宋体"/>
          <w:sz w:val="24"/>
          <w:szCs w:val="24"/>
        </w:rPr>
        <w:t>（三）施工规范对钢筋接头的有关规定：</w:t>
      </w:r>
    </w:p>
    <w:p>
      <w:pPr>
        <w:spacing w:line="360" w:lineRule="auto"/>
        <w:ind w:firstLine="560" w:firstLineChars="200"/>
        <w:rPr>
          <w:rFonts w:hint="eastAsia" w:ascii="宋体" w:hAnsi="宋体"/>
          <w:sz w:val="24"/>
          <w:szCs w:val="24"/>
        </w:rPr>
      </w:pPr>
      <w:r>
        <w:rPr>
          <w:rFonts w:hint="eastAsia" w:ascii="宋体" w:hAnsi="宋体"/>
          <w:sz w:val="24"/>
          <w:szCs w:val="24"/>
        </w:rPr>
        <w:t>1、受拉钢筋绑扎接头的搭接长度：普通混凝土直径大于22</w:t>
      </w:r>
      <w:r>
        <w:rPr>
          <w:rFonts w:ascii="宋体" w:hAnsi="宋体"/>
          <w:sz w:val="24"/>
          <w:szCs w:val="24"/>
        </w:rPr>
        <w:t>mm</w:t>
      </w:r>
      <w:r>
        <w:rPr>
          <w:rFonts w:hint="eastAsia" w:ascii="宋体" w:hAnsi="宋体"/>
          <w:sz w:val="24"/>
          <w:szCs w:val="24"/>
        </w:rPr>
        <w:t>的钢筋不宜采用绑扎接头。</w:t>
      </w:r>
    </w:p>
    <w:p>
      <w:pPr>
        <w:spacing w:line="360" w:lineRule="auto"/>
        <w:ind w:firstLine="560" w:firstLineChars="200"/>
        <w:rPr>
          <w:rFonts w:hint="eastAsia" w:ascii="宋体" w:hAnsi="宋体"/>
          <w:sz w:val="24"/>
          <w:szCs w:val="24"/>
        </w:rPr>
      </w:pPr>
      <w:r>
        <w:rPr>
          <w:rFonts w:hint="eastAsia" w:ascii="宋体" w:hAnsi="宋体"/>
          <w:sz w:val="24"/>
          <w:szCs w:val="24"/>
        </w:rPr>
        <w:t>受拉钢筋绑扎接头的搭接长度规定按下表执行：</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86"/>
        <w:gridCol w:w="1716"/>
        <w:gridCol w:w="171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687" w:type="dxa"/>
            <w:vAlign w:val="center"/>
          </w:tcPr>
          <w:p>
            <w:pPr>
              <w:spacing w:line="360" w:lineRule="auto"/>
              <w:jc w:val="center"/>
              <w:rPr>
                <w:rFonts w:hint="eastAsia" w:ascii="宋体" w:hAnsi="宋体"/>
                <w:sz w:val="24"/>
                <w:szCs w:val="24"/>
              </w:rPr>
            </w:pPr>
            <w:r>
              <w:rPr>
                <w:rFonts w:hint="eastAsia" w:ascii="宋体" w:hAnsi="宋体"/>
                <w:sz w:val="24"/>
                <w:szCs w:val="24"/>
              </w:rPr>
              <w:t>项次</w:t>
            </w:r>
          </w:p>
        </w:tc>
        <w:tc>
          <w:tcPr>
            <w:tcW w:w="1686" w:type="dxa"/>
            <w:vAlign w:val="center"/>
          </w:tcPr>
          <w:p>
            <w:pPr>
              <w:spacing w:line="360" w:lineRule="auto"/>
              <w:jc w:val="center"/>
              <w:rPr>
                <w:rFonts w:hint="eastAsia" w:ascii="宋体" w:hAnsi="宋体"/>
                <w:sz w:val="24"/>
                <w:szCs w:val="24"/>
              </w:rPr>
            </w:pPr>
            <w:r>
              <w:rPr>
                <w:rFonts w:hint="eastAsia" w:ascii="宋体" w:hAnsi="宋体"/>
                <w:sz w:val="24"/>
                <w:szCs w:val="24"/>
              </w:rPr>
              <w:t>钢筋类型</w:t>
            </w:r>
          </w:p>
        </w:tc>
        <w:tc>
          <w:tcPr>
            <w:tcW w:w="5149" w:type="dxa"/>
            <w:gridSpan w:val="3"/>
            <w:vAlign w:val="center"/>
          </w:tcPr>
          <w:p>
            <w:pPr>
              <w:spacing w:line="360" w:lineRule="auto"/>
              <w:jc w:val="center"/>
              <w:rPr>
                <w:rFonts w:hint="eastAsia" w:ascii="宋体" w:hAnsi="宋体"/>
                <w:sz w:val="24"/>
                <w:szCs w:val="24"/>
              </w:rPr>
            </w:pPr>
            <w:r>
              <w:rPr>
                <w:rFonts w:hint="eastAsia" w:ascii="宋体" w:hAnsi="宋体"/>
                <w:sz w:val="24"/>
                <w:szCs w:val="24"/>
              </w:rPr>
              <w:t>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687" w:type="dxa"/>
            <w:vAlign w:val="center"/>
          </w:tcPr>
          <w:p>
            <w:pPr>
              <w:spacing w:line="360" w:lineRule="auto"/>
              <w:jc w:val="center"/>
              <w:rPr>
                <w:rFonts w:hint="eastAsia" w:ascii="宋体" w:hAnsi="宋体"/>
                <w:sz w:val="24"/>
                <w:szCs w:val="24"/>
              </w:rPr>
            </w:pPr>
          </w:p>
        </w:tc>
        <w:tc>
          <w:tcPr>
            <w:tcW w:w="1686" w:type="dxa"/>
            <w:vAlign w:val="center"/>
          </w:tcPr>
          <w:p>
            <w:pPr>
              <w:spacing w:line="360" w:lineRule="auto"/>
              <w:jc w:val="center"/>
              <w:rPr>
                <w:rFonts w:hint="eastAsia" w:ascii="宋体" w:hAnsi="宋体"/>
                <w:sz w:val="24"/>
                <w:szCs w:val="24"/>
              </w:rPr>
            </w:pPr>
          </w:p>
        </w:tc>
        <w:tc>
          <w:tcPr>
            <w:tcW w:w="1716" w:type="dxa"/>
            <w:vAlign w:val="center"/>
          </w:tcPr>
          <w:p>
            <w:pPr>
              <w:spacing w:line="360" w:lineRule="auto"/>
              <w:jc w:val="center"/>
              <w:rPr>
                <w:rFonts w:ascii="宋体" w:hAnsi="宋体"/>
                <w:sz w:val="24"/>
                <w:szCs w:val="24"/>
              </w:rPr>
            </w:pPr>
            <w:r>
              <w:rPr>
                <w:rFonts w:ascii="宋体" w:hAnsi="宋体"/>
                <w:sz w:val="24"/>
                <w:szCs w:val="24"/>
              </w:rPr>
              <w:t>C20</w:t>
            </w:r>
          </w:p>
        </w:tc>
        <w:tc>
          <w:tcPr>
            <w:tcW w:w="1716" w:type="dxa"/>
            <w:vAlign w:val="center"/>
          </w:tcPr>
          <w:p>
            <w:pPr>
              <w:spacing w:line="360" w:lineRule="auto"/>
              <w:jc w:val="center"/>
              <w:rPr>
                <w:rFonts w:ascii="宋体" w:hAnsi="宋体"/>
                <w:sz w:val="24"/>
                <w:szCs w:val="24"/>
              </w:rPr>
            </w:pPr>
            <w:r>
              <w:rPr>
                <w:rFonts w:ascii="宋体" w:hAnsi="宋体"/>
                <w:sz w:val="24"/>
                <w:szCs w:val="24"/>
              </w:rPr>
              <w:t>C25</w:t>
            </w:r>
          </w:p>
        </w:tc>
        <w:tc>
          <w:tcPr>
            <w:tcW w:w="1717" w:type="dxa"/>
            <w:vAlign w:val="center"/>
          </w:tcPr>
          <w:p>
            <w:pPr>
              <w:spacing w:line="360" w:lineRule="auto"/>
              <w:jc w:val="center"/>
              <w:rPr>
                <w:rFonts w:ascii="宋体" w:hAnsi="宋体"/>
                <w:sz w:val="24"/>
                <w:szCs w:val="24"/>
              </w:rPr>
            </w:pPr>
            <w:r>
              <w:rPr>
                <w:rFonts w:hint="eastAsia" w:ascii="宋体" w:hAnsi="宋体"/>
                <w:sz w:val="24"/>
                <w:szCs w:val="24"/>
              </w:rPr>
              <w:t>≥</w:t>
            </w:r>
            <w:r>
              <w:rPr>
                <w:rFonts w:ascii="宋体" w:hAnsi="宋体"/>
                <w:sz w:val="24"/>
                <w:szCs w:val="24"/>
              </w:rPr>
              <w:t>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687" w:type="dxa"/>
            <w:vAlign w:val="center"/>
          </w:tcPr>
          <w:p>
            <w:pPr>
              <w:spacing w:line="360" w:lineRule="auto"/>
              <w:jc w:val="center"/>
              <w:rPr>
                <w:rFonts w:hint="eastAsia" w:ascii="宋体" w:hAnsi="宋体"/>
                <w:sz w:val="24"/>
                <w:szCs w:val="24"/>
              </w:rPr>
            </w:pPr>
            <w:r>
              <w:rPr>
                <w:rFonts w:hint="eastAsia" w:ascii="宋体" w:hAnsi="宋体"/>
                <w:sz w:val="24"/>
                <w:szCs w:val="24"/>
              </w:rPr>
              <w:t>2</w:t>
            </w:r>
          </w:p>
        </w:tc>
        <w:tc>
          <w:tcPr>
            <w:tcW w:w="1686" w:type="dxa"/>
            <w:vAlign w:val="center"/>
          </w:tcPr>
          <w:p>
            <w:pPr>
              <w:spacing w:line="360" w:lineRule="auto"/>
              <w:jc w:val="center"/>
              <w:rPr>
                <w:rFonts w:hint="eastAsia" w:ascii="宋体" w:hAnsi="宋体"/>
                <w:sz w:val="24"/>
                <w:szCs w:val="24"/>
              </w:rPr>
            </w:pPr>
            <w:r>
              <w:rPr>
                <w:rFonts w:hint="eastAsia" w:ascii="宋体" w:hAnsi="宋体"/>
                <w:sz w:val="24"/>
                <w:szCs w:val="24"/>
              </w:rPr>
              <w:t>Ⅱ级钢筋</w:t>
            </w:r>
          </w:p>
        </w:tc>
        <w:tc>
          <w:tcPr>
            <w:tcW w:w="1716" w:type="dxa"/>
            <w:vAlign w:val="center"/>
          </w:tcPr>
          <w:p>
            <w:pPr>
              <w:spacing w:line="360" w:lineRule="auto"/>
              <w:jc w:val="center"/>
              <w:rPr>
                <w:rFonts w:ascii="宋体" w:hAnsi="宋体"/>
                <w:sz w:val="24"/>
                <w:szCs w:val="24"/>
              </w:rPr>
            </w:pPr>
            <w:r>
              <w:rPr>
                <w:rFonts w:ascii="宋体" w:hAnsi="宋体"/>
                <w:sz w:val="24"/>
                <w:szCs w:val="24"/>
              </w:rPr>
              <w:t>45d</w:t>
            </w:r>
          </w:p>
        </w:tc>
        <w:tc>
          <w:tcPr>
            <w:tcW w:w="1716" w:type="dxa"/>
            <w:vAlign w:val="center"/>
          </w:tcPr>
          <w:p>
            <w:pPr>
              <w:spacing w:line="360" w:lineRule="auto"/>
              <w:jc w:val="center"/>
              <w:rPr>
                <w:rFonts w:ascii="宋体" w:hAnsi="宋体"/>
                <w:sz w:val="24"/>
                <w:szCs w:val="24"/>
              </w:rPr>
            </w:pPr>
            <w:r>
              <w:rPr>
                <w:rFonts w:ascii="宋体" w:hAnsi="宋体"/>
                <w:sz w:val="24"/>
                <w:szCs w:val="24"/>
              </w:rPr>
              <w:t>40d</w:t>
            </w:r>
          </w:p>
        </w:tc>
        <w:tc>
          <w:tcPr>
            <w:tcW w:w="1717" w:type="dxa"/>
            <w:vAlign w:val="center"/>
          </w:tcPr>
          <w:p>
            <w:pPr>
              <w:spacing w:line="360" w:lineRule="auto"/>
              <w:jc w:val="center"/>
              <w:rPr>
                <w:rFonts w:ascii="宋体" w:hAnsi="宋体"/>
                <w:sz w:val="24"/>
                <w:szCs w:val="24"/>
              </w:rPr>
            </w:pPr>
            <w:r>
              <w:rPr>
                <w:rFonts w:ascii="宋体" w:hAnsi="宋体"/>
                <w:sz w:val="24"/>
                <w:szCs w:val="24"/>
              </w:rPr>
              <w:t>35d</w:t>
            </w:r>
          </w:p>
        </w:tc>
      </w:tr>
    </w:tbl>
    <w:p>
      <w:pPr>
        <w:spacing w:line="360" w:lineRule="auto"/>
        <w:ind w:firstLine="560" w:firstLineChars="200"/>
        <w:rPr>
          <w:rFonts w:hint="eastAsia" w:ascii="宋体" w:hAnsi="宋体"/>
          <w:sz w:val="24"/>
          <w:szCs w:val="24"/>
        </w:rPr>
      </w:pPr>
      <w:r>
        <w:rPr>
          <w:rFonts w:hint="eastAsia" w:ascii="宋体" w:hAnsi="宋体"/>
          <w:sz w:val="24"/>
          <w:szCs w:val="24"/>
        </w:rPr>
        <w:t>2、绑扎接头区钢筋接头位置和横向间距要求：L≥</w:t>
      </w:r>
      <w:r>
        <w:rPr>
          <w:rFonts w:ascii="宋体" w:hAnsi="宋体"/>
          <w:sz w:val="24"/>
          <w:szCs w:val="24"/>
        </w:rPr>
        <w:t>1.3</w:t>
      </w:r>
      <w:r>
        <w:rPr>
          <w:rFonts w:hint="eastAsia" w:ascii="宋体" w:hAnsi="宋体"/>
          <w:sz w:val="24"/>
          <w:szCs w:val="24"/>
        </w:rPr>
        <w:t>L</w:t>
      </w:r>
      <w:r>
        <w:rPr>
          <w:rFonts w:hint="eastAsia" w:ascii="宋体" w:hAnsi="宋体"/>
          <w:sz w:val="24"/>
          <w:szCs w:val="24"/>
          <w:vertAlign w:val="subscript"/>
        </w:rPr>
        <w:t>1</w:t>
      </w:r>
      <w:r>
        <w:rPr>
          <w:rFonts w:hint="eastAsia" w:ascii="宋体" w:hAnsi="宋体"/>
          <w:sz w:val="24"/>
          <w:szCs w:val="24"/>
        </w:rPr>
        <w:t xml:space="preserve">  S≥</w:t>
      </w:r>
      <w:r>
        <w:rPr>
          <w:rFonts w:ascii="宋体" w:hAnsi="宋体"/>
          <w:sz w:val="24"/>
          <w:szCs w:val="24"/>
        </w:rPr>
        <w:t xml:space="preserve">d </w:t>
      </w:r>
      <w:r>
        <w:rPr>
          <w:rFonts w:hint="eastAsia" w:ascii="宋体" w:hAnsi="宋体"/>
          <w:sz w:val="24"/>
          <w:szCs w:val="24"/>
        </w:rPr>
        <w:t>且不应小于25</w:t>
      </w:r>
      <w:r>
        <w:rPr>
          <w:rFonts w:ascii="宋体" w:hAnsi="宋体"/>
          <w:sz w:val="24"/>
          <w:szCs w:val="24"/>
        </w:rPr>
        <w:t>mm</w:t>
      </w:r>
      <w:r>
        <w:rPr>
          <w:rFonts w:hint="eastAsia" w:ascii="宋体" w:hAnsi="宋体"/>
          <w:sz w:val="24"/>
          <w:szCs w:val="24"/>
        </w:rPr>
        <w:t>。</w:t>
      </w:r>
    </w:p>
    <w:p>
      <w:pPr>
        <w:spacing w:line="360" w:lineRule="auto"/>
        <w:ind w:firstLine="560" w:firstLineChars="200"/>
        <w:rPr>
          <w:rFonts w:hint="eastAsia" w:ascii="宋体" w:hAnsi="宋体"/>
          <w:sz w:val="24"/>
          <w:szCs w:val="24"/>
        </w:rPr>
      </w:pPr>
      <w:r>
        <w:rPr>
          <w:rFonts w:hint="eastAsia" w:ascii="宋体" w:hAnsi="宋体"/>
          <w:sz w:val="24"/>
          <w:szCs w:val="24"/>
        </w:rPr>
        <w:t>3、搭接接头区箍筋间距，受拉区间距不应大于100</w:t>
      </w:r>
      <w:r>
        <w:rPr>
          <w:rFonts w:ascii="宋体" w:hAnsi="宋体"/>
          <w:sz w:val="24"/>
          <w:szCs w:val="24"/>
        </w:rPr>
        <w:t>mm</w:t>
      </w:r>
      <w:r>
        <w:rPr>
          <w:rFonts w:hint="eastAsia" w:ascii="宋体" w:hAnsi="宋体"/>
          <w:sz w:val="24"/>
          <w:szCs w:val="24"/>
        </w:rPr>
        <w:t>，受压区间距不应大于10</w:t>
      </w:r>
      <w:r>
        <w:rPr>
          <w:rFonts w:ascii="宋体" w:hAnsi="宋体"/>
          <w:sz w:val="24"/>
          <w:szCs w:val="24"/>
        </w:rPr>
        <w:t>d</w:t>
      </w:r>
      <w:r>
        <w:rPr>
          <w:rFonts w:hint="eastAsia" w:ascii="宋体" w:hAnsi="宋体"/>
          <w:sz w:val="24"/>
          <w:szCs w:val="24"/>
        </w:rPr>
        <w:t>，且不应大于200</w:t>
      </w:r>
      <w:r>
        <w:rPr>
          <w:rFonts w:ascii="宋体" w:hAnsi="宋体"/>
          <w:sz w:val="24"/>
          <w:szCs w:val="24"/>
        </w:rPr>
        <w:t>mm</w:t>
      </w:r>
      <w:r>
        <w:rPr>
          <w:rFonts w:hint="eastAsia" w:ascii="宋体" w:hAnsi="宋体"/>
          <w:sz w:val="24"/>
          <w:szCs w:val="24"/>
        </w:rPr>
        <w:t>。</w:t>
      </w:r>
    </w:p>
    <w:p>
      <w:pPr>
        <w:spacing w:line="360" w:lineRule="auto"/>
        <w:ind w:firstLine="560" w:firstLineChars="200"/>
        <w:rPr>
          <w:rFonts w:hint="eastAsia" w:ascii="宋体" w:hAnsi="宋体"/>
          <w:sz w:val="24"/>
          <w:szCs w:val="24"/>
        </w:rPr>
      </w:pPr>
      <w:r>
        <w:rPr>
          <w:rFonts w:hint="eastAsia" w:ascii="宋体" w:hAnsi="宋体"/>
          <w:sz w:val="24"/>
          <w:szCs w:val="24"/>
        </w:rPr>
        <w:t>4、受力钢筋采用焊接头的位置区段的规定</w:t>
      </w:r>
    </w:p>
    <w:p>
      <w:pPr>
        <w:spacing w:line="360" w:lineRule="auto"/>
        <w:ind w:firstLine="560" w:firstLineChars="200"/>
        <w:rPr>
          <w:rFonts w:hint="eastAsia" w:ascii="宋体" w:hAnsi="宋体"/>
          <w:sz w:val="24"/>
          <w:szCs w:val="24"/>
        </w:rPr>
      </w:pPr>
      <w:r>
        <w:rPr>
          <w:rFonts w:hint="eastAsia" w:ascii="宋体" w:hAnsi="宋体"/>
          <w:sz w:val="24"/>
          <w:szCs w:val="24"/>
        </w:rPr>
        <w:t>当受力钢筋采用焊接头时，接头宜设置在受办较小部位，且在同一要钢筋全长上宜少设接头；当在受拉区内配置的受力钢筋少于3根时，可在跨度两端各四分之一跨度范围内设置一焊接接头。设置在同一个构件的区段1内，同一根钢筋不得有两个接头；在该区段内有接头的受力钢筋截面面积占受力钢筋总截面面积的百分率，应符合下列规定：</w:t>
      </w:r>
    </w:p>
    <w:p>
      <w:pPr>
        <w:spacing w:line="360" w:lineRule="auto"/>
        <w:ind w:firstLine="560" w:firstLineChars="200"/>
        <w:rPr>
          <w:rFonts w:hint="eastAsia" w:ascii="宋体" w:hAnsi="宋体"/>
          <w:sz w:val="24"/>
          <w:szCs w:val="24"/>
        </w:rPr>
      </w:pPr>
      <w:r>
        <w:rPr>
          <w:rFonts w:hint="eastAsia" w:ascii="宋体" w:hAnsi="宋体"/>
          <w:sz w:val="24"/>
          <w:szCs w:val="24"/>
        </w:rPr>
        <w:t>非预应力筋受拉区不宜超过50%：受压区和装配构件连接处不限制。</w:t>
      </w:r>
    </w:p>
    <w:p>
      <w:pPr>
        <w:ind w:firstLine="560" w:firstLineChars="200"/>
        <w:rPr>
          <w:rFonts w:hint="eastAsia" w:ascii="宋体" w:hAnsi="宋体"/>
          <w:b/>
          <w:bCs/>
          <w:sz w:val="28"/>
        </w:rPr>
      </w:pPr>
    </w:p>
    <w:p>
      <w:pPr>
        <w:ind w:firstLine="560" w:firstLineChars="200"/>
        <w:rPr>
          <w:rFonts w:hint="eastAsia" w:ascii="宋体" w:hAnsi="宋体"/>
          <w:b/>
          <w:bCs/>
          <w:sz w:val="28"/>
        </w:rPr>
      </w:pPr>
      <w:r>
        <w:rPr>
          <w:rFonts w:hint="eastAsia" w:ascii="宋体" w:hAnsi="宋体"/>
          <w:b/>
          <w:bCs/>
          <w:sz w:val="28"/>
        </w:rPr>
        <w:t>四、钢筋工程的质量通病与监理质量控制</w:t>
      </w:r>
    </w:p>
    <w:p>
      <w:pPr>
        <w:ind w:firstLine="560" w:firstLineChars="200"/>
        <w:rPr>
          <w:rFonts w:hint="eastAsia" w:ascii="宋体" w:hAnsi="宋体"/>
          <w:b/>
          <w:bCs/>
          <w:sz w:val="28"/>
        </w:rPr>
      </w:pPr>
      <w:r>
        <w:rPr>
          <w:rFonts w:hint="eastAsia" w:ascii="宋体" w:hAnsi="宋体"/>
          <w:b/>
          <w:bCs/>
          <w:sz w:val="28"/>
        </w:rPr>
        <w:t>（一）钢筋工程常见质量通病</w:t>
      </w:r>
    </w:p>
    <w:p>
      <w:pPr>
        <w:spacing w:line="360" w:lineRule="auto"/>
        <w:ind w:firstLine="560" w:firstLineChars="200"/>
        <w:rPr>
          <w:rFonts w:hint="eastAsia" w:ascii="宋体" w:hAnsi="宋体"/>
          <w:sz w:val="24"/>
          <w:szCs w:val="24"/>
        </w:rPr>
      </w:pPr>
      <w:r>
        <w:rPr>
          <w:rFonts w:hint="eastAsia" w:ascii="宋体" w:hAnsi="宋体"/>
          <w:sz w:val="24"/>
          <w:szCs w:val="24"/>
        </w:rPr>
        <w:t>1、材质检验与保管不符合要求</w:t>
      </w:r>
    </w:p>
    <w:p>
      <w:pPr>
        <w:spacing w:line="360" w:lineRule="auto"/>
        <w:ind w:firstLine="560" w:firstLineChars="200"/>
        <w:rPr>
          <w:rFonts w:hint="eastAsia" w:ascii="宋体" w:hAnsi="宋体"/>
          <w:sz w:val="24"/>
          <w:szCs w:val="24"/>
        </w:rPr>
      </w:pPr>
      <w:r>
        <w:rPr>
          <w:rFonts w:hint="eastAsia" w:ascii="宋体" w:hAnsi="宋体"/>
          <w:sz w:val="24"/>
          <w:szCs w:val="24"/>
        </w:rPr>
        <w:t>（1）无出厂厂合格证或抄件不符合要求；</w:t>
      </w:r>
    </w:p>
    <w:p>
      <w:pPr>
        <w:spacing w:line="360" w:lineRule="auto"/>
        <w:ind w:firstLine="560" w:firstLineChars="200"/>
        <w:rPr>
          <w:rFonts w:hint="eastAsia" w:ascii="宋体" w:hAnsi="宋体"/>
          <w:sz w:val="24"/>
          <w:szCs w:val="24"/>
        </w:rPr>
      </w:pPr>
      <w:r>
        <w:rPr>
          <w:rFonts w:hint="eastAsia" w:ascii="宋体" w:hAnsi="宋体"/>
          <w:sz w:val="24"/>
          <w:szCs w:val="24"/>
        </w:rPr>
        <w:t>（2）无进场复试；</w:t>
      </w:r>
    </w:p>
    <w:p>
      <w:pPr>
        <w:spacing w:line="360" w:lineRule="auto"/>
        <w:ind w:firstLine="560" w:firstLineChars="200"/>
        <w:rPr>
          <w:rFonts w:hint="eastAsia" w:ascii="宋体" w:hAnsi="宋体"/>
          <w:sz w:val="24"/>
          <w:szCs w:val="24"/>
        </w:rPr>
      </w:pPr>
      <w:r>
        <w:rPr>
          <w:rFonts w:hint="eastAsia" w:ascii="宋体" w:hAnsi="宋体"/>
          <w:sz w:val="24"/>
          <w:szCs w:val="24"/>
        </w:rPr>
        <w:t>（3）批量不清、超批量、漏检；</w:t>
      </w:r>
    </w:p>
    <w:p>
      <w:pPr>
        <w:spacing w:line="360" w:lineRule="auto"/>
        <w:ind w:firstLine="560" w:firstLineChars="200"/>
        <w:rPr>
          <w:rFonts w:hint="eastAsia" w:ascii="宋体" w:hAnsi="宋体"/>
          <w:sz w:val="24"/>
          <w:szCs w:val="24"/>
        </w:rPr>
      </w:pPr>
      <w:r>
        <w:rPr>
          <w:rFonts w:hint="eastAsia" w:ascii="宋体" w:hAnsi="宋体"/>
          <w:sz w:val="24"/>
          <w:szCs w:val="24"/>
        </w:rPr>
        <w:t>（4）化学成分不合格或加工中发生脆断、焊接性能不良或机械性能显著不正常，未作化学成分检验；</w:t>
      </w:r>
    </w:p>
    <w:p>
      <w:pPr>
        <w:spacing w:line="360" w:lineRule="auto"/>
        <w:ind w:firstLine="560" w:firstLineChars="200"/>
        <w:rPr>
          <w:rFonts w:hint="eastAsia" w:ascii="宋体" w:hAnsi="宋体"/>
          <w:sz w:val="24"/>
          <w:szCs w:val="24"/>
        </w:rPr>
      </w:pPr>
      <w:r>
        <w:rPr>
          <w:rFonts w:hint="eastAsia" w:ascii="宋体" w:hAnsi="宋体"/>
          <w:sz w:val="24"/>
          <w:szCs w:val="24"/>
        </w:rPr>
        <w:t>（5）机械性能不合格无交待，无加倍复试；</w:t>
      </w:r>
    </w:p>
    <w:p>
      <w:pPr>
        <w:spacing w:line="360" w:lineRule="auto"/>
        <w:ind w:firstLine="560" w:firstLineChars="200"/>
        <w:rPr>
          <w:rFonts w:hint="eastAsia" w:ascii="宋体" w:hAnsi="宋体"/>
          <w:sz w:val="24"/>
          <w:szCs w:val="24"/>
        </w:rPr>
      </w:pPr>
      <w:r>
        <w:rPr>
          <w:rFonts w:hint="eastAsia" w:ascii="宋体" w:hAnsi="宋体"/>
          <w:sz w:val="24"/>
          <w:szCs w:val="24"/>
        </w:rPr>
        <w:t>（6）运输、储存中钢筋标牌丢失、堆放分类不清。</w:t>
      </w:r>
    </w:p>
    <w:p>
      <w:pPr>
        <w:spacing w:line="360" w:lineRule="auto"/>
        <w:ind w:firstLine="560" w:firstLineChars="200"/>
        <w:rPr>
          <w:rFonts w:hint="eastAsia" w:ascii="宋体" w:hAnsi="宋体"/>
          <w:sz w:val="24"/>
          <w:szCs w:val="24"/>
        </w:rPr>
      </w:pPr>
      <w:r>
        <w:rPr>
          <w:rFonts w:hint="eastAsia" w:ascii="宋体" w:hAnsi="宋体"/>
          <w:sz w:val="24"/>
          <w:szCs w:val="24"/>
        </w:rPr>
        <w:t>2、钢筋锈蚀与污染</w:t>
      </w:r>
    </w:p>
    <w:p>
      <w:pPr>
        <w:spacing w:line="360" w:lineRule="auto"/>
        <w:ind w:firstLine="560" w:firstLineChars="200"/>
        <w:rPr>
          <w:rFonts w:hint="eastAsia" w:ascii="宋体" w:hAnsi="宋体"/>
          <w:sz w:val="24"/>
          <w:szCs w:val="24"/>
        </w:rPr>
      </w:pPr>
      <w:r>
        <w:rPr>
          <w:rFonts w:hint="eastAsia" w:ascii="宋体" w:hAnsi="宋体"/>
          <w:sz w:val="24"/>
          <w:szCs w:val="24"/>
        </w:rPr>
        <w:t>3、钢筋代换不符合要求</w:t>
      </w:r>
    </w:p>
    <w:p>
      <w:pPr>
        <w:spacing w:line="360" w:lineRule="auto"/>
        <w:ind w:firstLine="560" w:firstLineChars="200"/>
        <w:rPr>
          <w:rFonts w:hint="eastAsia" w:ascii="宋体" w:hAnsi="宋体"/>
          <w:sz w:val="24"/>
          <w:szCs w:val="24"/>
        </w:rPr>
      </w:pPr>
      <w:r>
        <w:rPr>
          <w:rFonts w:hint="eastAsia" w:ascii="宋体" w:hAnsi="宋体"/>
          <w:sz w:val="24"/>
          <w:szCs w:val="24"/>
        </w:rPr>
        <w:t>4、加工成型质量差</w:t>
      </w:r>
    </w:p>
    <w:p>
      <w:pPr>
        <w:spacing w:line="360" w:lineRule="auto"/>
        <w:ind w:firstLine="560" w:firstLineChars="200"/>
        <w:rPr>
          <w:rFonts w:hint="eastAsia" w:ascii="宋体" w:hAnsi="宋体"/>
          <w:sz w:val="24"/>
          <w:szCs w:val="24"/>
        </w:rPr>
      </w:pPr>
      <w:r>
        <w:rPr>
          <w:rFonts w:hint="eastAsia" w:ascii="宋体" w:hAnsi="宋体"/>
          <w:sz w:val="24"/>
          <w:szCs w:val="24"/>
        </w:rPr>
        <w:t>（1）未统一下料，下料不准；</w:t>
      </w:r>
    </w:p>
    <w:p>
      <w:pPr>
        <w:spacing w:line="360" w:lineRule="auto"/>
        <w:ind w:firstLine="560" w:firstLineChars="200"/>
        <w:rPr>
          <w:rFonts w:hint="eastAsia" w:ascii="宋体" w:hAnsi="宋体"/>
          <w:sz w:val="24"/>
          <w:szCs w:val="24"/>
        </w:rPr>
      </w:pPr>
      <w:r>
        <w:rPr>
          <w:rFonts w:hint="eastAsia" w:ascii="宋体" w:hAnsi="宋体"/>
          <w:sz w:val="24"/>
          <w:szCs w:val="24"/>
        </w:rPr>
        <w:t>（2）对复杂节点未综合空间相交叉的关系放样；</w:t>
      </w:r>
    </w:p>
    <w:p>
      <w:pPr>
        <w:spacing w:line="360" w:lineRule="auto"/>
        <w:ind w:firstLine="560" w:firstLineChars="200"/>
        <w:rPr>
          <w:rFonts w:hint="eastAsia" w:ascii="宋体" w:hAnsi="宋体"/>
          <w:sz w:val="24"/>
          <w:szCs w:val="24"/>
        </w:rPr>
      </w:pPr>
      <w:r>
        <w:rPr>
          <w:rFonts w:hint="eastAsia" w:ascii="宋体" w:hAnsi="宋体"/>
          <w:sz w:val="24"/>
          <w:szCs w:val="24"/>
        </w:rPr>
        <w:t>（3）尺寸、角度差、不直不顺、弯点不准，弯钩偏短；</w:t>
      </w:r>
    </w:p>
    <w:p>
      <w:pPr>
        <w:spacing w:line="360" w:lineRule="auto"/>
        <w:ind w:firstLine="560" w:firstLineChars="200"/>
        <w:rPr>
          <w:rFonts w:hint="eastAsia" w:ascii="宋体" w:hAnsi="宋体"/>
          <w:sz w:val="24"/>
          <w:szCs w:val="24"/>
        </w:rPr>
      </w:pPr>
      <w:r>
        <w:rPr>
          <w:rFonts w:hint="eastAsia" w:ascii="宋体" w:hAnsi="宋体"/>
          <w:sz w:val="24"/>
          <w:szCs w:val="24"/>
        </w:rPr>
        <w:t>（4）不同等级钢筋及进口筋，不同弯曲成型半径要求；</w:t>
      </w:r>
    </w:p>
    <w:p>
      <w:pPr>
        <w:spacing w:line="360" w:lineRule="auto"/>
        <w:ind w:firstLine="560" w:firstLineChars="200"/>
        <w:rPr>
          <w:rFonts w:hint="eastAsia" w:ascii="宋体" w:hAnsi="宋体"/>
          <w:sz w:val="24"/>
          <w:szCs w:val="24"/>
        </w:rPr>
      </w:pPr>
      <w:r>
        <w:rPr>
          <w:rFonts w:hint="eastAsia" w:ascii="宋体" w:hAnsi="宋体"/>
          <w:sz w:val="24"/>
          <w:szCs w:val="24"/>
        </w:rPr>
        <w:t>（5）运输堆放被折、变形未作修正。</w:t>
      </w:r>
    </w:p>
    <w:p>
      <w:pPr>
        <w:spacing w:line="360" w:lineRule="auto"/>
        <w:ind w:firstLine="560" w:firstLineChars="200"/>
        <w:rPr>
          <w:rFonts w:hint="eastAsia" w:ascii="宋体" w:hAnsi="宋体"/>
          <w:sz w:val="24"/>
          <w:szCs w:val="24"/>
        </w:rPr>
      </w:pPr>
      <w:r>
        <w:rPr>
          <w:rFonts w:hint="eastAsia" w:ascii="宋体" w:hAnsi="宋体"/>
          <w:sz w:val="24"/>
          <w:szCs w:val="24"/>
        </w:rPr>
        <w:t>5、不符合图纸或规范构造规定</w:t>
      </w:r>
    </w:p>
    <w:p>
      <w:pPr>
        <w:spacing w:line="360" w:lineRule="auto"/>
        <w:ind w:firstLine="560" w:firstLineChars="200"/>
        <w:rPr>
          <w:rFonts w:hint="eastAsia" w:ascii="宋体" w:hAnsi="宋体"/>
          <w:sz w:val="24"/>
          <w:szCs w:val="24"/>
        </w:rPr>
      </w:pPr>
      <w:r>
        <w:rPr>
          <w:rFonts w:hint="eastAsia" w:ascii="宋体" w:hAnsi="宋体"/>
          <w:sz w:val="24"/>
          <w:szCs w:val="24"/>
        </w:rPr>
        <w:t>6、钢筋接头错误</w:t>
      </w:r>
    </w:p>
    <w:p>
      <w:pPr>
        <w:spacing w:line="360" w:lineRule="auto"/>
        <w:ind w:firstLine="560" w:firstLineChars="200"/>
        <w:rPr>
          <w:rFonts w:hint="eastAsia" w:ascii="宋体" w:hAnsi="宋体"/>
          <w:sz w:val="24"/>
          <w:szCs w:val="24"/>
        </w:rPr>
      </w:pPr>
      <w:r>
        <w:rPr>
          <w:rFonts w:hint="eastAsia" w:ascii="宋体" w:hAnsi="宋体"/>
          <w:sz w:val="24"/>
          <w:szCs w:val="24"/>
        </w:rPr>
        <w:t>（1）接头绑、焊型式采用不当；</w:t>
      </w:r>
    </w:p>
    <w:p>
      <w:pPr>
        <w:spacing w:line="360" w:lineRule="auto"/>
        <w:ind w:firstLine="560" w:firstLineChars="200"/>
        <w:rPr>
          <w:rFonts w:hint="eastAsia" w:ascii="宋体" w:hAnsi="宋体"/>
          <w:sz w:val="24"/>
          <w:szCs w:val="24"/>
        </w:rPr>
      </w:pPr>
      <w:r>
        <w:rPr>
          <w:rFonts w:hint="eastAsia" w:ascii="宋体" w:hAnsi="宋体"/>
          <w:sz w:val="24"/>
          <w:szCs w:val="24"/>
        </w:rPr>
        <w:t>（2）搭接长度不足；</w:t>
      </w:r>
    </w:p>
    <w:p>
      <w:pPr>
        <w:spacing w:line="360" w:lineRule="auto"/>
        <w:ind w:firstLine="560" w:firstLineChars="200"/>
        <w:rPr>
          <w:rFonts w:hint="eastAsia" w:ascii="宋体" w:hAnsi="宋体"/>
          <w:sz w:val="24"/>
          <w:szCs w:val="24"/>
        </w:rPr>
      </w:pPr>
      <w:r>
        <w:rPr>
          <w:rFonts w:hint="eastAsia" w:ascii="宋体" w:hAnsi="宋体"/>
          <w:sz w:val="24"/>
          <w:szCs w:val="24"/>
        </w:rPr>
        <w:t>（3）错开接头的百分比不符合规范；</w:t>
      </w:r>
    </w:p>
    <w:p>
      <w:pPr>
        <w:spacing w:line="360" w:lineRule="auto"/>
        <w:ind w:firstLine="560" w:firstLineChars="200"/>
        <w:rPr>
          <w:rFonts w:hint="eastAsia" w:ascii="宋体" w:hAnsi="宋体"/>
          <w:sz w:val="24"/>
          <w:szCs w:val="24"/>
        </w:rPr>
      </w:pPr>
      <w:r>
        <w:rPr>
          <w:rFonts w:hint="eastAsia" w:ascii="宋体" w:hAnsi="宋体"/>
          <w:sz w:val="24"/>
          <w:szCs w:val="24"/>
        </w:rPr>
        <w:t>（4）接头位置不当；</w:t>
      </w:r>
    </w:p>
    <w:p>
      <w:pPr>
        <w:spacing w:line="360" w:lineRule="auto"/>
        <w:ind w:firstLine="560" w:firstLineChars="200"/>
        <w:rPr>
          <w:rFonts w:hint="eastAsia" w:ascii="宋体" w:hAnsi="宋体"/>
          <w:sz w:val="24"/>
          <w:szCs w:val="24"/>
        </w:rPr>
      </w:pPr>
      <w:r>
        <w:rPr>
          <w:rFonts w:hint="eastAsia" w:ascii="宋体" w:hAnsi="宋体"/>
          <w:sz w:val="24"/>
          <w:szCs w:val="24"/>
        </w:rPr>
        <w:t>（5）柱筋搭接接头处箍筋未加密；</w:t>
      </w:r>
    </w:p>
    <w:p>
      <w:pPr>
        <w:spacing w:line="360" w:lineRule="auto"/>
        <w:ind w:firstLine="560" w:firstLineChars="200"/>
        <w:rPr>
          <w:rFonts w:hint="eastAsia" w:ascii="宋体" w:hAnsi="宋体"/>
          <w:sz w:val="24"/>
          <w:szCs w:val="24"/>
        </w:rPr>
      </w:pPr>
      <w:r>
        <w:rPr>
          <w:rFonts w:hint="eastAsia" w:ascii="宋体" w:hAnsi="宋体"/>
          <w:sz w:val="24"/>
          <w:szCs w:val="24"/>
        </w:rPr>
        <w:t>7、钢筋锚固不符合、规范要求</w:t>
      </w:r>
    </w:p>
    <w:p>
      <w:pPr>
        <w:spacing w:line="360" w:lineRule="auto"/>
        <w:ind w:firstLine="560" w:firstLineChars="200"/>
        <w:rPr>
          <w:rFonts w:hint="eastAsia" w:ascii="宋体" w:hAnsi="宋体"/>
          <w:sz w:val="24"/>
          <w:szCs w:val="24"/>
        </w:rPr>
      </w:pPr>
      <w:r>
        <w:rPr>
          <w:rFonts w:hint="eastAsia" w:ascii="宋体" w:hAnsi="宋体"/>
          <w:sz w:val="24"/>
          <w:szCs w:val="24"/>
        </w:rPr>
        <w:t>（1）锚固长度不足；</w:t>
      </w:r>
    </w:p>
    <w:p>
      <w:pPr>
        <w:spacing w:line="360" w:lineRule="auto"/>
        <w:ind w:firstLine="560" w:firstLineChars="200"/>
        <w:rPr>
          <w:rFonts w:hint="eastAsia" w:ascii="宋体" w:hAnsi="宋体"/>
          <w:sz w:val="24"/>
          <w:szCs w:val="24"/>
        </w:rPr>
      </w:pPr>
      <w:r>
        <w:rPr>
          <w:rFonts w:hint="eastAsia" w:ascii="宋体" w:hAnsi="宋体"/>
          <w:sz w:val="24"/>
          <w:szCs w:val="24"/>
        </w:rPr>
        <w:t>（2）锚固形式不对。</w:t>
      </w:r>
    </w:p>
    <w:p>
      <w:pPr>
        <w:spacing w:line="360" w:lineRule="auto"/>
        <w:ind w:firstLine="560" w:firstLineChars="200"/>
        <w:rPr>
          <w:rFonts w:hint="eastAsia" w:ascii="宋体" w:hAnsi="宋体"/>
          <w:sz w:val="24"/>
          <w:szCs w:val="24"/>
        </w:rPr>
      </w:pPr>
      <w:r>
        <w:rPr>
          <w:rFonts w:hint="eastAsia" w:ascii="宋体" w:hAnsi="宋体"/>
          <w:sz w:val="24"/>
          <w:szCs w:val="24"/>
        </w:rPr>
        <w:t>8、钢筋绑扎不符合要求</w:t>
      </w:r>
    </w:p>
    <w:p>
      <w:pPr>
        <w:spacing w:line="360" w:lineRule="auto"/>
        <w:ind w:firstLine="560" w:firstLineChars="200"/>
        <w:rPr>
          <w:rFonts w:hint="eastAsia" w:ascii="宋体" w:hAnsi="宋体"/>
          <w:sz w:val="24"/>
          <w:szCs w:val="24"/>
        </w:rPr>
      </w:pPr>
      <w:r>
        <w:rPr>
          <w:rFonts w:hint="eastAsia" w:ascii="宋体" w:hAnsi="宋体"/>
          <w:sz w:val="24"/>
          <w:szCs w:val="24"/>
        </w:rPr>
        <w:t>（1）主筋未绑到位（四角主筋不贴箍筋角，中间主筋不贴箍筋）；</w:t>
      </w:r>
    </w:p>
    <w:p>
      <w:pPr>
        <w:spacing w:line="360" w:lineRule="auto"/>
        <w:ind w:firstLine="560" w:firstLineChars="200"/>
        <w:rPr>
          <w:rFonts w:hint="eastAsia" w:ascii="宋体" w:hAnsi="宋体"/>
          <w:sz w:val="24"/>
          <w:szCs w:val="24"/>
        </w:rPr>
      </w:pPr>
      <w:r>
        <w:rPr>
          <w:rFonts w:hint="eastAsia" w:ascii="宋体" w:hAnsi="宋体"/>
          <w:sz w:val="24"/>
          <w:szCs w:val="24"/>
        </w:rPr>
        <w:t>（2）主筋位置放反；</w:t>
      </w:r>
    </w:p>
    <w:p>
      <w:pPr>
        <w:spacing w:line="360" w:lineRule="auto"/>
        <w:ind w:firstLine="560" w:firstLineChars="200"/>
        <w:rPr>
          <w:rFonts w:hint="eastAsia" w:ascii="宋体" w:hAnsi="宋体"/>
          <w:sz w:val="24"/>
          <w:szCs w:val="24"/>
        </w:rPr>
      </w:pPr>
      <w:r>
        <w:rPr>
          <w:rFonts w:hint="eastAsia" w:ascii="宋体" w:hAnsi="宋体"/>
          <w:sz w:val="24"/>
          <w:szCs w:val="24"/>
        </w:rPr>
        <w:t>（3）不设定位箍筋，主筋跑位严重；</w:t>
      </w:r>
    </w:p>
    <w:p>
      <w:pPr>
        <w:spacing w:line="360" w:lineRule="auto"/>
        <w:ind w:firstLine="560" w:firstLineChars="200"/>
        <w:rPr>
          <w:rFonts w:hint="eastAsia" w:ascii="宋体" w:hAnsi="宋体"/>
          <w:sz w:val="24"/>
          <w:szCs w:val="24"/>
        </w:rPr>
      </w:pPr>
      <w:r>
        <w:rPr>
          <w:rFonts w:hint="eastAsia" w:ascii="宋体" w:hAnsi="宋体"/>
          <w:sz w:val="24"/>
          <w:szCs w:val="24"/>
        </w:rPr>
        <w:t>（4）板筋绑扎，花扣不符规范、缺扣、松扣；</w:t>
      </w:r>
    </w:p>
    <w:p>
      <w:pPr>
        <w:spacing w:line="360" w:lineRule="auto"/>
        <w:ind w:firstLine="560" w:firstLineChars="200"/>
        <w:rPr>
          <w:rFonts w:hint="eastAsia" w:ascii="宋体" w:hAnsi="宋体"/>
          <w:sz w:val="24"/>
          <w:szCs w:val="24"/>
        </w:rPr>
      </w:pPr>
      <w:r>
        <w:rPr>
          <w:rFonts w:hint="eastAsia" w:ascii="宋体" w:hAnsi="宋体"/>
          <w:sz w:val="24"/>
          <w:szCs w:val="24"/>
        </w:rPr>
        <w:t>（5）筛筋不垂直主筋，筘筋间距不匀，绑扎不牢，不贴主筋；</w:t>
      </w:r>
    </w:p>
    <w:p>
      <w:pPr>
        <w:spacing w:line="360" w:lineRule="auto"/>
        <w:ind w:firstLine="560" w:firstLineChars="200"/>
        <w:rPr>
          <w:rFonts w:hint="eastAsia" w:ascii="宋体" w:hAnsi="宋体"/>
          <w:sz w:val="24"/>
          <w:szCs w:val="24"/>
        </w:rPr>
      </w:pPr>
      <w:r>
        <w:rPr>
          <w:rFonts w:hint="eastAsia" w:ascii="宋体" w:hAnsi="宋体"/>
          <w:sz w:val="24"/>
          <w:szCs w:val="24"/>
        </w:rPr>
        <w:t>（6）柱主筋的弯钩朝向不对；</w:t>
      </w:r>
    </w:p>
    <w:p>
      <w:pPr>
        <w:spacing w:line="360" w:lineRule="auto"/>
        <w:ind w:firstLine="560" w:firstLineChars="200"/>
        <w:rPr>
          <w:rFonts w:hint="eastAsia" w:ascii="宋体" w:hAnsi="宋体"/>
          <w:sz w:val="24"/>
          <w:szCs w:val="24"/>
        </w:rPr>
      </w:pPr>
      <w:r>
        <w:rPr>
          <w:rFonts w:hint="eastAsia" w:ascii="宋体" w:hAnsi="宋体"/>
          <w:sz w:val="24"/>
          <w:szCs w:val="24"/>
        </w:rPr>
        <w:t>（7）钢筋接头不错开。</w:t>
      </w:r>
    </w:p>
    <w:p>
      <w:pPr>
        <w:spacing w:line="360" w:lineRule="auto"/>
        <w:ind w:firstLine="560" w:firstLineChars="200"/>
        <w:rPr>
          <w:rFonts w:hint="eastAsia" w:ascii="宋体" w:hAnsi="宋体"/>
          <w:sz w:val="24"/>
          <w:szCs w:val="24"/>
        </w:rPr>
      </w:pPr>
      <w:r>
        <w:rPr>
          <w:rFonts w:hint="eastAsia" w:ascii="宋体" w:hAnsi="宋体"/>
          <w:sz w:val="24"/>
          <w:szCs w:val="24"/>
        </w:rPr>
        <w:t>9、钢筋保护层不符合要求</w:t>
      </w:r>
    </w:p>
    <w:p>
      <w:pPr>
        <w:spacing w:line="360" w:lineRule="auto"/>
        <w:ind w:firstLine="560" w:firstLineChars="200"/>
        <w:rPr>
          <w:rFonts w:hint="eastAsia" w:ascii="宋体" w:hAnsi="宋体"/>
          <w:sz w:val="24"/>
          <w:szCs w:val="24"/>
        </w:rPr>
      </w:pPr>
      <w:r>
        <w:rPr>
          <w:rFonts w:hint="eastAsia" w:ascii="宋体" w:hAnsi="宋体"/>
          <w:sz w:val="24"/>
          <w:szCs w:val="24"/>
        </w:rPr>
        <w:t>10、有焊接要求的钢筋未做焊接试验。</w:t>
      </w:r>
    </w:p>
    <w:p>
      <w:pPr>
        <w:spacing w:line="360" w:lineRule="auto"/>
        <w:ind w:firstLine="560" w:firstLineChars="200"/>
        <w:rPr>
          <w:rFonts w:hint="eastAsia" w:ascii="宋体" w:hAnsi="宋体"/>
          <w:sz w:val="24"/>
          <w:szCs w:val="24"/>
        </w:rPr>
      </w:pPr>
      <w:r>
        <w:rPr>
          <w:rFonts w:hint="eastAsia" w:ascii="宋体" w:hAnsi="宋体"/>
          <w:sz w:val="24"/>
          <w:szCs w:val="24"/>
        </w:rPr>
        <w:t>11、焊工无合格证，或焊工不符合施焊条件。</w:t>
      </w:r>
    </w:p>
    <w:p>
      <w:pPr>
        <w:spacing w:line="360" w:lineRule="auto"/>
        <w:ind w:firstLine="560" w:firstLineChars="200"/>
        <w:rPr>
          <w:rFonts w:hint="eastAsia" w:ascii="宋体" w:hAnsi="宋体"/>
          <w:sz w:val="24"/>
          <w:szCs w:val="24"/>
        </w:rPr>
      </w:pPr>
      <w:r>
        <w:rPr>
          <w:rFonts w:hint="eastAsia" w:ascii="宋体" w:hAnsi="宋体"/>
          <w:sz w:val="24"/>
          <w:szCs w:val="24"/>
        </w:rPr>
        <w:t>12、未按规范规定在现场截取试件试验。</w:t>
      </w:r>
    </w:p>
    <w:p>
      <w:pPr>
        <w:spacing w:line="360" w:lineRule="auto"/>
        <w:ind w:firstLine="560" w:firstLineChars="200"/>
        <w:rPr>
          <w:rFonts w:hint="eastAsia" w:ascii="宋体" w:hAnsi="宋体"/>
          <w:sz w:val="24"/>
          <w:szCs w:val="24"/>
        </w:rPr>
      </w:pPr>
      <w:r>
        <w:rPr>
          <w:rFonts w:hint="eastAsia" w:ascii="宋体" w:hAnsi="宋体"/>
          <w:sz w:val="24"/>
          <w:szCs w:val="24"/>
        </w:rPr>
        <w:t>13、焊接不按规定</w:t>
      </w:r>
    </w:p>
    <w:p>
      <w:pPr>
        <w:spacing w:line="360" w:lineRule="auto"/>
        <w:ind w:firstLine="560" w:firstLineChars="200"/>
        <w:rPr>
          <w:rFonts w:hint="eastAsia" w:ascii="宋体" w:hAnsi="宋体"/>
          <w:sz w:val="24"/>
          <w:szCs w:val="24"/>
        </w:rPr>
      </w:pPr>
      <w:r>
        <w:rPr>
          <w:rFonts w:hint="eastAsia" w:ascii="宋体" w:hAnsi="宋体"/>
          <w:sz w:val="24"/>
          <w:szCs w:val="24"/>
        </w:rPr>
        <w:t>（1）焊接钢筋清理不好，未认真选择好参数（应作工艺试验）；</w:t>
      </w:r>
    </w:p>
    <w:p>
      <w:pPr>
        <w:spacing w:line="360" w:lineRule="auto"/>
        <w:ind w:firstLine="560" w:firstLineChars="200"/>
        <w:rPr>
          <w:rFonts w:hint="eastAsia" w:ascii="宋体" w:hAnsi="宋体"/>
          <w:sz w:val="24"/>
          <w:szCs w:val="24"/>
        </w:rPr>
      </w:pPr>
      <w:r>
        <w:rPr>
          <w:rFonts w:hint="eastAsia" w:ascii="宋体" w:hAnsi="宋体"/>
          <w:sz w:val="24"/>
          <w:szCs w:val="24"/>
        </w:rPr>
        <w:t>（2）对接焊头的端头不垂直、不平整；</w:t>
      </w:r>
    </w:p>
    <w:p>
      <w:pPr>
        <w:spacing w:line="360" w:lineRule="auto"/>
        <w:ind w:firstLine="560" w:firstLineChars="200"/>
        <w:rPr>
          <w:rFonts w:hint="eastAsia" w:ascii="宋体" w:hAnsi="宋体"/>
          <w:sz w:val="24"/>
          <w:szCs w:val="24"/>
        </w:rPr>
      </w:pPr>
      <w:r>
        <w:rPr>
          <w:rFonts w:hint="eastAsia" w:ascii="宋体" w:hAnsi="宋体"/>
          <w:sz w:val="24"/>
          <w:szCs w:val="24"/>
        </w:rPr>
        <w:t>（3）焊接接头错开百分比不对，距弯点不对（应＞10</w:t>
      </w:r>
      <w:r>
        <w:rPr>
          <w:rFonts w:ascii="宋体" w:hAnsi="宋体"/>
          <w:sz w:val="24"/>
          <w:szCs w:val="24"/>
        </w:rPr>
        <w:t>d</w:t>
      </w:r>
      <w:r>
        <w:rPr>
          <w:rFonts w:hint="eastAsia" w:ascii="宋体" w:hAnsi="宋体"/>
          <w:sz w:val="24"/>
          <w:szCs w:val="24"/>
        </w:rPr>
        <w:t>）；</w:t>
      </w:r>
    </w:p>
    <w:p>
      <w:pPr>
        <w:ind w:firstLine="560" w:firstLineChars="200"/>
        <w:rPr>
          <w:rFonts w:hint="eastAsia" w:ascii="宋体" w:hAnsi="宋体"/>
          <w:b/>
          <w:bCs/>
          <w:sz w:val="28"/>
        </w:rPr>
      </w:pPr>
      <w:r>
        <w:rPr>
          <w:rFonts w:hint="eastAsia" w:ascii="宋体" w:hAnsi="宋体"/>
          <w:b/>
          <w:bCs/>
          <w:sz w:val="28"/>
        </w:rPr>
        <w:t>（二）钢筋工程的监理质量控制</w:t>
      </w:r>
    </w:p>
    <w:p>
      <w:pPr>
        <w:spacing w:line="360" w:lineRule="auto"/>
        <w:ind w:firstLine="560" w:firstLineChars="200"/>
        <w:rPr>
          <w:rFonts w:hint="eastAsia" w:ascii="宋体" w:hAnsi="宋体"/>
          <w:sz w:val="24"/>
          <w:szCs w:val="24"/>
        </w:rPr>
      </w:pPr>
      <w:r>
        <w:rPr>
          <w:rFonts w:hint="eastAsia" w:ascii="宋体" w:hAnsi="宋体"/>
          <w:sz w:val="24"/>
          <w:szCs w:val="24"/>
        </w:rPr>
        <w:t>1、钢筋原材的质量控制</w:t>
      </w:r>
    </w:p>
    <w:p>
      <w:pPr>
        <w:spacing w:line="360" w:lineRule="auto"/>
        <w:ind w:firstLine="560" w:firstLineChars="200"/>
        <w:rPr>
          <w:rFonts w:hint="eastAsia" w:ascii="宋体" w:hAnsi="宋体"/>
          <w:sz w:val="24"/>
          <w:szCs w:val="24"/>
        </w:rPr>
      </w:pPr>
      <w:r>
        <w:rPr>
          <w:rFonts w:hint="eastAsia" w:ascii="宋体" w:hAnsi="宋体"/>
          <w:sz w:val="24"/>
          <w:szCs w:val="24"/>
        </w:rPr>
        <w:t>（1）审查施工单位报送的钢筋出厂质量证明书及材质报告单，如为复印件，应加盖原件所在单位的印章。</w:t>
      </w:r>
    </w:p>
    <w:p>
      <w:pPr>
        <w:spacing w:line="360" w:lineRule="auto"/>
        <w:ind w:firstLine="560" w:firstLineChars="200"/>
        <w:rPr>
          <w:rFonts w:hint="eastAsia" w:ascii="宋体" w:hAnsi="宋体"/>
          <w:sz w:val="24"/>
          <w:szCs w:val="24"/>
        </w:rPr>
      </w:pPr>
      <w:r>
        <w:rPr>
          <w:rFonts w:hint="eastAsia" w:ascii="宋体" w:hAnsi="宋体"/>
          <w:sz w:val="24"/>
          <w:szCs w:val="24"/>
        </w:rPr>
        <w:t>（2）钢筋进入现场后，监理工程师应进行外观检查。外观检查不符合要求的，应勒令施工单位将其清退出场。</w:t>
      </w:r>
    </w:p>
    <w:p>
      <w:pPr>
        <w:spacing w:line="360" w:lineRule="auto"/>
        <w:ind w:firstLine="560" w:firstLineChars="200"/>
        <w:rPr>
          <w:rFonts w:hint="eastAsia" w:ascii="宋体" w:hAnsi="宋体"/>
          <w:sz w:val="24"/>
          <w:szCs w:val="24"/>
        </w:rPr>
      </w:pPr>
      <w:r>
        <w:rPr>
          <w:rFonts w:hint="eastAsia" w:ascii="宋体" w:hAnsi="宋体"/>
          <w:sz w:val="24"/>
          <w:szCs w:val="24"/>
        </w:rPr>
        <w:t>（3）钢筋在加工过程中，如发现脆断、焊接性能不良或力学性能显著不正常等现象，应要求施工单位根据现行国家标准对该批钢筋进行化学成分检验或其他专项检验。</w:t>
      </w:r>
    </w:p>
    <w:p>
      <w:pPr>
        <w:spacing w:line="360" w:lineRule="auto"/>
        <w:ind w:firstLine="560" w:firstLineChars="200"/>
        <w:rPr>
          <w:rFonts w:hint="eastAsia" w:ascii="宋体" w:hAnsi="宋体"/>
          <w:sz w:val="24"/>
          <w:szCs w:val="24"/>
        </w:rPr>
      </w:pPr>
      <w:r>
        <w:rPr>
          <w:rFonts w:hint="eastAsia" w:ascii="宋体" w:hAnsi="宋体"/>
          <w:sz w:val="24"/>
          <w:szCs w:val="24"/>
        </w:rPr>
        <w:t>（4）监理工程师审查施工单位报送的钢筋复验报告，对于复试不合格的钢筋应责令施工单位清理出现场。</w:t>
      </w:r>
    </w:p>
    <w:p>
      <w:pPr>
        <w:spacing w:line="360" w:lineRule="auto"/>
        <w:ind w:firstLine="560" w:firstLineChars="200"/>
        <w:rPr>
          <w:rFonts w:hint="eastAsia" w:ascii="宋体" w:hAnsi="宋体"/>
          <w:sz w:val="24"/>
          <w:szCs w:val="24"/>
        </w:rPr>
      </w:pPr>
      <w:r>
        <w:rPr>
          <w:rFonts w:hint="eastAsia" w:ascii="宋体" w:hAnsi="宋体"/>
          <w:sz w:val="24"/>
          <w:szCs w:val="24"/>
        </w:rPr>
        <w:t>（5）监理工程师对单位工程钢筋须实行有见证取样和送检制度，次数不得少于试验总数的30%。</w:t>
      </w:r>
    </w:p>
    <w:p>
      <w:pPr>
        <w:spacing w:line="360" w:lineRule="auto"/>
        <w:ind w:firstLine="560" w:firstLineChars="200"/>
        <w:rPr>
          <w:rFonts w:hint="eastAsia" w:ascii="宋体" w:hAnsi="宋体"/>
          <w:sz w:val="24"/>
          <w:szCs w:val="24"/>
        </w:rPr>
      </w:pPr>
      <w:r>
        <w:rPr>
          <w:rFonts w:hint="eastAsia" w:ascii="宋体" w:hAnsi="宋体"/>
          <w:sz w:val="24"/>
          <w:szCs w:val="24"/>
        </w:rPr>
        <w:t>2、监理工程师在巡检过程中，应要求焊工持证上岗，并进行抽查，检查合格后方可进行正式钢筋焊接。</w:t>
      </w:r>
    </w:p>
    <w:p>
      <w:pPr>
        <w:spacing w:line="360" w:lineRule="auto"/>
        <w:ind w:firstLine="560" w:firstLineChars="200"/>
        <w:rPr>
          <w:rFonts w:hint="eastAsia" w:ascii="宋体" w:hAnsi="宋体"/>
          <w:sz w:val="24"/>
          <w:szCs w:val="24"/>
        </w:rPr>
      </w:pPr>
      <w:r>
        <w:rPr>
          <w:rFonts w:hint="eastAsia" w:ascii="宋体" w:hAnsi="宋体"/>
          <w:sz w:val="24"/>
          <w:szCs w:val="24"/>
        </w:rPr>
        <w:t>3、监理工程师必须充分熟悉设计图纸，明确各结构部位设计钢筋的品种、规格、绑扎或焊接要求，特别应注意结构某些部位配筋的特殊处理，对有关配筋变化的图纸会审记录和设计变更通知单，应及时标注在相应的结构施工图上。</w:t>
      </w:r>
    </w:p>
    <w:p>
      <w:pPr>
        <w:spacing w:line="360" w:lineRule="auto"/>
        <w:ind w:firstLine="560" w:firstLineChars="200"/>
        <w:rPr>
          <w:rFonts w:hint="eastAsia" w:ascii="宋体" w:hAnsi="宋体"/>
          <w:sz w:val="24"/>
          <w:szCs w:val="24"/>
        </w:rPr>
      </w:pPr>
      <w:r>
        <w:rPr>
          <w:rFonts w:hint="eastAsia" w:ascii="宋体" w:hAnsi="宋体"/>
          <w:sz w:val="24"/>
          <w:szCs w:val="24"/>
        </w:rPr>
        <w:t>4、对钢筋焊接或机械连接进行外观检验，不合格的要求进行返工。审查施工单位报送的钢筋焊接或机械连接接头的机械性能试验报告单（应按规范要求批量进行），对于不符合规范要求的应责令施工单位进行返工处理。</w:t>
      </w:r>
    </w:p>
    <w:p>
      <w:pPr>
        <w:spacing w:line="360" w:lineRule="auto"/>
        <w:ind w:firstLine="560" w:firstLineChars="200"/>
        <w:rPr>
          <w:rFonts w:hint="eastAsia" w:ascii="宋体" w:hAnsi="宋体"/>
          <w:sz w:val="24"/>
          <w:szCs w:val="24"/>
        </w:rPr>
      </w:pPr>
      <w:r>
        <w:rPr>
          <w:rFonts w:hint="eastAsia" w:ascii="宋体" w:hAnsi="宋体"/>
          <w:sz w:val="24"/>
          <w:szCs w:val="24"/>
        </w:rPr>
        <w:t>5、在钢筋绑扎过程中，监理工程师应到现场巡视，发现问题，及时以监理通知形式通知书施工单位改正。</w:t>
      </w:r>
    </w:p>
    <w:p>
      <w:pPr>
        <w:spacing w:line="360" w:lineRule="auto"/>
        <w:ind w:firstLine="560" w:firstLineChars="200"/>
        <w:rPr>
          <w:rFonts w:hint="eastAsia" w:ascii="宋体" w:hAnsi="宋体"/>
          <w:sz w:val="24"/>
          <w:szCs w:val="24"/>
        </w:rPr>
      </w:pPr>
      <w:r>
        <w:rPr>
          <w:rFonts w:hint="eastAsia" w:ascii="宋体" w:hAnsi="宋体"/>
          <w:sz w:val="24"/>
          <w:szCs w:val="24"/>
        </w:rPr>
        <w:t>6、在施工单位质检合格的基础上，对施工单位报验的部位进行隐蔽工程验收。</w:t>
      </w:r>
    </w:p>
    <w:p>
      <w:pPr>
        <w:spacing w:line="360" w:lineRule="auto"/>
        <w:ind w:firstLine="560" w:firstLineChars="200"/>
        <w:rPr>
          <w:rFonts w:hint="eastAsia" w:ascii="宋体" w:hAnsi="宋体"/>
          <w:sz w:val="24"/>
          <w:szCs w:val="24"/>
        </w:rPr>
      </w:pPr>
      <w:r>
        <w:rPr>
          <w:rFonts w:hint="eastAsia" w:ascii="宋体" w:hAnsi="宋体"/>
          <w:sz w:val="24"/>
          <w:szCs w:val="24"/>
        </w:rPr>
        <w:t>7、对于以下几点构造措施，监理工程师应加强检查；</w:t>
      </w:r>
    </w:p>
    <w:p>
      <w:pPr>
        <w:spacing w:line="360" w:lineRule="auto"/>
        <w:ind w:firstLine="560" w:firstLineChars="200"/>
        <w:rPr>
          <w:rFonts w:hint="eastAsia" w:ascii="宋体" w:hAnsi="宋体"/>
          <w:sz w:val="24"/>
          <w:szCs w:val="24"/>
        </w:rPr>
      </w:pPr>
      <w:r>
        <w:rPr>
          <w:rFonts w:hint="eastAsia" w:ascii="宋体" w:hAnsi="宋体"/>
          <w:sz w:val="24"/>
          <w:szCs w:val="24"/>
        </w:rPr>
        <w:t>（1）柱根部第一道箍筋应放在离结构箍筋区长度不应小于500</w:t>
      </w:r>
      <w:r>
        <w:rPr>
          <w:rFonts w:ascii="宋体" w:hAnsi="宋体"/>
          <w:sz w:val="24"/>
          <w:szCs w:val="24"/>
        </w:rPr>
        <w:t>mm</w:t>
      </w:r>
      <w:r>
        <w:rPr>
          <w:rFonts w:hint="eastAsia" w:ascii="宋体" w:hAnsi="宋体"/>
          <w:sz w:val="24"/>
          <w:szCs w:val="24"/>
        </w:rPr>
        <w:t>。</w:t>
      </w:r>
    </w:p>
    <w:p>
      <w:pPr>
        <w:spacing w:line="360" w:lineRule="auto"/>
        <w:ind w:firstLine="560" w:firstLineChars="200"/>
        <w:rPr>
          <w:rFonts w:hint="eastAsia" w:ascii="宋体" w:hAnsi="宋体"/>
          <w:sz w:val="24"/>
          <w:szCs w:val="24"/>
        </w:rPr>
      </w:pPr>
      <w:r>
        <w:rPr>
          <w:rFonts w:hint="eastAsia" w:ascii="宋体" w:hAnsi="宋体"/>
          <w:sz w:val="24"/>
          <w:szCs w:val="24"/>
        </w:rPr>
        <w:t>（2）筋保护层的垫块强度、厚度、位置应符合设计及规范要求。</w:t>
      </w:r>
    </w:p>
    <w:p>
      <w:pPr>
        <w:spacing w:line="360" w:lineRule="auto"/>
        <w:ind w:firstLine="560" w:firstLineChars="200"/>
        <w:rPr>
          <w:rFonts w:hint="eastAsia" w:ascii="宋体" w:hAnsi="宋体"/>
          <w:sz w:val="24"/>
          <w:szCs w:val="24"/>
        </w:rPr>
      </w:pPr>
      <w:r>
        <w:rPr>
          <w:rFonts w:hint="eastAsia" w:ascii="宋体" w:hAnsi="宋体"/>
          <w:sz w:val="24"/>
          <w:szCs w:val="24"/>
        </w:rPr>
        <w:t>（4）预埋件、预留孔洞的位置应正确、固定可靠，孔洞周边钢筋加固符合设计要求。</w:t>
      </w:r>
    </w:p>
    <w:p>
      <w:pPr>
        <w:spacing w:line="360" w:lineRule="auto"/>
        <w:ind w:firstLine="560" w:firstLineChars="200"/>
        <w:rPr>
          <w:rFonts w:hint="eastAsia" w:ascii="宋体" w:hAnsi="宋体"/>
          <w:sz w:val="24"/>
          <w:szCs w:val="24"/>
        </w:rPr>
      </w:pPr>
      <w:r>
        <w:rPr>
          <w:rFonts w:hint="eastAsia" w:ascii="宋体" w:hAnsi="宋体"/>
          <w:sz w:val="24"/>
          <w:szCs w:val="24"/>
        </w:rPr>
        <w:t>8、浇筑混凝土前，监理工程师应二次验筋，如有问题及时通知施工单位，修整合格后方可浇筑混凝土。</w:t>
      </w:r>
    </w:p>
    <w:p>
      <w:pPr>
        <w:rPr>
          <w:rFonts w:hint="eastAsia" w:ascii="宋体" w:hAnsi="宋体"/>
          <w:b/>
          <w:bCs/>
          <w:sz w:val="28"/>
        </w:rPr>
      </w:pPr>
      <w:r>
        <w:rPr>
          <w:rFonts w:hint="eastAsia" w:ascii="宋体" w:hAnsi="宋体"/>
          <w:b/>
          <w:bCs/>
          <w:sz w:val="28"/>
        </w:rPr>
        <w:t>【三】模板工程</w:t>
      </w:r>
    </w:p>
    <w:p>
      <w:pPr>
        <w:rPr>
          <w:rFonts w:hint="eastAsia" w:ascii="宋体" w:hAnsi="宋体"/>
          <w:b/>
          <w:bCs/>
          <w:sz w:val="28"/>
        </w:rPr>
      </w:pPr>
      <w:r>
        <w:rPr>
          <w:rFonts w:hint="eastAsia" w:ascii="宋体" w:hAnsi="宋体"/>
          <w:b/>
          <w:bCs/>
          <w:sz w:val="28"/>
        </w:rPr>
        <w:t>一、专业工程特点：</w:t>
      </w:r>
    </w:p>
    <w:p>
      <w:pPr>
        <w:spacing w:line="360" w:lineRule="auto"/>
        <w:ind w:firstLine="560" w:firstLineChars="200"/>
        <w:rPr>
          <w:rFonts w:hint="eastAsia" w:ascii="宋体" w:hAnsi="宋体"/>
          <w:sz w:val="24"/>
          <w:szCs w:val="24"/>
        </w:rPr>
      </w:pPr>
      <w:r>
        <w:rPr>
          <w:rFonts w:hint="eastAsia" w:ascii="宋体" w:hAnsi="宋体"/>
          <w:sz w:val="24"/>
          <w:szCs w:val="24"/>
        </w:rPr>
        <w:t>本工程预制钢筋砼基础每个规格预制构件拟定制20-30套模具轮流周转使用，故主要控制所选用材料的强度、刚度及几何尺寸必须符合图纸设计和规范要求；现浇的基础模板采用的主要材料为：钢管、扣件、木方、木模板、木胶合板、脱模剂。</w:t>
      </w:r>
    </w:p>
    <w:p>
      <w:pPr>
        <w:rPr>
          <w:rFonts w:hint="eastAsia" w:ascii="宋体" w:hAnsi="宋体"/>
          <w:b/>
          <w:bCs/>
          <w:sz w:val="28"/>
        </w:rPr>
      </w:pPr>
      <w:r>
        <w:rPr>
          <w:rFonts w:hint="eastAsia" w:ascii="宋体" w:hAnsi="宋体"/>
          <w:b/>
          <w:bCs/>
          <w:sz w:val="28"/>
        </w:rPr>
        <w:t>二、编制依据：</w:t>
      </w:r>
    </w:p>
    <w:p>
      <w:pPr>
        <w:spacing w:line="360" w:lineRule="auto"/>
        <w:ind w:firstLine="560" w:firstLineChars="200"/>
        <w:rPr>
          <w:rFonts w:hint="eastAsia" w:ascii="宋体" w:hAnsi="宋体"/>
          <w:sz w:val="24"/>
          <w:szCs w:val="24"/>
        </w:rPr>
      </w:pPr>
      <w:r>
        <w:rPr>
          <w:rFonts w:hint="eastAsia" w:ascii="宋体" w:hAnsi="宋体"/>
          <w:sz w:val="24"/>
          <w:szCs w:val="24"/>
        </w:rPr>
        <w:t>1、《建设工程监理规范》（GB50319-2000）</w:t>
      </w:r>
    </w:p>
    <w:p>
      <w:pPr>
        <w:spacing w:line="360" w:lineRule="auto"/>
        <w:ind w:firstLine="560" w:firstLineChars="200"/>
        <w:rPr>
          <w:rFonts w:hint="eastAsia" w:ascii="宋体" w:hAnsi="宋体"/>
          <w:sz w:val="24"/>
          <w:szCs w:val="24"/>
        </w:rPr>
      </w:pPr>
      <w:r>
        <w:rPr>
          <w:rFonts w:hint="eastAsia" w:ascii="宋体" w:hAnsi="宋体"/>
          <w:sz w:val="24"/>
          <w:szCs w:val="24"/>
        </w:rPr>
        <w:t>2、《工程建设标准强制性条文》（房屋建筑部分）</w:t>
      </w:r>
    </w:p>
    <w:p>
      <w:pPr>
        <w:spacing w:line="360" w:lineRule="auto"/>
        <w:ind w:firstLine="560" w:firstLineChars="200"/>
        <w:rPr>
          <w:rFonts w:hint="eastAsia" w:ascii="宋体" w:hAnsi="宋体"/>
          <w:sz w:val="24"/>
          <w:szCs w:val="24"/>
        </w:rPr>
      </w:pPr>
      <w:r>
        <w:rPr>
          <w:rFonts w:hint="eastAsia" w:ascii="宋体" w:hAnsi="宋体"/>
          <w:sz w:val="24"/>
          <w:szCs w:val="24"/>
        </w:rPr>
        <w:t>3、《建筑工程施工质量验收统一标准》（GB50300-2001）</w:t>
      </w:r>
    </w:p>
    <w:p>
      <w:pPr>
        <w:spacing w:line="360" w:lineRule="auto"/>
        <w:ind w:firstLine="560" w:firstLineChars="200"/>
        <w:rPr>
          <w:rFonts w:hint="eastAsia" w:ascii="宋体" w:hAnsi="宋体"/>
          <w:sz w:val="24"/>
          <w:szCs w:val="24"/>
        </w:rPr>
      </w:pPr>
      <w:r>
        <w:rPr>
          <w:rFonts w:hint="eastAsia" w:ascii="宋体" w:hAnsi="宋体"/>
          <w:sz w:val="24"/>
          <w:szCs w:val="24"/>
        </w:rPr>
        <w:t>4、《混凝土结构工程施工质量验收规范》（GB50204-2002）</w:t>
      </w:r>
    </w:p>
    <w:p>
      <w:pPr>
        <w:spacing w:line="360" w:lineRule="auto"/>
        <w:ind w:firstLine="560" w:firstLineChars="200"/>
        <w:rPr>
          <w:rFonts w:hint="eastAsia" w:ascii="宋体" w:hAnsi="宋体"/>
          <w:sz w:val="24"/>
          <w:szCs w:val="24"/>
        </w:rPr>
      </w:pPr>
      <w:r>
        <w:rPr>
          <w:rFonts w:hint="eastAsia" w:ascii="宋体" w:hAnsi="宋体"/>
          <w:sz w:val="24"/>
          <w:szCs w:val="24"/>
        </w:rPr>
        <w:t>5、《房屋建筑工程施工旁站监理管理办法（试行）》（建市[2002]189号）</w:t>
      </w:r>
    </w:p>
    <w:p>
      <w:pPr>
        <w:spacing w:line="360" w:lineRule="auto"/>
        <w:ind w:firstLine="560" w:firstLineChars="200"/>
        <w:rPr>
          <w:rFonts w:hint="eastAsia" w:ascii="宋体" w:hAnsi="宋体"/>
          <w:sz w:val="24"/>
          <w:szCs w:val="24"/>
        </w:rPr>
      </w:pPr>
      <w:r>
        <w:rPr>
          <w:rFonts w:hint="eastAsia" w:ascii="宋体" w:hAnsi="宋体"/>
          <w:sz w:val="24"/>
          <w:szCs w:val="24"/>
        </w:rPr>
        <w:t>6、</w:t>
      </w:r>
      <w:r>
        <w:rPr>
          <w:rFonts w:hint="eastAsia"/>
          <w:sz w:val="24"/>
          <w:szCs w:val="24"/>
        </w:rPr>
        <w:t>建设单位提供的光伏并网发电项目</w:t>
      </w:r>
      <w:r>
        <w:rPr>
          <w:rFonts w:hint="eastAsia" w:ascii="宋体" w:hAnsi="宋体"/>
          <w:sz w:val="24"/>
          <w:szCs w:val="24"/>
        </w:rPr>
        <w:t>施工图。</w:t>
      </w:r>
    </w:p>
    <w:p>
      <w:pPr>
        <w:spacing w:line="360" w:lineRule="auto"/>
        <w:ind w:firstLine="560" w:firstLineChars="200"/>
        <w:rPr>
          <w:rFonts w:hint="eastAsia" w:ascii="宋体" w:hAnsi="宋体"/>
          <w:sz w:val="24"/>
          <w:szCs w:val="24"/>
        </w:rPr>
      </w:pPr>
      <w:r>
        <w:rPr>
          <w:rFonts w:hint="eastAsia" w:ascii="宋体" w:hAnsi="宋体"/>
          <w:sz w:val="24"/>
          <w:szCs w:val="24"/>
        </w:rPr>
        <w:t>7、《监理规划》。</w:t>
      </w:r>
    </w:p>
    <w:p>
      <w:pPr>
        <w:spacing w:line="360" w:lineRule="auto"/>
        <w:ind w:firstLine="560" w:firstLineChars="200"/>
        <w:rPr>
          <w:rFonts w:hint="eastAsia" w:ascii="宋体" w:hAnsi="宋体"/>
          <w:sz w:val="24"/>
          <w:szCs w:val="24"/>
        </w:rPr>
      </w:pPr>
      <w:r>
        <w:rPr>
          <w:rFonts w:hint="eastAsia" w:ascii="宋体" w:hAnsi="宋体"/>
          <w:sz w:val="24"/>
          <w:szCs w:val="24"/>
        </w:rPr>
        <w:t>8、承包方报审的《施工组织设计》、相关《施工方案》</w:t>
      </w:r>
    </w:p>
    <w:p>
      <w:pPr>
        <w:rPr>
          <w:rFonts w:hint="eastAsia" w:ascii="宋体" w:hAnsi="宋体"/>
          <w:b/>
          <w:bCs/>
          <w:sz w:val="28"/>
        </w:rPr>
      </w:pPr>
      <w:r>
        <w:rPr>
          <w:rFonts w:hint="eastAsia" w:ascii="宋体" w:hAnsi="宋体"/>
          <w:b/>
          <w:bCs/>
          <w:sz w:val="28"/>
        </w:rPr>
        <w:t>三、模板工程的材料要求：</w:t>
      </w:r>
    </w:p>
    <w:p>
      <w:pPr>
        <w:spacing w:line="360" w:lineRule="auto"/>
        <w:ind w:firstLine="560" w:firstLineChars="200"/>
        <w:rPr>
          <w:rFonts w:hint="eastAsia" w:ascii="宋体" w:hAnsi="宋体"/>
          <w:sz w:val="24"/>
          <w:szCs w:val="24"/>
        </w:rPr>
      </w:pPr>
      <w:r>
        <w:rPr>
          <w:rFonts w:hint="eastAsia" w:ascii="宋体" w:hAnsi="宋体"/>
          <w:sz w:val="24"/>
          <w:szCs w:val="24"/>
        </w:rPr>
        <w:t>1、木模板</w:t>
      </w:r>
    </w:p>
    <w:p>
      <w:pPr>
        <w:spacing w:line="360" w:lineRule="auto"/>
        <w:ind w:firstLine="560" w:firstLineChars="200"/>
        <w:rPr>
          <w:rFonts w:hint="eastAsia" w:ascii="宋体" w:hAnsi="宋体"/>
          <w:sz w:val="24"/>
          <w:szCs w:val="24"/>
        </w:rPr>
      </w:pPr>
      <w:r>
        <w:rPr>
          <w:rFonts w:hint="eastAsia" w:ascii="宋体" w:hAnsi="宋体"/>
          <w:sz w:val="24"/>
          <w:szCs w:val="24"/>
        </w:rPr>
        <w:t>木模板及木支撑所用木料应选用质地优良、无腐朽的松木和杉木，不宜低于Ⅲ等材，其含水率应小于25%。已经腐朽的木料，扭曲或开裂十分厉害的木料，脆性的木料和过分潮湿而容易引起变形的木料，均不得使用。</w:t>
      </w:r>
    </w:p>
    <w:p>
      <w:pPr>
        <w:spacing w:line="360" w:lineRule="auto"/>
        <w:ind w:firstLine="560" w:firstLineChars="200"/>
        <w:rPr>
          <w:rFonts w:hint="eastAsia" w:ascii="宋体" w:hAnsi="宋体"/>
          <w:sz w:val="24"/>
          <w:szCs w:val="24"/>
        </w:rPr>
      </w:pPr>
      <w:r>
        <w:rPr>
          <w:rFonts w:hint="eastAsia" w:ascii="宋体" w:hAnsi="宋体"/>
          <w:sz w:val="24"/>
          <w:szCs w:val="24"/>
        </w:rPr>
        <w:t>木模板在拼制时，板边应找平刨直，拼缝严密。</w:t>
      </w:r>
    </w:p>
    <w:p>
      <w:pPr>
        <w:spacing w:line="360" w:lineRule="auto"/>
        <w:ind w:firstLine="560" w:firstLineChars="200"/>
        <w:rPr>
          <w:rFonts w:hint="eastAsia" w:ascii="宋体" w:hAnsi="宋体"/>
          <w:sz w:val="24"/>
          <w:szCs w:val="24"/>
        </w:rPr>
      </w:pPr>
      <w:r>
        <w:rPr>
          <w:rFonts w:hint="eastAsia" w:ascii="宋体" w:hAnsi="宋体"/>
          <w:sz w:val="24"/>
          <w:szCs w:val="24"/>
        </w:rPr>
        <w:t>板材和方材要求四角方正、尺寸一致。</w:t>
      </w:r>
    </w:p>
    <w:p>
      <w:pPr>
        <w:spacing w:line="360" w:lineRule="auto"/>
        <w:ind w:firstLine="560" w:firstLineChars="200"/>
        <w:rPr>
          <w:rFonts w:hint="eastAsia" w:ascii="宋体" w:hAnsi="宋体"/>
          <w:sz w:val="24"/>
          <w:szCs w:val="24"/>
        </w:rPr>
      </w:pPr>
      <w:r>
        <w:rPr>
          <w:rFonts w:hint="eastAsia" w:ascii="宋体" w:hAnsi="宋体"/>
          <w:sz w:val="24"/>
          <w:szCs w:val="24"/>
        </w:rPr>
        <w:t>顶撑、横楞、牵杠、围箍等应用坚硬、挺直的木料，其配置尺寸除必须满足模板设计要求外，还应注意通用性。</w:t>
      </w:r>
    </w:p>
    <w:p>
      <w:pPr>
        <w:spacing w:line="360" w:lineRule="auto"/>
        <w:ind w:firstLine="560" w:firstLineChars="200"/>
        <w:rPr>
          <w:rFonts w:hint="eastAsia" w:ascii="宋体" w:hAnsi="宋体"/>
          <w:sz w:val="24"/>
          <w:szCs w:val="24"/>
        </w:rPr>
      </w:pPr>
      <w:r>
        <w:rPr>
          <w:rFonts w:hint="eastAsia" w:ascii="宋体" w:hAnsi="宋体"/>
          <w:sz w:val="24"/>
          <w:szCs w:val="24"/>
        </w:rPr>
        <w:t>2、木胶合板模板</w:t>
      </w:r>
    </w:p>
    <w:p>
      <w:pPr>
        <w:spacing w:line="360" w:lineRule="auto"/>
        <w:ind w:firstLine="560" w:firstLineChars="200"/>
        <w:rPr>
          <w:rFonts w:hint="eastAsia" w:ascii="宋体" w:hAnsi="宋体"/>
          <w:sz w:val="24"/>
          <w:szCs w:val="24"/>
        </w:rPr>
      </w:pPr>
      <w:r>
        <w:rPr>
          <w:rFonts w:hint="eastAsia" w:ascii="宋体" w:hAnsi="宋体"/>
          <w:sz w:val="24"/>
          <w:szCs w:val="24"/>
        </w:rPr>
        <w:t>混凝土用木胶合板模板应选用表面平整、四边平直齐整。</w:t>
      </w:r>
    </w:p>
    <w:p>
      <w:pPr>
        <w:spacing w:line="360" w:lineRule="auto"/>
        <w:ind w:firstLine="560" w:firstLineChars="200"/>
        <w:rPr>
          <w:rFonts w:hint="eastAsia" w:ascii="宋体" w:hAnsi="宋体"/>
          <w:sz w:val="24"/>
          <w:szCs w:val="24"/>
        </w:rPr>
      </w:pPr>
      <w:r>
        <w:rPr>
          <w:rFonts w:hint="eastAsia" w:ascii="宋体" w:hAnsi="宋体"/>
          <w:sz w:val="24"/>
          <w:szCs w:val="24"/>
        </w:rPr>
        <w:t>大面积、多次数重复使用胶合板时，对胶合板表面应做防护处理，可以糙油、刷防水隔离剂等，在每次使用前应满刷脱模剂。</w:t>
      </w:r>
    </w:p>
    <w:p>
      <w:pPr>
        <w:spacing w:line="360" w:lineRule="auto"/>
        <w:ind w:firstLine="560" w:firstLineChars="200"/>
        <w:rPr>
          <w:rFonts w:hint="eastAsia" w:ascii="宋体" w:hAnsi="宋体"/>
          <w:sz w:val="24"/>
          <w:szCs w:val="24"/>
        </w:rPr>
      </w:pPr>
      <w:r>
        <w:rPr>
          <w:rFonts w:hint="eastAsia" w:ascii="宋体" w:hAnsi="宋体"/>
          <w:sz w:val="24"/>
          <w:szCs w:val="24"/>
        </w:rPr>
        <w:t>3、隔离剂</w:t>
      </w:r>
    </w:p>
    <w:p>
      <w:pPr>
        <w:spacing w:line="360" w:lineRule="auto"/>
        <w:ind w:firstLine="560" w:firstLineChars="200"/>
        <w:rPr>
          <w:rFonts w:hint="eastAsia" w:ascii="宋体" w:hAnsi="宋体"/>
          <w:sz w:val="24"/>
          <w:szCs w:val="24"/>
        </w:rPr>
      </w:pPr>
      <w:r>
        <w:rPr>
          <w:rFonts w:hint="eastAsia" w:ascii="宋体" w:hAnsi="宋体"/>
          <w:sz w:val="24"/>
          <w:szCs w:val="24"/>
        </w:rPr>
        <w:t>为防止模板表面与混凝土粘结以致拆模困难，施工中应在模板表面涂刷隔离剂，涂刷隔离剂施工中不得污染钢筋，以免影响质量，更不得影响今后装饰工程施工。隔离剂涂刷后，应在短期内及时浇筑混凝土，以防隔离剂层受破坏。</w:t>
      </w:r>
    </w:p>
    <w:p>
      <w:pPr>
        <w:rPr>
          <w:rFonts w:hint="eastAsia" w:ascii="宋体" w:hAnsi="宋体"/>
          <w:b/>
          <w:bCs/>
          <w:sz w:val="28"/>
        </w:rPr>
      </w:pPr>
      <w:r>
        <w:rPr>
          <w:rFonts w:hint="eastAsia" w:ascii="宋体" w:hAnsi="宋体"/>
          <w:b/>
          <w:bCs/>
          <w:sz w:val="28"/>
        </w:rPr>
        <w:t>四、模板工程的检查与巡视要点</w:t>
      </w:r>
    </w:p>
    <w:p>
      <w:pPr>
        <w:spacing w:line="360" w:lineRule="auto"/>
        <w:ind w:firstLine="560" w:firstLineChars="200"/>
        <w:rPr>
          <w:rFonts w:hint="eastAsia" w:ascii="宋体" w:hAnsi="宋体"/>
          <w:sz w:val="24"/>
          <w:szCs w:val="24"/>
        </w:rPr>
      </w:pPr>
      <w:r>
        <w:rPr>
          <w:rFonts w:hint="eastAsia" w:ascii="宋体" w:hAnsi="宋体"/>
          <w:sz w:val="24"/>
          <w:szCs w:val="24"/>
        </w:rPr>
        <w:t>（一）模板设计要求</w:t>
      </w:r>
    </w:p>
    <w:p>
      <w:pPr>
        <w:spacing w:line="360" w:lineRule="auto"/>
        <w:ind w:firstLine="560" w:firstLineChars="200"/>
        <w:rPr>
          <w:rFonts w:hint="eastAsia" w:ascii="宋体" w:hAnsi="宋体"/>
          <w:sz w:val="24"/>
          <w:szCs w:val="24"/>
        </w:rPr>
      </w:pPr>
      <w:r>
        <w:rPr>
          <w:rFonts w:hint="eastAsia" w:ascii="宋体" w:hAnsi="宋体"/>
          <w:sz w:val="24"/>
          <w:szCs w:val="24"/>
        </w:rPr>
        <w:t>1、模板应根据工程结构形式进行设计，模板及其支撑系统必须具有足够的强度、刚度和稳定性，其支撑系统的支承部分必须有足够的支撑面积。能可靠地承受浇筑混凝土的重量侧压力以及施工荷载。这是《混凝土结构工程施工质量验收规范》（GB50204-2002）的规定，而且是强制性条文。监理人员应要求施工单位按照规范的要求进行模板设计，监理人员对施工单位的模板设计应进行审查，审查的项目包括模板及其支撑系统在浇筑混凝土时的重量侧压力以及施工荷载是否具有足够的强度、刚度和稳定性。</w:t>
      </w:r>
    </w:p>
    <w:p>
      <w:pPr>
        <w:spacing w:line="360" w:lineRule="auto"/>
        <w:ind w:firstLine="560" w:firstLineChars="200"/>
        <w:rPr>
          <w:rFonts w:hint="eastAsia" w:ascii="宋体" w:hAnsi="宋体"/>
          <w:sz w:val="24"/>
          <w:szCs w:val="24"/>
        </w:rPr>
      </w:pPr>
      <w:r>
        <w:rPr>
          <w:rFonts w:hint="eastAsia" w:ascii="宋体" w:hAnsi="宋体"/>
          <w:sz w:val="24"/>
          <w:szCs w:val="24"/>
        </w:rPr>
        <w:t>2、模板工程应依据设计图纸编制施工方案，并用根据施工条件确定的荷载对模板及支撑体系进行验算，必要时应进行有关试验。在浇筑混凝土之前，监理人员应对模板工程进行验收。</w:t>
      </w:r>
    </w:p>
    <w:p>
      <w:pPr>
        <w:spacing w:line="360" w:lineRule="auto"/>
        <w:ind w:firstLine="560" w:firstLineChars="200"/>
        <w:rPr>
          <w:rFonts w:hint="eastAsia" w:ascii="宋体" w:hAnsi="宋体"/>
          <w:sz w:val="24"/>
          <w:szCs w:val="24"/>
        </w:rPr>
      </w:pPr>
      <w:r>
        <w:rPr>
          <w:rFonts w:hint="eastAsia" w:ascii="宋体" w:hAnsi="宋体"/>
          <w:sz w:val="24"/>
          <w:szCs w:val="24"/>
        </w:rPr>
        <w:t>3、模板安装和浇筑混凝土时，应对模板及其支架进行观察和维护。发生异常情况时，应按施工技术方案及时进行处理。</w:t>
      </w:r>
    </w:p>
    <w:p>
      <w:pPr>
        <w:spacing w:line="360" w:lineRule="auto"/>
        <w:ind w:firstLine="560" w:firstLineChars="200"/>
        <w:rPr>
          <w:rFonts w:hint="eastAsia" w:ascii="宋体" w:hAnsi="宋体"/>
          <w:sz w:val="24"/>
          <w:szCs w:val="24"/>
        </w:rPr>
      </w:pPr>
      <w:r>
        <w:rPr>
          <w:rFonts w:hint="eastAsia" w:ascii="宋体" w:hAnsi="宋体"/>
          <w:sz w:val="24"/>
          <w:szCs w:val="24"/>
        </w:rPr>
        <w:t>4、对模板工程所用的材料必须认真检查选取，不得使用不符合质量要求的材料。模板工程施工应具备制作简单、操作方便、牢固耐用、运输整修容易等特点。</w:t>
      </w:r>
    </w:p>
    <w:p>
      <w:pPr>
        <w:spacing w:line="360" w:lineRule="auto"/>
        <w:ind w:firstLine="560" w:firstLineChars="200"/>
        <w:rPr>
          <w:rFonts w:hint="eastAsia" w:ascii="宋体" w:hAnsi="宋体"/>
          <w:sz w:val="24"/>
          <w:szCs w:val="24"/>
        </w:rPr>
      </w:pPr>
      <w:r>
        <w:rPr>
          <w:rFonts w:hint="eastAsia" w:ascii="宋体" w:hAnsi="宋体"/>
          <w:sz w:val="24"/>
          <w:szCs w:val="24"/>
        </w:rPr>
        <w:t>5.监理人员检查范围：</w:t>
      </w:r>
    </w:p>
    <w:p>
      <w:pPr>
        <w:spacing w:line="360" w:lineRule="auto"/>
        <w:ind w:firstLine="560" w:firstLineChars="200"/>
        <w:rPr>
          <w:rFonts w:hint="eastAsia" w:ascii="宋体" w:hAnsi="宋体"/>
          <w:sz w:val="24"/>
          <w:szCs w:val="24"/>
        </w:rPr>
      </w:pPr>
      <w:r>
        <w:rPr>
          <w:rFonts w:hint="eastAsia" w:ascii="宋体" w:hAnsi="宋体"/>
          <w:sz w:val="24"/>
          <w:szCs w:val="24"/>
        </w:rPr>
        <w:t>（1）设计图纸（包括设计变更、修改核定）中的尺寸、轴线、标高、位置以及预埋件位置等。</w:t>
      </w:r>
    </w:p>
    <w:p>
      <w:pPr>
        <w:spacing w:line="360" w:lineRule="auto"/>
        <w:ind w:firstLine="560" w:firstLineChars="200"/>
        <w:rPr>
          <w:rFonts w:hint="eastAsia" w:ascii="宋体" w:hAnsi="宋体"/>
          <w:sz w:val="24"/>
          <w:szCs w:val="24"/>
        </w:rPr>
      </w:pPr>
      <w:r>
        <w:rPr>
          <w:rFonts w:hint="eastAsia" w:ascii="宋体" w:hAnsi="宋体"/>
          <w:sz w:val="24"/>
          <w:szCs w:val="24"/>
        </w:rPr>
        <w:t>（2）所用模板材料及支撑材料的质量要求。</w:t>
      </w:r>
    </w:p>
    <w:p>
      <w:pPr>
        <w:spacing w:line="360" w:lineRule="auto"/>
        <w:ind w:firstLine="560" w:firstLineChars="200"/>
        <w:rPr>
          <w:rFonts w:hint="eastAsia" w:ascii="宋体" w:hAnsi="宋体"/>
          <w:sz w:val="24"/>
          <w:szCs w:val="24"/>
        </w:rPr>
      </w:pPr>
      <w:r>
        <w:rPr>
          <w:rFonts w:hint="eastAsia" w:ascii="宋体" w:hAnsi="宋体"/>
          <w:sz w:val="24"/>
          <w:szCs w:val="24"/>
        </w:rPr>
        <w:t>（3）模板制作、安装拆除的方法、施工顺序及工序搭接等操作要求。</w:t>
      </w:r>
    </w:p>
    <w:p>
      <w:pPr>
        <w:spacing w:line="360" w:lineRule="auto"/>
        <w:ind w:firstLine="560" w:firstLineChars="200"/>
        <w:rPr>
          <w:rFonts w:hint="eastAsia" w:ascii="宋体" w:hAnsi="宋体"/>
          <w:sz w:val="24"/>
          <w:szCs w:val="24"/>
        </w:rPr>
      </w:pPr>
      <w:r>
        <w:rPr>
          <w:rFonts w:hint="eastAsia" w:ascii="宋体" w:hAnsi="宋体"/>
          <w:sz w:val="24"/>
          <w:szCs w:val="24"/>
        </w:rPr>
        <w:t>（4）质量标准、安全措施、成品保护措施等施工注意事项。</w:t>
      </w:r>
    </w:p>
    <w:p>
      <w:pPr>
        <w:spacing w:line="360" w:lineRule="auto"/>
        <w:ind w:firstLine="560" w:firstLineChars="200"/>
        <w:rPr>
          <w:rFonts w:hint="eastAsia" w:ascii="宋体" w:hAnsi="宋体"/>
          <w:sz w:val="24"/>
          <w:szCs w:val="24"/>
        </w:rPr>
      </w:pPr>
      <w:r>
        <w:rPr>
          <w:rFonts w:hint="eastAsia" w:ascii="宋体" w:hAnsi="宋体"/>
          <w:sz w:val="24"/>
          <w:szCs w:val="24"/>
        </w:rPr>
        <w:t>（二）模板支撑要求</w:t>
      </w:r>
    </w:p>
    <w:p>
      <w:pPr>
        <w:spacing w:line="360" w:lineRule="auto"/>
        <w:ind w:firstLine="560" w:firstLineChars="200"/>
        <w:rPr>
          <w:rFonts w:hint="eastAsia" w:ascii="宋体" w:hAnsi="宋体"/>
          <w:sz w:val="24"/>
          <w:szCs w:val="24"/>
        </w:rPr>
      </w:pPr>
      <w:r>
        <w:rPr>
          <w:rFonts w:hint="eastAsia" w:ascii="宋体" w:hAnsi="宋体"/>
          <w:sz w:val="24"/>
          <w:szCs w:val="24"/>
        </w:rPr>
        <w:t>监理人员要掌握模板支撑的有关要求，以便在模板施工时进行控制。</w:t>
      </w:r>
    </w:p>
    <w:p>
      <w:pPr>
        <w:spacing w:line="360" w:lineRule="auto"/>
        <w:ind w:firstLine="560" w:firstLineChars="200"/>
        <w:rPr>
          <w:rFonts w:hint="eastAsia" w:ascii="宋体" w:hAnsi="宋体"/>
          <w:sz w:val="24"/>
          <w:szCs w:val="24"/>
        </w:rPr>
      </w:pPr>
      <w:r>
        <w:rPr>
          <w:rFonts w:hint="eastAsia" w:ascii="宋体" w:hAnsi="宋体"/>
          <w:sz w:val="24"/>
          <w:szCs w:val="24"/>
        </w:rPr>
        <w:t>1、模板支撑系统应根据不同的结构类型和模板类型来选配，以便相协调配套。使用时，应对支承系统进行必要的验算和复核，尤其是支柱间距应经计算确定，确保其可靠稳固、不变形。</w:t>
      </w:r>
    </w:p>
    <w:p>
      <w:pPr>
        <w:spacing w:line="360" w:lineRule="auto"/>
        <w:ind w:firstLine="560" w:firstLineChars="200"/>
        <w:rPr>
          <w:rFonts w:hint="eastAsia" w:ascii="宋体" w:hAnsi="宋体"/>
          <w:sz w:val="24"/>
          <w:szCs w:val="24"/>
        </w:rPr>
      </w:pPr>
      <w:r>
        <w:rPr>
          <w:rFonts w:hint="eastAsia" w:ascii="宋体" w:hAnsi="宋体"/>
          <w:sz w:val="24"/>
          <w:szCs w:val="24"/>
        </w:rPr>
        <w:t>2、木质支撑体系一般与木模板相配合，所用牵杠、搁栅、横档、支撑宜采用不小于50</w:t>
      </w:r>
      <w:r>
        <w:rPr>
          <w:rFonts w:ascii="宋体" w:hAnsi="宋体"/>
          <w:sz w:val="24"/>
          <w:szCs w:val="24"/>
        </w:rPr>
        <w:t>mm×100mm</w:t>
      </w:r>
      <w:r>
        <w:rPr>
          <w:rFonts w:hint="eastAsia" w:ascii="宋体" w:hAnsi="宋体"/>
          <w:sz w:val="24"/>
          <w:szCs w:val="24"/>
        </w:rPr>
        <w:t>的方材，木支柱一般用100</w:t>
      </w:r>
      <w:r>
        <w:rPr>
          <w:rFonts w:ascii="宋体" w:hAnsi="宋体"/>
          <w:sz w:val="24"/>
          <w:szCs w:val="24"/>
        </w:rPr>
        <w:t>mm×100mm</w:t>
      </w:r>
      <w:r>
        <w:rPr>
          <w:rFonts w:hint="eastAsia" w:ascii="宋体" w:hAnsi="宋体"/>
          <w:sz w:val="24"/>
          <w:szCs w:val="24"/>
        </w:rPr>
        <w:t>方材，木支撑必须钉牢楔紧，支柱之间必须加强拉接连系，木支柱脚下用对拔木楔调整标高并固定。</w:t>
      </w:r>
    </w:p>
    <w:p>
      <w:pPr>
        <w:spacing w:line="360" w:lineRule="auto"/>
        <w:ind w:firstLine="560" w:firstLineChars="200"/>
        <w:rPr>
          <w:rFonts w:hint="eastAsia" w:ascii="宋体" w:hAnsi="宋体"/>
          <w:sz w:val="24"/>
          <w:szCs w:val="24"/>
        </w:rPr>
      </w:pPr>
      <w:r>
        <w:rPr>
          <w:rFonts w:hint="eastAsia" w:ascii="宋体" w:hAnsi="宋体"/>
          <w:sz w:val="24"/>
          <w:szCs w:val="24"/>
        </w:rPr>
        <w:t>3、独立柱子模板，可采用夹箍和拉撑相结合的方法来支承和夹紧模板，其形式根据模板尺寸、侧压力大小等因素来选择。</w:t>
      </w:r>
    </w:p>
    <w:p>
      <w:pPr>
        <w:spacing w:line="360" w:lineRule="auto"/>
        <w:ind w:firstLine="560" w:firstLineChars="200"/>
        <w:rPr>
          <w:rFonts w:hint="eastAsia" w:ascii="宋体" w:hAnsi="宋体"/>
          <w:sz w:val="24"/>
          <w:szCs w:val="24"/>
        </w:rPr>
      </w:pPr>
      <w:r>
        <w:rPr>
          <w:rFonts w:hint="eastAsia" w:ascii="宋体" w:hAnsi="宋体"/>
          <w:sz w:val="24"/>
          <w:szCs w:val="24"/>
        </w:rPr>
        <w:t>4、支撑体系的基底必须坚实可靠，竖向支撑基底如为土层时，应在支撑底铺垫型钢或脚手板等材料，或硬化地面。</w:t>
      </w:r>
    </w:p>
    <w:p>
      <w:pPr>
        <w:spacing w:line="360" w:lineRule="auto"/>
        <w:ind w:firstLine="560" w:firstLineChars="200"/>
        <w:rPr>
          <w:rFonts w:hint="eastAsia" w:ascii="宋体" w:hAnsi="宋体"/>
          <w:sz w:val="24"/>
          <w:szCs w:val="24"/>
        </w:rPr>
      </w:pPr>
      <w:r>
        <w:rPr>
          <w:rFonts w:hint="eastAsia" w:ascii="宋体" w:hAnsi="宋体"/>
          <w:sz w:val="24"/>
          <w:szCs w:val="24"/>
        </w:rPr>
        <w:t>（三）模板安装的巡视检查</w:t>
      </w:r>
    </w:p>
    <w:p>
      <w:pPr>
        <w:spacing w:line="360" w:lineRule="auto"/>
        <w:ind w:firstLine="560" w:firstLineChars="200"/>
        <w:rPr>
          <w:rFonts w:hint="eastAsia" w:ascii="宋体" w:hAnsi="宋体"/>
          <w:sz w:val="24"/>
          <w:szCs w:val="24"/>
        </w:rPr>
      </w:pPr>
      <w:r>
        <w:rPr>
          <w:rFonts w:hint="eastAsia" w:ascii="宋体" w:hAnsi="宋体"/>
          <w:sz w:val="24"/>
          <w:szCs w:val="24"/>
        </w:rPr>
        <w:t>1、所有预埋件在安装前应与图纸对照，确认无误后准确固定，必要时可用电焊或套框等方法将其固定。在浇筑混凝土时，严禁碰击和振动预埋件和模板，以免其歪斜、移位、变形。</w:t>
      </w:r>
    </w:p>
    <w:p>
      <w:pPr>
        <w:spacing w:line="360" w:lineRule="auto"/>
        <w:ind w:firstLine="560" w:firstLineChars="200"/>
        <w:rPr>
          <w:rFonts w:hint="eastAsia" w:ascii="宋体" w:hAnsi="宋体"/>
          <w:sz w:val="24"/>
          <w:szCs w:val="24"/>
        </w:rPr>
      </w:pPr>
      <w:r>
        <w:rPr>
          <w:rFonts w:hint="eastAsia" w:ascii="宋体" w:hAnsi="宋体"/>
          <w:sz w:val="24"/>
          <w:szCs w:val="24"/>
        </w:rPr>
        <w:t>2、接头处模板、梁柱交叉处模板，应认真检查，防止烂根、移位、胀模等不良现象。</w:t>
      </w:r>
    </w:p>
    <w:p>
      <w:pPr>
        <w:spacing w:line="360" w:lineRule="auto"/>
        <w:ind w:firstLine="560" w:firstLineChars="200"/>
        <w:rPr>
          <w:rFonts w:hint="eastAsia" w:ascii="宋体" w:hAnsi="宋体"/>
          <w:sz w:val="24"/>
          <w:szCs w:val="24"/>
        </w:rPr>
      </w:pPr>
      <w:r>
        <w:rPr>
          <w:rFonts w:hint="eastAsia" w:ascii="宋体" w:hAnsi="宋体"/>
          <w:sz w:val="24"/>
          <w:szCs w:val="24"/>
        </w:rPr>
        <w:t>3、对已施工完毕的部分钢筋或预埋件、设备管线等，应进行复查，若有影响模板施工处应及时整改。竖向结构的钢筋和管线宜先用架子临时支撑好，以免其任意歪斜造成模板施工困难。</w:t>
      </w:r>
    </w:p>
    <w:p>
      <w:pPr>
        <w:spacing w:line="360" w:lineRule="auto"/>
        <w:ind w:firstLine="560" w:firstLineChars="200"/>
        <w:rPr>
          <w:rFonts w:hint="eastAsia" w:ascii="宋体" w:hAnsi="宋体"/>
          <w:sz w:val="24"/>
          <w:szCs w:val="24"/>
        </w:rPr>
      </w:pPr>
      <w:r>
        <w:rPr>
          <w:rFonts w:hint="eastAsia" w:ascii="宋体" w:hAnsi="宋体"/>
          <w:sz w:val="24"/>
          <w:szCs w:val="24"/>
        </w:rPr>
        <w:t>4、竖向结构模板应加设斜撑和剪刀撑，对木支撑纵横方向应加钉拉杆，采用钢管支撑，应扣成整体排架。</w:t>
      </w:r>
    </w:p>
    <w:p>
      <w:pPr>
        <w:spacing w:line="360" w:lineRule="auto"/>
        <w:ind w:firstLine="560" w:firstLineChars="200"/>
        <w:rPr>
          <w:rFonts w:hint="eastAsia" w:ascii="宋体" w:hAnsi="宋体"/>
          <w:sz w:val="24"/>
          <w:szCs w:val="24"/>
        </w:rPr>
      </w:pPr>
      <w:r>
        <w:rPr>
          <w:rFonts w:hint="eastAsia" w:ascii="宋体" w:hAnsi="宋体"/>
          <w:sz w:val="24"/>
          <w:szCs w:val="24"/>
        </w:rPr>
        <w:t>5、所有模板及支撑系统在模板验收后，不得任意改动。</w:t>
      </w:r>
    </w:p>
    <w:p>
      <w:pPr>
        <w:spacing w:line="360" w:lineRule="auto"/>
        <w:ind w:firstLine="560" w:firstLineChars="200"/>
        <w:rPr>
          <w:rFonts w:hint="eastAsia" w:ascii="宋体" w:hAnsi="宋体"/>
          <w:sz w:val="24"/>
          <w:szCs w:val="24"/>
        </w:rPr>
      </w:pPr>
      <w:r>
        <w:rPr>
          <w:rFonts w:hint="eastAsia" w:ascii="宋体" w:hAnsi="宋体"/>
          <w:sz w:val="24"/>
          <w:szCs w:val="24"/>
        </w:rPr>
        <w:t>6、在模板安装和浇筑混凝土，监理人员应对模板及其支架进行观察，主要检查漏浆情况、变形情况，发生异常情况时，应要求施工单位按施工技术方案及时进行处理。</w:t>
      </w:r>
    </w:p>
    <w:p>
      <w:pPr>
        <w:ind w:firstLine="560" w:firstLineChars="200"/>
        <w:rPr>
          <w:rFonts w:hint="eastAsia" w:ascii="宋体" w:hAnsi="宋体"/>
          <w:b/>
          <w:bCs/>
          <w:sz w:val="28"/>
        </w:rPr>
      </w:pPr>
      <w:r>
        <w:rPr>
          <w:rFonts w:hint="eastAsia" w:ascii="宋体" w:hAnsi="宋体"/>
          <w:b/>
          <w:bCs/>
          <w:sz w:val="28"/>
        </w:rPr>
        <w:t>五、模板安装的监理验收</w:t>
      </w:r>
    </w:p>
    <w:p>
      <w:pPr>
        <w:spacing w:line="360" w:lineRule="auto"/>
        <w:ind w:firstLine="560" w:firstLineChars="200"/>
        <w:rPr>
          <w:rFonts w:hint="eastAsia" w:ascii="宋体" w:hAnsi="宋体"/>
          <w:sz w:val="24"/>
          <w:szCs w:val="24"/>
        </w:rPr>
      </w:pPr>
      <w:r>
        <w:rPr>
          <w:rFonts w:hint="eastAsia" w:ascii="宋体" w:hAnsi="宋体"/>
          <w:sz w:val="24"/>
          <w:szCs w:val="24"/>
        </w:rPr>
        <w:t>（一）一般项目</w:t>
      </w:r>
    </w:p>
    <w:p>
      <w:pPr>
        <w:spacing w:line="360" w:lineRule="auto"/>
        <w:ind w:firstLine="560" w:firstLineChars="200"/>
        <w:rPr>
          <w:rFonts w:hint="eastAsia" w:ascii="宋体" w:hAnsi="宋体"/>
          <w:sz w:val="24"/>
          <w:szCs w:val="24"/>
        </w:rPr>
      </w:pPr>
      <w:r>
        <w:rPr>
          <w:rFonts w:hint="eastAsia" w:ascii="宋体" w:hAnsi="宋体"/>
          <w:sz w:val="24"/>
          <w:szCs w:val="24"/>
        </w:rPr>
        <w:t>1、模板安装应满足下列要求：</w:t>
      </w:r>
    </w:p>
    <w:p>
      <w:pPr>
        <w:spacing w:line="360" w:lineRule="auto"/>
        <w:ind w:firstLine="560" w:firstLineChars="200"/>
        <w:rPr>
          <w:rFonts w:hint="eastAsia" w:ascii="宋体" w:hAnsi="宋体"/>
          <w:sz w:val="24"/>
          <w:szCs w:val="24"/>
        </w:rPr>
      </w:pPr>
      <w:r>
        <w:rPr>
          <w:rFonts w:hint="eastAsia" w:ascii="宋体" w:hAnsi="宋体"/>
          <w:sz w:val="24"/>
          <w:szCs w:val="24"/>
        </w:rPr>
        <w:t>（1）模板的接缝不应漏浆；在浇筑混凝土前，木模板应浇水湿润，但模板内不应有积水；</w:t>
      </w:r>
    </w:p>
    <w:p>
      <w:pPr>
        <w:spacing w:line="360" w:lineRule="auto"/>
        <w:ind w:firstLine="560" w:firstLineChars="200"/>
        <w:rPr>
          <w:rFonts w:hint="eastAsia" w:ascii="宋体" w:hAnsi="宋体"/>
          <w:sz w:val="24"/>
          <w:szCs w:val="24"/>
        </w:rPr>
      </w:pPr>
      <w:r>
        <w:rPr>
          <w:rFonts w:hint="eastAsia" w:ascii="宋体" w:hAnsi="宋体"/>
          <w:sz w:val="24"/>
          <w:szCs w:val="24"/>
        </w:rPr>
        <w:t>（2）模板与混凝土的接触面应清理干净并涂刷隔离剂，但不得采用影响结构性能或妨碍装饰工程施工的隔离剂；</w:t>
      </w:r>
    </w:p>
    <w:p>
      <w:pPr>
        <w:spacing w:line="360" w:lineRule="auto"/>
        <w:ind w:firstLine="560" w:firstLineChars="200"/>
        <w:rPr>
          <w:rFonts w:hint="eastAsia" w:ascii="宋体" w:hAnsi="宋体"/>
          <w:sz w:val="24"/>
          <w:szCs w:val="24"/>
        </w:rPr>
      </w:pPr>
      <w:r>
        <w:rPr>
          <w:rFonts w:hint="eastAsia" w:ascii="宋体" w:hAnsi="宋体"/>
          <w:sz w:val="24"/>
          <w:szCs w:val="24"/>
        </w:rPr>
        <w:t>（3）浇筑混凝土前，模板内的杂物应清理干净；</w:t>
      </w:r>
    </w:p>
    <w:p>
      <w:pPr>
        <w:spacing w:line="360" w:lineRule="auto"/>
        <w:ind w:firstLine="560" w:firstLineChars="200"/>
        <w:rPr>
          <w:rFonts w:hint="eastAsia" w:ascii="宋体" w:hAnsi="宋体"/>
          <w:sz w:val="24"/>
          <w:szCs w:val="24"/>
        </w:rPr>
      </w:pPr>
      <w:r>
        <w:rPr>
          <w:rFonts w:hint="eastAsia" w:ascii="宋体" w:hAnsi="宋体"/>
          <w:sz w:val="24"/>
          <w:szCs w:val="24"/>
        </w:rPr>
        <w:t>2、用作模板的地坪、胎模等应平整光洁，不得产生影响构件质量的下沉、裂缝、起砂或起鼓。</w:t>
      </w:r>
    </w:p>
    <w:p>
      <w:pPr>
        <w:spacing w:line="360" w:lineRule="auto"/>
        <w:ind w:firstLine="560" w:firstLineChars="200"/>
        <w:rPr>
          <w:rFonts w:hint="eastAsia" w:ascii="宋体" w:hAnsi="宋体"/>
          <w:sz w:val="24"/>
          <w:szCs w:val="24"/>
        </w:rPr>
      </w:pPr>
      <w:r>
        <w:rPr>
          <w:rFonts w:hint="eastAsia" w:ascii="宋体" w:hAnsi="宋体"/>
          <w:sz w:val="24"/>
          <w:szCs w:val="24"/>
        </w:rPr>
        <w:t>3、固定在模板上的预埋件不得遗漏</w:t>
      </w:r>
    </w:p>
    <w:p>
      <w:pPr>
        <w:spacing w:line="360" w:lineRule="auto"/>
        <w:ind w:firstLine="560" w:firstLineChars="200"/>
        <w:rPr>
          <w:rFonts w:hint="eastAsia" w:ascii="宋体" w:hAnsi="宋体"/>
          <w:sz w:val="28"/>
        </w:rPr>
      </w:pPr>
      <w:r>
        <w:rPr>
          <w:rFonts w:hint="eastAsia" w:ascii="宋体" w:hAnsi="宋体"/>
          <w:sz w:val="24"/>
          <w:szCs w:val="24"/>
        </w:rPr>
        <w:t>4、现浇结构模板安装的偏差应符合下表的规</w:t>
      </w:r>
      <w:r>
        <w:rPr>
          <w:rFonts w:hint="eastAsia" w:ascii="宋体" w:hAnsi="宋体"/>
          <w:sz w:val="28"/>
        </w:rPr>
        <w:t>定</w:t>
      </w:r>
    </w:p>
    <w:p>
      <w:pPr>
        <w:ind w:left="424" w:leftChars="202" w:firstLine="562" w:firstLineChars="200"/>
        <w:jc w:val="center"/>
        <w:rPr>
          <w:rFonts w:hint="eastAsia" w:ascii="宋体" w:hAnsi="宋体"/>
          <w:b/>
          <w:bCs/>
          <w:sz w:val="28"/>
        </w:rPr>
      </w:pPr>
    </w:p>
    <w:p>
      <w:pPr>
        <w:ind w:left="424" w:leftChars="202" w:firstLine="562" w:firstLineChars="200"/>
        <w:jc w:val="center"/>
        <w:rPr>
          <w:rFonts w:hint="eastAsia" w:ascii="宋体" w:hAnsi="宋体"/>
          <w:b/>
          <w:bCs/>
          <w:sz w:val="28"/>
        </w:rPr>
      </w:pPr>
    </w:p>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现浇结构模板安装的允许偏差及检验方法</w:t>
      </w:r>
    </w:p>
    <w:tbl>
      <w:tblPr>
        <w:tblStyle w:val="7"/>
        <w:tblW w:w="8377"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419"/>
        <w:gridCol w:w="2177"/>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358"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17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允许偏差（mm）</w:t>
            </w:r>
          </w:p>
        </w:tc>
        <w:tc>
          <w:tcPr>
            <w:tcW w:w="284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358"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轴线位置</w:t>
            </w:r>
          </w:p>
        </w:tc>
        <w:tc>
          <w:tcPr>
            <w:tcW w:w="217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84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358"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底模上表面标高</w:t>
            </w:r>
          </w:p>
        </w:tc>
        <w:tc>
          <w:tcPr>
            <w:tcW w:w="217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84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939" w:type="dxa"/>
            <w:vMerge w:val="restart"/>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截面内部尺寸</w:t>
            </w:r>
          </w:p>
        </w:tc>
        <w:tc>
          <w:tcPr>
            <w:tcW w:w="141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w:t>
            </w:r>
          </w:p>
        </w:tc>
        <w:tc>
          <w:tcPr>
            <w:tcW w:w="217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84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39" w:type="dxa"/>
            <w:vMerge w:val="continue"/>
            <w:vAlign w:val="center"/>
          </w:tcPr>
          <w:p>
            <w:pPr>
              <w:spacing w:line="360" w:lineRule="auto"/>
              <w:jc w:val="center"/>
              <w:rPr>
                <w:rFonts w:hint="eastAsia" w:asciiTheme="minorEastAsia" w:hAnsiTheme="minorEastAsia" w:eastAsiaTheme="minorEastAsia" w:cstheme="minorEastAsia"/>
                <w:sz w:val="24"/>
                <w:szCs w:val="24"/>
              </w:rPr>
            </w:pPr>
          </w:p>
        </w:tc>
        <w:tc>
          <w:tcPr>
            <w:tcW w:w="1419"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柱、</w:t>
            </w:r>
          </w:p>
        </w:tc>
        <w:tc>
          <w:tcPr>
            <w:tcW w:w="217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284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358"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表面平整度</w:t>
            </w:r>
          </w:p>
        </w:tc>
        <w:tc>
          <w:tcPr>
            <w:tcW w:w="217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842"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2m靠尺和塞尺检查</w:t>
            </w:r>
          </w:p>
        </w:tc>
      </w:tr>
    </w:tbl>
    <w:p>
      <w:pPr>
        <w:spacing w:line="360" w:lineRule="auto"/>
        <w:ind w:left="424" w:leftChars="202"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注：检查轴线位置时，应沿纵、横两个方向量测，并取其中的较大值。</w:t>
      </w:r>
    </w:p>
    <w:p>
      <w:pPr>
        <w:ind w:firstLine="560" w:firstLineChars="200"/>
        <w:rPr>
          <w:rFonts w:hint="eastAsia" w:ascii="宋体" w:hAnsi="宋体"/>
          <w:b/>
          <w:bCs/>
          <w:sz w:val="28"/>
        </w:rPr>
      </w:pPr>
      <w:r>
        <w:rPr>
          <w:rFonts w:hint="eastAsia" w:ascii="宋体" w:hAnsi="宋体"/>
          <w:b/>
          <w:bCs/>
          <w:sz w:val="28"/>
        </w:rPr>
        <w:t>六、模板拆除的监理验收</w:t>
      </w:r>
    </w:p>
    <w:p>
      <w:pPr>
        <w:spacing w:line="360" w:lineRule="auto"/>
        <w:ind w:left="424" w:leftChars="202"/>
        <w:rPr>
          <w:rFonts w:hint="eastAsia" w:ascii="宋体" w:hAnsi="宋体"/>
          <w:sz w:val="24"/>
          <w:szCs w:val="24"/>
        </w:rPr>
      </w:pPr>
      <w:r>
        <w:rPr>
          <w:rFonts w:hint="eastAsia" w:ascii="宋体" w:hAnsi="宋体"/>
          <w:sz w:val="24"/>
          <w:szCs w:val="24"/>
        </w:rPr>
        <w:t>1、侧模拆除时的混凝土强度应能保证其表面及棱角不受损伤。</w:t>
      </w:r>
    </w:p>
    <w:p>
      <w:pPr>
        <w:spacing w:line="360" w:lineRule="auto"/>
        <w:ind w:firstLine="420" w:firstLineChars="150"/>
        <w:rPr>
          <w:rFonts w:hint="eastAsia" w:ascii="宋体" w:hAnsi="宋体"/>
          <w:color w:val="333333"/>
          <w:sz w:val="24"/>
          <w:szCs w:val="24"/>
        </w:rPr>
      </w:pPr>
      <w:r>
        <w:rPr>
          <w:rFonts w:hint="eastAsia" w:ascii="宋体" w:hAnsi="宋体"/>
          <w:sz w:val="24"/>
          <w:szCs w:val="24"/>
          <w:lang w:val="en-US" w:eastAsia="zh-CN"/>
        </w:rPr>
        <w:t xml:space="preserve"> </w:t>
      </w:r>
      <w:r>
        <w:rPr>
          <w:rFonts w:hint="eastAsia" w:ascii="宋体" w:hAnsi="宋体"/>
          <w:sz w:val="24"/>
          <w:szCs w:val="24"/>
        </w:rPr>
        <w:t>2、拆除的模板和支架宜分散堆放并及时清运。</w:t>
      </w:r>
    </w:p>
    <w:p>
      <w:pPr>
        <w:spacing w:line="360" w:lineRule="auto"/>
        <w:ind w:firstLine="700" w:firstLineChars="250"/>
        <w:rPr>
          <w:rFonts w:hint="eastAsia" w:ascii="宋体" w:hAnsi="宋体"/>
          <w:color w:val="333333"/>
          <w:sz w:val="24"/>
          <w:szCs w:val="24"/>
        </w:rPr>
      </w:pPr>
      <w:r>
        <w:rPr>
          <w:rFonts w:hint="eastAsia" w:ascii="宋体" w:hAnsi="宋体"/>
          <w:color w:val="333333"/>
          <w:sz w:val="24"/>
          <w:szCs w:val="24"/>
        </w:rPr>
        <w:t>混凝土工程质量的验收</w:t>
      </w:r>
      <w:r>
        <w:rPr>
          <w:rFonts w:ascii="宋体" w:hAnsi="宋体"/>
          <w:color w:val="333333"/>
          <w:sz w:val="24"/>
          <w:szCs w:val="24"/>
        </w:rPr>
        <w:br w:type="textWrapping"/>
      </w:r>
      <w:r>
        <w:rPr>
          <w:rFonts w:hint="eastAsia" w:ascii="宋体" w:hAnsi="宋体"/>
          <w:color w:val="333333"/>
          <w:sz w:val="24"/>
          <w:szCs w:val="24"/>
        </w:rPr>
        <w:t>　　混凝土工程完成且质量控制资料齐全后，监理工程师应根据质量保证资料、混凝土结构实体质量和设计文件、现行《混凝土强度检验评定标准》GBJ107、《混凝土结构工程施工质量验收规范》GB50204－2002、《建筑工程施工质量验收统一标准》GB50300－2001的规定，对混凝土结构工程的施工质量进行检查、评估与验收。</w:t>
      </w:r>
    </w:p>
    <w:p>
      <w:pPr>
        <w:pStyle w:val="3"/>
        <w:spacing w:line="360" w:lineRule="auto"/>
        <w:rPr>
          <w:rFonts w:hint="eastAsia"/>
          <w:sz w:val="24"/>
          <w:szCs w:val="24"/>
        </w:rPr>
      </w:pPr>
      <w:r>
        <w:rPr>
          <w:rFonts w:hint="eastAsia"/>
          <w:sz w:val="24"/>
          <w:szCs w:val="24"/>
        </w:rPr>
        <w:t>泵送混凝土施工过程中，监理工程师应加强对原材料的质量控制，并及时对施工现场进行巡视检查、平行检查和旁站监理，如发现有影响混凝土结构施工质量的问题或事项决不迁就，并及时要求施工方整改，该返工的要彻底返工，使混凝土结构的施工质量自始至终处于受控状态，才能提高混凝土结构的施工质量。</w:t>
      </w:r>
    </w:p>
    <w:p>
      <w:pPr>
        <w:spacing w:line="240" w:lineRule="auto"/>
        <w:jc w:val="left"/>
        <w:rPr>
          <w:rFonts w:hint="eastAsia" w:ascii="宋体" w:hAnsi="宋体"/>
          <w:color w:val="auto"/>
          <w:lang w:val="en-US" w:eastAsia="zh-CN"/>
        </w:rPr>
      </w:pPr>
      <w:r>
        <w:rPr>
          <w:rFonts w:hint="eastAsia" w:ascii="宋体" w:hAnsi="宋体"/>
          <w:color w:val="auto"/>
          <w:lang w:val="en-US" w:eastAsia="zh-CN"/>
        </w:rPr>
        <w:t xml:space="preserve">                                         </w:t>
      </w:r>
    </w:p>
    <w:p>
      <w:pPr>
        <w:spacing w:line="360" w:lineRule="auto"/>
        <w:jc w:val="right"/>
        <w:rPr>
          <w:rFonts w:hint="eastAsia"/>
          <w:szCs w:val="28"/>
          <w:lang w:val="en-US" w:eastAsia="zh-CN"/>
        </w:rPr>
      </w:pPr>
      <w:r>
        <w:rPr>
          <w:rFonts w:hint="eastAsia"/>
          <w:szCs w:val="28"/>
          <w:lang w:val="en-US" w:eastAsia="zh-CN"/>
        </w:rPr>
        <w:t xml:space="preserve">                             </w:t>
      </w:r>
    </w:p>
    <w:p>
      <w:pPr>
        <w:spacing w:line="360" w:lineRule="auto"/>
        <w:jc w:val="right"/>
        <w:rPr>
          <w:rFonts w:hint="eastAsia"/>
          <w:sz w:val="24"/>
          <w:szCs w:val="24"/>
        </w:rPr>
      </w:pPr>
      <w:r>
        <w:rPr>
          <w:rFonts w:hint="eastAsia"/>
          <w:sz w:val="24"/>
          <w:szCs w:val="24"/>
          <w:lang w:val="en-US" w:eastAsia="zh-CN"/>
        </w:rPr>
        <w:t xml:space="preserve"> </w:t>
      </w:r>
      <w:bookmarkStart w:id="0" w:name="_GoBack"/>
      <w:r>
        <w:rPr>
          <w:rFonts w:hint="eastAsia"/>
          <w:sz w:val="24"/>
          <w:szCs w:val="24"/>
        </w:rPr>
        <w:t>常州正衡电力工程监理有限公司</w:t>
      </w:r>
    </w:p>
    <w:p>
      <w:pPr>
        <w:spacing w:line="360" w:lineRule="auto"/>
        <w:jc w:val="lef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诸暨鼎晖新能源有限公司</w:t>
      </w:r>
    </w:p>
    <w:p>
      <w:pPr>
        <w:spacing w:line="360" w:lineRule="auto"/>
        <w:jc w:val="right"/>
        <w:rPr>
          <w:rFonts w:hint="eastAsia"/>
          <w:sz w:val="24"/>
          <w:szCs w:val="24"/>
        </w:rPr>
      </w:pPr>
      <w:r>
        <w:rPr>
          <w:rFonts w:hint="eastAsia"/>
          <w:sz w:val="24"/>
          <w:szCs w:val="24"/>
          <w:lang w:val="en-US" w:eastAsia="zh-CN"/>
        </w:rPr>
        <w:t xml:space="preserve">                              </w:t>
      </w:r>
      <w:r>
        <w:rPr>
          <w:rFonts w:hint="eastAsia"/>
          <w:sz w:val="24"/>
          <w:szCs w:val="24"/>
        </w:rPr>
        <w:t>分布式光伏电站监理项目部编写</w:t>
      </w:r>
    </w:p>
    <w:p>
      <w:pPr>
        <w:spacing w:line="360" w:lineRule="auto"/>
        <w:jc w:val="center"/>
        <w:rPr>
          <w:rFonts w:hint="eastAsia"/>
          <w:sz w:val="24"/>
          <w:szCs w:val="24"/>
          <w:lang w:val="en-US" w:eastAsia="zh-CN"/>
        </w:rPr>
      </w:pPr>
      <w:r>
        <w:rPr>
          <w:rFonts w:hint="eastAsia"/>
          <w:sz w:val="24"/>
          <w:szCs w:val="24"/>
          <w:lang w:val="en-US" w:eastAsia="zh-CN"/>
        </w:rPr>
        <w:t xml:space="preserve">                                         </w:t>
      </w:r>
      <w:r>
        <w:rPr>
          <w:rFonts w:hint="eastAsia"/>
          <w:sz w:val="24"/>
          <w:szCs w:val="24"/>
        </w:rPr>
        <w:t>201</w:t>
      </w:r>
      <w:r>
        <w:rPr>
          <w:rFonts w:hint="eastAsia"/>
          <w:sz w:val="24"/>
          <w:szCs w:val="24"/>
          <w:lang w:val="en-US" w:eastAsia="zh-CN"/>
        </w:rPr>
        <w:t>6</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15</w:t>
      </w:r>
      <w:r>
        <w:rPr>
          <w:rFonts w:hint="eastAsia"/>
          <w:sz w:val="24"/>
          <w:szCs w:val="24"/>
        </w:rPr>
        <w:t>日</w:t>
      </w:r>
    </w:p>
    <w:bookmarkEnd w:id="0"/>
    <w:p>
      <w:pPr>
        <w:pStyle w:val="3"/>
        <w:ind w:left="0" w:leftChars="0" w:firstLine="0" w:firstLineChars="0"/>
        <w:rPr>
          <w:rFonts w:hint="eastAsia" w:ascii="宋体" w:hAnsi="宋体"/>
          <w:color w:val="auto"/>
          <w:lang w:val="en-US" w:eastAsia="zh-CN"/>
        </w:rPr>
      </w:pPr>
    </w:p>
    <w:p>
      <w:pPr>
        <w:pStyle w:val="3"/>
        <w:rPr>
          <w:rFonts w:hint="eastAsia" w:ascii="宋体" w:hAnsi="宋体"/>
          <w:color w:val="auto"/>
          <w:lang w:val="en-US" w:eastAsia="zh-CN"/>
        </w:rPr>
      </w:pPr>
    </w:p>
    <w:p>
      <w:pPr>
        <w:pStyle w:val="3"/>
        <w:rPr>
          <w:rFonts w:hint="eastAsia" w:ascii="宋体" w:hAnsi="宋体"/>
          <w:color w:val="auto"/>
          <w:lang w:val="en-US" w:eastAsia="zh-CN"/>
        </w:rPr>
      </w:pPr>
    </w:p>
    <w:p>
      <w:pPr>
        <w:pStyle w:val="3"/>
        <w:ind w:left="0" w:leftChars="0" w:firstLine="0" w:firstLineChars="0"/>
        <w:rPr>
          <w:rFonts w:hint="eastAsia" w:ascii="宋体" w:hAnsi="宋体"/>
          <w:color w:val="auto"/>
          <w:lang w:val="en-US" w:eastAsia="zh-CN"/>
        </w:rPr>
      </w:pPr>
    </w:p>
    <w:p>
      <w:pPr>
        <w:pStyle w:val="3"/>
        <w:rPr>
          <w:rFonts w:hint="eastAsia" w:ascii="宋体" w:hAnsi="宋体"/>
          <w:color w:val="auto"/>
          <w:lang w:val="en-US" w:eastAsia="zh-CN"/>
        </w:rPr>
      </w:pPr>
    </w:p>
    <w:p>
      <w:pPr>
        <w:jc w:val="both"/>
        <w:rPr>
          <w:rFonts w:hint="eastAsia"/>
          <w:sz w:val="28"/>
          <w:szCs w:val="28"/>
        </w:rPr>
      </w:pPr>
      <w:r>
        <w:rPr>
          <w:rFonts w:hint="eastAsia" w:ascii="宋体" w:hAnsi="宋体"/>
          <w:color w:val="auto"/>
          <w:lang w:val="en-US" w:eastAsia="zh-CN"/>
        </w:rPr>
        <w:t xml:space="preserve">                                       </w:t>
      </w:r>
    </w:p>
    <w:p>
      <w:pPr>
        <w:spacing w:line="360" w:lineRule="auto"/>
        <w:jc w:val="center"/>
        <w:rPr>
          <w:rFonts w:hint="eastAsia" w:ascii="宋体" w:hAnsi="宋体"/>
          <w:bCs/>
          <w:sz w:val="24"/>
          <w:szCs w:val="24"/>
          <w:lang w:val="en-US" w:eastAsia="zh-CN"/>
        </w:rPr>
      </w:pPr>
      <w:r>
        <w:rPr>
          <w:rFonts w:hint="eastAsia" w:ascii="宋体" w:hAnsi="宋体"/>
          <w:bCs/>
          <w:sz w:val="24"/>
          <w:szCs w:val="24"/>
          <w:lang w:val="en-US" w:eastAsia="zh-CN"/>
        </w:rPr>
        <w:t xml:space="preserve">  </w:t>
      </w:r>
    </w:p>
    <w:p>
      <w:pPr>
        <w:spacing w:line="360" w:lineRule="auto"/>
        <w:jc w:val="center"/>
        <w:rPr>
          <w:rFonts w:hint="eastAsia" w:ascii="宋体" w:hAnsi="宋体"/>
          <w:bCs/>
          <w:sz w:val="24"/>
          <w:szCs w:val="24"/>
          <w:lang w:val="en-US" w:eastAsia="zh-CN"/>
        </w:rPr>
      </w:pPr>
    </w:p>
    <w:p>
      <w:pPr>
        <w:spacing w:line="360" w:lineRule="auto"/>
        <w:jc w:val="center"/>
        <w:rPr>
          <w:rFonts w:hint="eastAsia" w:ascii="宋体" w:hAnsi="宋体"/>
          <w:bCs/>
          <w:sz w:val="24"/>
          <w:szCs w:val="24"/>
          <w:lang w:val="en-US" w:eastAsia="zh-CN"/>
        </w:rPr>
      </w:pPr>
    </w:p>
    <w:p>
      <w:pPr>
        <w:spacing w:line="360" w:lineRule="auto"/>
        <w:jc w:val="center"/>
        <w:rPr>
          <w:rFonts w:hint="eastAsia" w:ascii="宋体" w:hAnsi="宋体"/>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27966"/>
    <w:rsid w:val="50DD4F7A"/>
    <w:rsid w:val="5F395B1C"/>
    <w:rsid w:val="6C5B5E4F"/>
    <w:rsid w:val="73727966"/>
    <w:rsid w:val="7DD64D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adjustRightInd w:val="0"/>
      <w:snapToGrid w:val="0"/>
    </w:pPr>
    <w:rPr>
      <w:rFonts w:ascii="宋体" w:hAnsi="宋体"/>
      <w:kern w:val="0"/>
      <w:sz w:val="28"/>
    </w:rPr>
  </w:style>
  <w:style w:type="paragraph" w:styleId="3">
    <w:name w:val="Body Text Indent 2"/>
    <w:basedOn w:val="1"/>
    <w:uiPriority w:val="0"/>
    <w:pPr>
      <w:ind w:firstLine="700" w:firstLineChars="250"/>
    </w:pPr>
    <w:rPr>
      <w:rFonts w:ascii="Verdana" w:hAnsi="Verdana"/>
      <w:color w:val="333333"/>
      <w:sz w:val="2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2016-09-17T07:11:00Z</dcterms:created>
  <dc:creator>zh9</dc:creator>
  <cp:lastModifiedBy>zh9</cp:lastModifiedBy>
  <dcterms:modified xsi:type="dcterms:W3CDTF">2016-09-17T08:01:10Z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