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sz w:val="52"/>
          <w:szCs w:val="52"/>
          <w:lang w:eastAsia="zh-CN"/>
        </w:rPr>
      </w:pPr>
      <w:bookmarkStart w:id="0" w:name="_Hlk28766499"/>
      <w:bookmarkStart w:id="1" w:name="_Toc173164729"/>
      <w:bookmarkStart w:id="2" w:name="_Toc299021729"/>
      <w:bookmarkStart w:id="3" w:name="_Toc175568614"/>
      <w:bookmarkStart w:id="4" w:name="_Toc176150580"/>
      <w:bookmarkStart w:id="5" w:name="_Toc173165035"/>
      <w:bookmarkStart w:id="6" w:name="_Toc211854690"/>
    </w:p>
    <w:p>
      <w:pPr>
        <w:jc w:val="center"/>
        <w:rPr>
          <w:rFonts w:ascii="宋体" w:hAnsi="宋体"/>
          <w:b/>
          <w:bCs/>
          <w:sz w:val="44"/>
          <w:szCs w:val="44"/>
        </w:rPr>
      </w:pPr>
      <w:r>
        <w:rPr>
          <w:rFonts w:hint="eastAsia"/>
          <w:b/>
          <w:bCs/>
          <w:sz w:val="44"/>
          <w:szCs w:val="44"/>
          <w:lang w:eastAsia="zh-CN"/>
        </w:rPr>
        <w:t>浙江长兴天能动力（二期）</w:t>
      </w:r>
      <w:r>
        <w:rPr>
          <w:rFonts w:hint="eastAsia"/>
          <w:b/>
          <w:bCs/>
          <w:sz w:val="44"/>
          <w:szCs w:val="44"/>
          <w:lang w:val="en-US" w:eastAsia="zh-CN"/>
        </w:rPr>
        <w:t>0.61万千瓦综合智慧零碳电厂项目</w:t>
      </w:r>
    </w:p>
    <w:p>
      <w:pPr>
        <w:tabs>
          <w:tab w:val="center" w:pos="4880"/>
          <w:tab w:val="left" w:pos="8002"/>
        </w:tabs>
        <w:jc w:val="left"/>
        <w:rPr>
          <w:rFonts w:hint="eastAsia"/>
          <w:b/>
          <w:sz w:val="44"/>
          <w:szCs w:val="44"/>
          <w:lang w:eastAsia="zh-CN"/>
        </w:rPr>
      </w:pPr>
      <w:r>
        <w:rPr>
          <w:rFonts w:hint="eastAsia"/>
          <w:b/>
          <w:sz w:val="44"/>
          <w:szCs w:val="44"/>
          <w:lang w:eastAsia="zh-CN"/>
        </w:rPr>
        <w:tab/>
      </w:r>
    </w:p>
    <w:p>
      <w:pPr>
        <w:tabs>
          <w:tab w:val="center" w:pos="4880"/>
          <w:tab w:val="left" w:pos="8002"/>
        </w:tabs>
        <w:ind w:firstLine="3534" w:firstLineChars="800"/>
        <w:jc w:val="left"/>
        <w:rPr>
          <w:rFonts w:hint="eastAsia" w:ascii="等线" w:hAnsi="等线" w:eastAsia="宋体"/>
          <w:b/>
          <w:sz w:val="44"/>
          <w:szCs w:val="44"/>
          <w:lang w:eastAsia="zh-CN"/>
        </w:rPr>
      </w:pPr>
      <w:r>
        <w:rPr>
          <w:rFonts w:hint="eastAsia"/>
          <w:b/>
          <w:sz w:val="44"/>
          <w:szCs w:val="44"/>
        </w:rPr>
        <w:t>监</w:t>
      </w:r>
      <w:r>
        <w:rPr>
          <w:b/>
          <w:sz w:val="44"/>
          <w:szCs w:val="44"/>
        </w:rPr>
        <w:t xml:space="preserve"> </w:t>
      </w:r>
      <w:r>
        <w:rPr>
          <w:rFonts w:hint="eastAsia"/>
          <w:b/>
          <w:sz w:val="44"/>
          <w:szCs w:val="44"/>
        </w:rPr>
        <w:t>理</w:t>
      </w:r>
      <w:r>
        <w:rPr>
          <w:b/>
          <w:sz w:val="44"/>
          <w:szCs w:val="44"/>
        </w:rPr>
        <w:t xml:space="preserve"> </w:t>
      </w:r>
      <w:r>
        <w:rPr>
          <w:rFonts w:hint="eastAsia"/>
          <w:b/>
          <w:sz w:val="44"/>
          <w:szCs w:val="44"/>
        </w:rPr>
        <w:t>细</w:t>
      </w:r>
      <w:r>
        <w:rPr>
          <w:b/>
          <w:sz w:val="44"/>
          <w:szCs w:val="44"/>
        </w:rPr>
        <w:t xml:space="preserve"> </w:t>
      </w:r>
      <w:r>
        <w:rPr>
          <w:rFonts w:hint="eastAsia"/>
          <w:b/>
          <w:sz w:val="44"/>
          <w:szCs w:val="44"/>
        </w:rPr>
        <w:t>则</w:t>
      </w:r>
      <w:r>
        <w:rPr>
          <w:rFonts w:hint="eastAsia"/>
          <w:b/>
          <w:sz w:val="44"/>
          <w:szCs w:val="44"/>
          <w:lang w:eastAsia="zh-CN"/>
        </w:rPr>
        <w:tab/>
      </w:r>
    </w:p>
    <w:p>
      <w:pPr>
        <w:jc w:val="center"/>
        <w:rPr>
          <w:b/>
          <w:color w:val="FF0000"/>
          <w:sz w:val="44"/>
          <w:szCs w:val="44"/>
        </w:rPr>
      </w:pPr>
      <w:r>
        <w:rPr>
          <w:rFonts w:hint="eastAsia"/>
          <w:b/>
          <w:sz w:val="44"/>
          <w:szCs w:val="44"/>
        </w:rPr>
        <w:t>（</w:t>
      </w:r>
      <w:r>
        <w:rPr>
          <w:rFonts w:hint="eastAsia"/>
          <w:b/>
          <w:sz w:val="44"/>
          <w:szCs w:val="44"/>
          <w:lang w:val="en-US" w:eastAsia="zh-CN"/>
        </w:rPr>
        <w:t>电气</w:t>
      </w:r>
      <w:r>
        <w:rPr>
          <w:rFonts w:hint="eastAsia"/>
          <w:b/>
          <w:sz w:val="44"/>
          <w:szCs w:val="44"/>
        </w:rPr>
        <w:t>）</w:t>
      </w:r>
    </w:p>
    <w:p>
      <w:pPr>
        <w:widowControl/>
        <w:jc w:val="left"/>
        <w:rPr>
          <w:szCs w:val="22"/>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spacing w:line="480" w:lineRule="auto"/>
        <w:ind w:firstLine="3213" w:firstLineChars="1000"/>
        <w:jc w:val="both"/>
        <w:rPr>
          <w:rFonts w:hint="default" w:ascii="宋体" w:hAnsi="宋体" w:eastAsia="宋体"/>
          <w:b/>
          <w:bCs/>
          <w:sz w:val="32"/>
          <w:u w:val="none"/>
          <w:lang w:val="en-US" w:eastAsia="zh-CN"/>
        </w:rPr>
      </w:pPr>
      <w:r>
        <w:rPr>
          <w:rFonts w:hint="eastAsia" w:ascii="宋体" w:hAnsi="宋体"/>
          <w:b/>
          <w:bCs/>
          <w:sz w:val="32"/>
        </w:rPr>
        <w:t>批准：</w:t>
      </w:r>
      <w:r>
        <w:rPr>
          <w:rFonts w:hint="eastAsia" w:ascii="宋体" w:hAnsi="宋体"/>
          <w:b/>
          <w:bCs/>
          <w:sz w:val="32"/>
          <w:u w:val="single"/>
        </w:rPr>
        <w:t xml:space="preserve">             </w:t>
      </w:r>
      <w:r>
        <w:rPr>
          <w:rFonts w:hint="eastAsia" w:ascii="宋体" w:hAnsi="宋体"/>
          <w:b/>
          <w:bCs/>
          <w:sz w:val="32"/>
          <w:u w:val="none"/>
          <w:lang w:val="en-US" w:eastAsia="zh-CN"/>
        </w:rPr>
        <w:t xml:space="preserve">  </w:t>
      </w:r>
    </w:p>
    <w:p>
      <w:pPr>
        <w:spacing w:line="480" w:lineRule="auto"/>
        <w:ind w:firstLine="3213" w:firstLineChars="1000"/>
        <w:jc w:val="both"/>
        <w:rPr>
          <w:rFonts w:hint="eastAsia" w:ascii="宋体" w:hAnsi="宋体"/>
          <w:b/>
          <w:bCs/>
          <w:sz w:val="32"/>
        </w:rPr>
      </w:pPr>
    </w:p>
    <w:p>
      <w:pPr>
        <w:spacing w:line="480" w:lineRule="auto"/>
        <w:ind w:firstLine="3213" w:firstLineChars="1000"/>
        <w:jc w:val="both"/>
        <w:rPr>
          <w:rFonts w:hint="eastAsia" w:ascii="宋体" w:hAnsi="宋体"/>
          <w:b/>
          <w:bCs/>
          <w:sz w:val="32"/>
          <w:u w:val="single"/>
        </w:rPr>
      </w:pPr>
      <w:r>
        <w:rPr>
          <w:rFonts w:hint="eastAsia" w:ascii="宋体" w:hAnsi="宋体"/>
          <w:b/>
          <w:bCs/>
          <w:sz w:val="32"/>
        </w:rPr>
        <w:t>审核：</w:t>
      </w:r>
      <w:r>
        <w:rPr>
          <w:rFonts w:hint="eastAsia" w:ascii="宋体" w:hAnsi="宋体"/>
          <w:b/>
          <w:bCs/>
          <w:sz w:val="32"/>
          <w:u w:val="single"/>
        </w:rPr>
        <w:t xml:space="preserve">             </w:t>
      </w:r>
      <w:r>
        <w:rPr>
          <w:rFonts w:hint="eastAsia" w:ascii="宋体" w:hAnsi="宋体"/>
          <w:b/>
          <w:bCs/>
          <w:sz w:val="32"/>
          <w:u w:val="none"/>
          <w:lang w:val="en-US" w:eastAsia="zh-CN"/>
        </w:rPr>
        <w:t xml:space="preserve">  </w:t>
      </w:r>
    </w:p>
    <w:p>
      <w:pPr>
        <w:spacing w:line="480" w:lineRule="auto"/>
        <w:ind w:firstLine="3213" w:firstLineChars="1000"/>
        <w:jc w:val="both"/>
        <w:rPr>
          <w:rFonts w:hint="eastAsia" w:ascii="宋体" w:hAnsi="宋体"/>
          <w:b/>
          <w:bCs/>
          <w:sz w:val="32"/>
        </w:rPr>
      </w:pPr>
    </w:p>
    <w:p>
      <w:pPr>
        <w:spacing w:line="480" w:lineRule="auto"/>
        <w:ind w:firstLine="3213" w:firstLineChars="1000"/>
        <w:jc w:val="both"/>
        <w:rPr>
          <w:rFonts w:hint="eastAsia" w:ascii="宋体" w:hAnsi="宋体"/>
          <w:sz w:val="28"/>
          <w:u w:val="single"/>
        </w:rPr>
      </w:pPr>
      <w:r>
        <w:rPr>
          <w:rFonts w:hint="eastAsia" w:ascii="宋体" w:hAnsi="宋体"/>
          <w:b/>
          <w:bCs/>
          <w:sz w:val="32"/>
        </w:rPr>
        <w:t>编制：</w:t>
      </w:r>
      <w:r>
        <w:rPr>
          <w:rFonts w:hint="eastAsia" w:ascii="宋体" w:hAnsi="宋体"/>
          <w:b/>
          <w:bCs/>
          <w:sz w:val="32"/>
          <w:u w:val="single"/>
        </w:rPr>
        <w:t xml:space="preserve">             </w:t>
      </w:r>
      <w:r>
        <w:rPr>
          <w:rFonts w:hint="eastAsia" w:ascii="宋体" w:hAnsi="宋体"/>
          <w:b/>
          <w:bCs/>
          <w:sz w:val="32"/>
          <w:u w:val="none"/>
          <w:lang w:val="en-US" w:eastAsia="zh-CN"/>
        </w:rPr>
        <w:t xml:space="preserve">  </w:t>
      </w:r>
    </w:p>
    <w:p>
      <w:pPr>
        <w:widowControl/>
        <w:jc w:val="left"/>
        <w:rPr>
          <w:rFonts w:hint="eastAsia"/>
        </w:rPr>
      </w:pPr>
    </w:p>
    <w:p>
      <w:pPr>
        <w:widowControl/>
        <w:jc w:val="left"/>
      </w:pPr>
    </w:p>
    <w:p>
      <w:pPr>
        <w:widowControl/>
        <w:jc w:val="left"/>
      </w:pPr>
    </w:p>
    <w:p>
      <w:pPr>
        <w:widowControl/>
        <w:jc w:val="left"/>
      </w:pPr>
    </w:p>
    <w:p>
      <w:pPr>
        <w:widowControl/>
        <w:jc w:val="left"/>
      </w:pPr>
    </w:p>
    <w:p>
      <w:pPr>
        <w:widowControl/>
        <w:jc w:val="left"/>
      </w:pPr>
    </w:p>
    <w:p>
      <w:pPr>
        <w:tabs>
          <w:tab w:val="left" w:pos="6398"/>
        </w:tabs>
        <w:rPr>
          <w:rFonts w:ascii="宋体" w:hAnsi="宋体"/>
          <w:b/>
          <w:bCs/>
          <w:sz w:val="32"/>
          <w:szCs w:val="22"/>
        </w:rPr>
      </w:pPr>
    </w:p>
    <w:p>
      <w:pPr>
        <w:jc w:val="center"/>
        <w:rPr>
          <w:rFonts w:hint="eastAsia" w:ascii="宋体" w:hAnsi="宋体"/>
          <w:b/>
          <w:bCs/>
          <w:sz w:val="32"/>
          <w:szCs w:val="22"/>
        </w:rPr>
      </w:pPr>
      <w:r>
        <w:rPr>
          <w:rFonts w:hint="eastAsia" w:ascii="宋体" w:hAnsi="宋体"/>
          <w:b/>
          <w:bCs/>
          <w:sz w:val="32"/>
          <w:szCs w:val="22"/>
        </w:rPr>
        <w:t>常州正衡电力工程监理有限公司</w:t>
      </w:r>
    </w:p>
    <w:p>
      <w:pPr>
        <w:jc w:val="center"/>
        <w:rPr>
          <w:rFonts w:hint="eastAsia" w:ascii="宋体" w:hAnsi="宋体"/>
          <w:b/>
          <w:bCs/>
          <w:sz w:val="32"/>
          <w:szCs w:val="22"/>
        </w:rPr>
      </w:pPr>
      <w:r>
        <w:rPr>
          <w:rFonts w:hint="eastAsia" w:ascii="宋体" w:hAnsi="宋体"/>
          <w:b/>
          <w:bCs/>
          <w:sz w:val="32"/>
          <w:szCs w:val="22"/>
        </w:rPr>
        <w:t>监理</w:t>
      </w:r>
      <w:r>
        <w:rPr>
          <w:rFonts w:hint="eastAsia" w:ascii="宋体" w:hAnsi="宋体"/>
          <w:b/>
          <w:bCs/>
          <w:sz w:val="32"/>
          <w:szCs w:val="22"/>
          <w:lang w:val="en-US" w:eastAsia="zh-CN"/>
        </w:rPr>
        <w:t>项目</w:t>
      </w:r>
      <w:r>
        <w:rPr>
          <w:rFonts w:hint="eastAsia" w:ascii="宋体" w:hAnsi="宋体"/>
          <w:b/>
          <w:bCs/>
          <w:sz w:val="32"/>
          <w:szCs w:val="22"/>
        </w:rPr>
        <w:t>部</w:t>
      </w:r>
    </w:p>
    <w:p>
      <w:pPr>
        <w:jc w:val="center"/>
        <w:rPr>
          <w:rFonts w:hint="default" w:ascii="宋体" w:hAnsi="宋体"/>
          <w:b/>
          <w:bCs/>
          <w:sz w:val="32"/>
          <w:szCs w:val="22"/>
          <w:lang w:val="en-US" w:eastAsia="zh-CN"/>
        </w:rPr>
      </w:pPr>
      <w:r>
        <w:rPr>
          <w:rFonts w:hint="eastAsia" w:ascii="宋体" w:hAnsi="宋体"/>
          <w:b/>
          <w:bCs/>
          <w:sz w:val="32"/>
          <w:szCs w:val="22"/>
        </w:rPr>
        <w:t>20</w:t>
      </w:r>
      <w:r>
        <w:rPr>
          <w:rFonts w:hint="eastAsia" w:ascii="宋体" w:hAnsi="宋体"/>
          <w:b/>
          <w:bCs/>
          <w:sz w:val="32"/>
          <w:szCs w:val="22"/>
          <w:lang w:val="en-US" w:eastAsia="zh-CN"/>
        </w:rPr>
        <w:t>23</w:t>
      </w:r>
      <w:r>
        <w:rPr>
          <w:rFonts w:hint="eastAsia" w:ascii="宋体" w:hAnsi="宋体"/>
          <w:b/>
          <w:bCs/>
          <w:sz w:val="32"/>
          <w:szCs w:val="22"/>
        </w:rPr>
        <w:t>年</w:t>
      </w:r>
      <w:r>
        <w:rPr>
          <w:rFonts w:hint="eastAsia" w:ascii="宋体" w:hAnsi="宋体"/>
          <w:b/>
          <w:bCs/>
          <w:sz w:val="32"/>
          <w:szCs w:val="22"/>
          <w:lang w:val="en-US" w:eastAsia="zh-CN"/>
        </w:rPr>
        <w:t>0</w:t>
      </w:r>
      <w:bookmarkEnd w:id="0"/>
      <w:r>
        <w:rPr>
          <w:rFonts w:hint="eastAsia" w:ascii="宋体" w:hAnsi="宋体"/>
          <w:b/>
          <w:bCs/>
          <w:sz w:val="32"/>
          <w:szCs w:val="22"/>
          <w:lang w:val="en-US" w:eastAsia="zh-CN"/>
        </w:rPr>
        <w:t>6月</w:t>
      </w:r>
    </w:p>
    <w:p>
      <w:pPr>
        <w:bidi w:val="0"/>
        <w:rPr>
          <w:rFonts w:hint="eastAsia" w:ascii="Times New Roman" w:hAnsi="Times New Roman" w:eastAsia="宋体" w:cs="Times New Roman"/>
          <w:kern w:val="2"/>
          <w:sz w:val="20"/>
          <w:szCs w:val="22"/>
          <w:lang w:val="en-US" w:eastAsia="zh-CN" w:bidi="ar-SA"/>
        </w:rPr>
      </w:pPr>
    </w:p>
    <w:p>
      <w:pPr>
        <w:bidi w:val="0"/>
        <w:rPr>
          <w:rFonts w:hint="eastAsia"/>
          <w:sz w:val="20"/>
          <w:szCs w:val="22"/>
          <w:lang w:val="en-US" w:eastAsia="zh-CN"/>
        </w:rPr>
      </w:pPr>
    </w:p>
    <w:p>
      <w:pPr>
        <w:bidi w:val="0"/>
        <w:rPr>
          <w:rFonts w:hint="eastAsia"/>
          <w:lang w:val="en-US" w:eastAsia="zh-CN"/>
        </w:rPr>
      </w:pPr>
    </w:p>
    <w:p>
      <w:pPr>
        <w:tabs>
          <w:tab w:val="left" w:pos="1192"/>
        </w:tabs>
        <w:bidi w:val="0"/>
        <w:jc w:val="left"/>
        <w:rPr>
          <w:rFonts w:hint="eastAsia"/>
          <w:lang w:val="en-US" w:eastAsia="zh-CN"/>
        </w:rPr>
      </w:pPr>
      <w:r>
        <w:rPr>
          <w:rFonts w:hint="eastAsia"/>
          <w:lang w:val="en-US" w:eastAsia="zh-CN"/>
        </w:rPr>
        <w:tab/>
      </w:r>
    </w:p>
    <w:p>
      <w:pPr>
        <w:tabs>
          <w:tab w:val="left" w:pos="1192"/>
        </w:tabs>
        <w:bidi w:val="0"/>
        <w:jc w:val="left"/>
        <w:rPr>
          <w:rFonts w:hint="eastAsia"/>
          <w:lang w:val="en-US" w:eastAsia="zh-CN"/>
        </w:rPr>
      </w:pPr>
    </w:p>
    <w:p>
      <w:pPr>
        <w:tabs>
          <w:tab w:val="left" w:pos="1192"/>
        </w:tabs>
        <w:bidi w:val="0"/>
        <w:jc w:val="left"/>
        <w:rPr>
          <w:rFonts w:hint="eastAsia"/>
          <w:lang w:val="en-US" w:eastAsia="zh-CN"/>
        </w:rPr>
      </w:pPr>
    </w:p>
    <w:p>
      <w:pPr>
        <w:tabs>
          <w:tab w:val="left" w:pos="1192"/>
        </w:tabs>
        <w:bidi w:val="0"/>
        <w:jc w:val="left"/>
        <w:rPr>
          <w:rFonts w:hint="eastAsia"/>
          <w:lang w:val="en-US" w:eastAsia="zh-CN"/>
        </w:rPr>
      </w:pPr>
    </w:p>
    <w:p>
      <w:pPr>
        <w:tabs>
          <w:tab w:val="left" w:pos="1192"/>
        </w:tabs>
        <w:bidi w:val="0"/>
        <w:jc w:val="left"/>
        <w:rPr>
          <w:rFonts w:hint="eastAsia"/>
          <w:sz w:val="24"/>
          <w:szCs w:val="32"/>
          <w:lang w:val="en-US" w:eastAsia="zh-CN"/>
        </w:rPr>
      </w:pPr>
    </w:p>
    <w:p>
      <w:pPr>
        <w:tabs>
          <w:tab w:val="left" w:pos="1192"/>
        </w:tabs>
        <w:bidi w:val="0"/>
        <w:ind w:firstLine="4800" w:firstLineChars="1500"/>
        <w:jc w:val="left"/>
        <w:rPr>
          <w:rFonts w:hint="eastAsia"/>
          <w:sz w:val="32"/>
          <w:szCs w:val="40"/>
          <w:lang w:val="en-US" w:eastAsia="zh-CN"/>
        </w:rPr>
      </w:pPr>
      <w:r>
        <w:rPr>
          <w:rFonts w:hint="eastAsia"/>
          <w:sz w:val="32"/>
          <w:szCs w:val="40"/>
          <w:lang w:val="en-US" w:eastAsia="zh-CN"/>
        </w:rPr>
        <w:t>目录</w:t>
      </w:r>
    </w:p>
    <w:p>
      <w:pPr>
        <w:numPr>
          <w:ilvl w:val="0"/>
          <w:numId w:val="1"/>
        </w:numPr>
        <w:tabs>
          <w:tab w:val="left" w:pos="1192"/>
        </w:tabs>
        <w:bidi w:val="0"/>
        <w:jc w:val="left"/>
        <w:rPr>
          <w:rFonts w:hint="eastAsia"/>
          <w:sz w:val="28"/>
          <w:szCs w:val="36"/>
          <w:lang w:val="en-US" w:eastAsia="zh-CN"/>
        </w:rPr>
      </w:pPr>
      <w:r>
        <w:rPr>
          <w:rFonts w:hint="eastAsia"/>
          <w:sz w:val="28"/>
          <w:szCs w:val="36"/>
          <w:lang w:val="en-US" w:eastAsia="zh-CN"/>
        </w:rPr>
        <w:t xml:space="preserve">概述 </w:t>
      </w:r>
      <w:r>
        <w:rPr>
          <w:rFonts w:hint="eastAsia"/>
          <w:sz w:val="28"/>
          <w:szCs w:val="36"/>
          <w:u w:val="none"/>
          <w:lang w:val="en-US" w:eastAsia="zh-CN"/>
        </w:rPr>
        <w:t xml:space="preserve">                                                 </w:t>
      </w:r>
    </w:p>
    <w:p>
      <w:pPr>
        <w:numPr>
          <w:ilvl w:val="0"/>
          <w:numId w:val="1"/>
        </w:numPr>
        <w:tabs>
          <w:tab w:val="left" w:pos="1192"/>
        </w:tabs>
        <w:bidi w:val="0"/>
        <w:jc w:val="left"/>
        <w:rPr>
          <w:rFonts w:hint="default"/>
          <w:sz w:val="28"/>
          <w:szCs w:val="36"/>
          <w:lang w:val="en-US" w:eastAsia="zh-CN"/>
        </w:rPr>
      </w:pPr>
      <w:r>
        <w:rPr>
          <w:rFonts w:hint="eastAsia"/>
          <w:sz w:val="28"/>
          <w:szCs w:val="36"/>
          <w:lang w:val="en-US" w:eastAsia="zh-CN"/>
        </w:rPr>
        <w:t>施工质量控制的重点及目标值</w:t>
      </w:r>
    </w:p>
    <w:p>
      <w:pPr>
        <w:numPr>
          <w:ilvl w:val="0"/>
          <w:numId w:val="1"/>
        </w:numPr>
        <w:tabs>
          <w:tab w:val="left" w:pos="1192"/>
        </w:tabs>
        <w:bidi w:val="0"/>
        <w:jc w:val="left"/>
        <w:rPr>
          <w:rFonts w:hint="default"/>
          <w:sz w:val="28"/>
          <w:szCs w:val="36"/>
          <w:lang w:val="en-US" w:eastAsia="zh-CN"/>
        </w:rPr>
      </w:pPr>
      <w:r>
        <w:rPr>
          <w:rFonts w:hint="eastAsia"/>
          <w:sz w:val="28"/>
          <w:szCs w:val="36"/>
          <w:lang w:val="en-US" w:eastAsia="zh-CN"/>
        </w:rPr>
        <w:t>监理控制的程序和措施</w:t>
      </w:r>
    </w:p>
    <w:p>
      <w:pPr>
        <w:numPr>
          <w:ilvl w:val="0"/>
          <w:numId w:val="1"/>
        </w:numPr>
        <w:tabs>
          <w:tab w:val="left" w:pos="1192"/>
        </w:tabs>
        <w:bidi w:val="0"/>
        <w:jc w:val="left"/>
        <w:rPr>
          <w:rFonts w:hint="default"/>
          <w:sz w:val="28"/>
          <w:szCs w:val="36"/>
          <w:lang w:val="en-US" w:eastAsia="zh-CN"/>
        </w:rPr>
      </w:pPr>
      <w:r>
        <w:rPr>
          <w:rFonts w:hint="eastAsia"/>
          <w:sz w:val="28"/>
          <w:szCs w:val="36"/>
          <w:lang w:val="en-US" w:eastAsia="zh-CN"/>
        </w:rPr>
        <w:t>质量验收程序</w:t>
      </w:r>
    </w:p>
    <w:p>
      <w:pPr>
        <w:numPr>
          <w:ilvl w:val="0"/>
          <w:numId w:val="1"/>
        </w:numPr>
        <w:tabs>
          <w:tab w:val="left" w:pos="1192"/>
        </w:tabs>
        <w:bidi w:val="0"/>
        <w:jc w:val="left"/>
        <w:rPr>
          <w:rFonts w:hint="default"/>
          <w:sz w:val="28"/>
          <w:szCs w:val="36"/>
          <w:lang w:val="en-US" w:eastAsia="zh-CN"/>
        </w:rPr>
      </w:pPr>
      <w:r>
        <w:rPr>
          <w:rFonts w:hint="eastAsia"/>
          <w:sz w:val="28"/>
          <w:szCs w:val="36"/>
          <w:lang w:val="en-US" w:eastAsia="zh-CN"/>
        </w:rPr>
        <w:t>进度控制</w:t>
      </w:r>
    </w:p>
    <w:p>
      <w:pPr>
        <w:numPr>
          <w:ilvl w:val="0"/>
          <w:numId w:val="1"/>
        </w:numPr>
        <w:tabs>
          <w:tab w:val="left" w:pos="1192"/>
        </w:tabs>
        <w:bidi w:val="0"/>
        <w:jc w:val="left"/>
        <w:rPr>
          <w:rFonts w:hint="default"/>
          <w:sz w:val="28"/>
          <w:szCs w:val="36"/>
          <w:lang w:val="en-US" w:eastAsia="zh-CN"/>
        </w:rPr>
      </w:pPr>
      <w:r>
        <w:rPr>
          <w:rFonts w:hint="eastAsia"/>
          <w:sz w:val="28"/>
          <w:szCs w:val="36"/>
          <w:lang w:val="en-US" w:eastAsia="zh-CN"/>
        </w:rPr>
        <w:t>安全文明施工要求</w:t>
      </w:r>
    </w:p>
    <w:p>
      <w:pPr>
        <w:tabs>
          <w:tab w:val="left" w:pos="1192"/>
        </w:tabs>
        <w:bidi w:val="0"/>
        <w:ind w:firstLine="4200" w:firstLineChars="1500"/>
        <w:jc w:val="left"/>
        <w:rPr>
          <w:rFonts w:hint="eastAsia"/>
          <w:sz w:val="28"/>
          <w:szCs w:val="36"/>
          <w:lang w:val="en-US" w:eastAsia="zh-CN"/>
        </w:rPr>
      </w:pPr>
    </w:p>
    <w:p>
      <w:pPr>
        <w:tabs>
          <w:tab w:val="left" w:pos="1192"/>
        </w:tabs>
        <w:bidi w:val="0"/>
        <w:ind w:firstLine="4200" w:firstLineChars="1500"/>
        <w:jc w:val="left"/>
        <w:rPr>
          <w:rFonts w:hint="eastAsia"/>
          <w:sz w:val="28"/>
          <w:szCs w:val="36"/>
          <w:lang w:val="en-US" w:eastAsia="zh-CN"/>
        </w:rPr>
      </w:pPr>
    </w:p>
    <w:p>
      <w:pPr>
        <w:tabs>
          <w:tab w:val="left" w:pos="1192"/>
        </w:tabs>
        <w:bidi w:val="0"/>
        <w:ind w:firstLine="4200" w:firstLineChars="1500"/>
        <w:jc w:val="left"/>
        <w:rPr>
          <w:rFonts w:hint="eastAsia"/>
          <w:sz w:val="28"/>
          <w:szCs w:val="36"/>
          <w:lang w:val="en-US" w:eastAsia="zh-CN"/>
        </w:rPr>
      </w:pPr>
    </w:p>
    <w:p>
      <w:pPr>
        <w:tabs>
          <w:tab w:val="left" w:pos="1192"/>
        </w:tabs>
        <w:bidi w:val="0"/>
        <w:ind w:firstLine="4200" w:firstLineChars="1500"/>
        <w:jc w:val="left"/>
        <w:rPr>
          <w:rFonts w:hint="eastAsia"/>
          <w:sz w:val="28"/>
          <w:szCs w:val="36"/>
          <w:lang w:val="en-US" w:eastAsia="zh-CN"/>
        </w:rPr>
        <w:sectPr>
          <w:headerReference r:id="rId4" w:type="first"/>
          <w:footerReference r:id="rId7" w:type="first"/>
          <w:headerReference r:id="rId3" w:type="default"/>
          <w:footerReference r:id="rId5" w:type="default"/>
          <w:footerReference r:id="rId6" w:type="even"/>
          <w:pgSz w:w="11906" w:h="16838"/>
          <w:pgMar w:top="933" w:right="964" w:bottom="1077" w:left="1304" w:header="779" w:footer="992" w:gutter="0"/>
          <w:pgNumType w:fmt="decimal" w:start="0"/>
          <w:cols w:space="720" w:num="1"/>
          <w:docGrid w:type="lines" w:linePitch="312" w:charSpace="0"/>
        </w:sectPr>
      </w:pPr>
    </w:p>
    <w:p>
      <w:pPr>
        <w:pStyle w:val="59"/>
        <w:spacing w:before="0" w:after="0" w:line="360" w:lineRule="auto"/>
        <w:rPr>
          <w:rFonts w:hint="eastAsia" w:ascii="仿宋" w:hAnsi="仿宋" w:eastAsia="仿宋" w:cs="仿宋"/>
          <w:sz w:val="32"/>
          <w:szCs w:val="32"/>
        </w:rPr>
      </w:pPr>
      <w:bookmarkStart w:id="7" w:name="_Toc299183610"/>
      <w:r>
        <w:rPr>
          <w:rFonts w:hint="eastAsia" w:ascii="仿宋" w:hAnsi="仿宋" w:eastAsia="仿宋" w:cs="仿宋"/>
          <w:sz w:val="32"/>
          <w:szCs w:val="32"/>
          <w:lang w:eastAsia="zh-CN"/>
        </w:rPr>
        <w:t>一、</w:t>
      </w:r>
      <w:r>
        <w:rPr>
          <w:rFonts w:hint="eastAsia" w:ascii="仿宋" w:hAnsi="仿宋" w:eastAsia="仿宋" w:cs="仿宋"/>
          <w:sz w:val="32"/>
          <w:szCs w:val="32"/>
        </w:rPr>
        <w:t>概述</w:t>
      </w:r>
      <w:bookmarkEnd w:id="1"/>
      <w:bookmarkEnd w:id="2"/>
      <w:bookmarkEnd w:id="3"/>
      <w:bookmarkEnd w:id="4"/>
      <w:bookmarkEnd w:id="5"/>
      <w:bookmarkEnd w:id="6"/>
      <w:bookmarkEnd w:id="7"/>
    </w:p>
    <w:p>
      <w:pPr>
        <w:spacing w:line="360" w:lineRule="auto"/>
        <w:rPr>
          <w:rFonts w:hint="default"/>
          <w:sz w:val="24"/>
          <w:szCs w:val="24"/>
          <w:lang w:val="en-US" w:eastAsia="zh-CN"/>
        </w:rPr>
      </w:pPr>
      <w:bookmarkStart w:id="8" w:name="_Toc20475872"/>
      <w:bookmarkStart w:id="9" w:name="_Toc129096794"/>
      <w:bookmarkStart w:id="10" w:name="_Toc176150582"/>
      <w:bookmarkStart w:id="11" w:name="_Toc299183611"/>
      <w:bookmarkStart w:id="12" w:name="_Toc299021730"/>
      <w:bookmarkStart w:id="13" w:name="_Toc20880889"/>
      <w:bookmarkStart w:id="14" w:name="_Toc174614942"/>
      <w:bookmarkStart w:id="15" w:name="_Toc21140809"/>
      <w:bookmarkStart w:id="16" w:name="_Toc161147649"/>
      <w:bookmarkStart w:id="17" w:name="_Toc174604252"/>
      <w:bookmarkStart w:id="18" w:name="_Toc174874762"/>
      <w:bookmarkStart w:id="19" w:name="_Toc129377943"/>
      <w:bookmarkStart w:id="20" w:name="_Toc175568616"/>
      <w:r>
        <w:rPr>
          <w:rFonts w:hint="eastAsia"/>
          <w:sz w:val="24"/>
          <w:szCs w:val="24"/>
          <w:lang w:eastAsia="zh-CN"/>
        </w:rPr>
        <w:t>浙江天能动力能源有限公司分布式发电项目（</w:t>
      </w:r>
      <w:r>
        <w:rPr>
          <w:rFonts w:hint="eastAsia"/>
          <w:sz w:val="24"/>
          <w:szCs w:val="24"/>
          <w:lang w:val="en-US" w:eastAsia="zh-CN"/>
        </w:rPr>
        <w:t>0.61万千瓦</w:t>
      </w:r>
      <w:r>
        <w:rPr>
          <w:rFonts w:hint="eastAsia"/>
          <w:sz w:val="24"/>
          <w:szCs w:val="24"/>
          <w:lang w:eastAsia="zh-CN"/>
        </w:rPr>
        <w:t>）本项目位于浙江省湖州市长兴县和平镇开发区城南工业区。利用天能动力能源有限公司吴山基地厂区屋顶建设</w:t>
      </w:r>
      <w:r>
        <w:rPr>
          <w:rFonts w:hint="eastAsia"/>
          <w:sz w:val="24"/>
          <w:szCs w:val="24"/>
          <w:lang w:val="en-US" w:eastAsia="zh-CN"/>
        </w:rPr>
        <w:t>6.1MW自发自用、余电上网的屋顶分布式光伏发电项目，预计处发电量600万度。</w:t>
      </w:r>
    </w:p>
    <w:p>
      <w:pPr>
        <w:pStyle w:val="59"/>
        <w:spacing w:before="0" w:after="0" w:line="360" w:lineRule="auto"/>
        <w:rPr>
          <w:rFonts w:hint="eastAsia" w:ascii="仿宋" w:hAnsi="仿宋" w:eastAsia="仿宋" w:cs="仿宋"/>
        </w:rPr>
      </w:pPr>
      <w:bookmarkStart w:id="118" w:name="_GoBack"/>
      <w:bookmarkEnd w:id="118"/>
      <w:r>
        <w:rPr>
          <w:rFonts w:hint="eastAsia" w:ascii="仿宋" w:hAnsi="仿宋" w:eastAsia="仿宋" w:cs="仿宋"/>
        </w:rPr>
        <w:t>1.1监理范围</w:t>
      </w:r>
      <w:bookmarkEnd w:id="8"/>
      <w:bookmarkEnd w:id="9"/>
      <w:bookmarkEnd w:id="10"/>
      <w:bookmarkEnd w:id="11"/>
      <w:bookmarkEnd w:id="12"/>
      <w:bookmarkEnd w:id="13"/>
      <w:bookmarkEnd w:id="14"/>
      <w:bookmarkEnd w:id="15"/>
      <w:bookmarkEnd w:id="16"/>
      <w:bookmarkEnd w:id="17"/>
      <w:bookmarkEnd w:id="18"/>
      <w:bookmarkEnd w:id="19"/>
      <w:bookmarkEnd w:id="20"/>
      <w:bookmarkStart w:id="21" w:name="_Toc129377992"/>
      <w:bookmarkStart w:id="22" w:name="_Toc129139247"/>
      <w:r>
        <w:rPr>
          <w:rFonts w:hint="eastAsia" w:ascii="仿宋" w:hAnsi="仿宋" w:eastAsia="仿宋" w:cs="仿宋"/>
        </w:rPr>
        <w:t xml:space="preserve"> </w:t>
      </w:r>
      <w:bookmarkEnd w:id="21"/>
      <w:bookmarkEnd w:id="22"/>
    </w:p>
    <w:p>
      <w:pPr>
        <w:pStyle w:val="73"/>
        <w:ind w:left="0" w:leftChars="0" w:firstLine="480" w:firstLineChars="200"/>
        <w:rPr>
          <w:rFonts w:hint="eastAsia" w:ascii="仿宋" w:hAnsi="仿宋" w:eastAsia="仿宋" w:cs="仿宋"/>
          <w:sz w:val="24"/>
          <w:szCs w:val="24"/>
        </w:rPr>
      </w:pPr>
      <w:bookmarkStart w:id="23" w:name="_Toc174614943"/>
      <w:bookmarkStart w:id="24" w:name="_Toc174604253"/>
      <w:bookmarkStart w:id="25" w:name="_Toc176150583"/>
      <w:bookmarkStart w:id="26" w:name="_Toc175568617"/>
      <w:bookmarkStart w:id="27" w:name="_Toc174874763"/>
      <w:bookmarkStart w:id="28" w:name="_Toc161147654"/>
      <w:bookmarkStart w:id="29" w:name="_Toc299021731"/>
      <w:r>
        <w:rPr>
          <w:rFonts w:hint="eastAsia" w:ascii="仿宋" w:hAnsi="仿宋" w:eastAsia="仿宋" w:cs="仿宋"/>
          <w:sz w:val="24"/>
          <w:szCs w:val="24"/>
        </w:rPr>
        <w:t>以下所述各系统电气设备的到货验收、</w:t>
      </w:r>
      <w:r>
        <w:rPr>
          <w:rFonts w:hint="eastAsia" w:ascii="仿宋" w:hAnsi="仿宋" w:eastAsia="仿宋" w:cs="仿宋"/>
          <w:sz w:val="24"/>
          <w:szCs w:val="24"/>
          <w:lang w:eastAsia="zh-CN"/>
        </w:rPr>
        <w:t>电气</w:t>
      </w:r>
      <w:r>
        <w:rPr>
          <w:rFonts w:hint="eastAsia" w:ascii="仿宋" w:hAnsi="仿宋" w:eastAsia="仿宋" w:cs="仿宋"/>
          <w:sz w:val="24"/>
          <w:szCs w:val="24"/>
        </w:rPr>
        <w:t>试验、调试、试运行等工作。</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)并网逆变器的安装调试</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)逆变器</w:t>
      </w:r>
      <w:r>
        <w:rPr>
          <w:rFonts w:hint="eastAsia" w:ascii="仿宋" w:hAnsi="仿宋" w:eastAsia="仿宋" w:cs="仿宋"/>
          <w:sz w:val="24"/>
          <w:szCs w:val="24"/>
          <w:lang w:eastAsia="zh-CN"/>
        </w:rPr>
        <w:t>的</w:t>
      </w:r>
      <w:r>
        <w:rPr>
          <w:rFonts w:hint="eastAsia" w:ascii="仿宋" w:hAnsi="仿宋" w:eastAsia="仿宋" w:cs="仿宋"/>
          <w:sz w:val="24"/>
          <w:szCs w:val="24"/>
        </w:rPr>
        <w:t>安装调试</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)全站电气一次、二次电缆、光缆安装调试</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)全站接地和防雷系统的安装调试</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 直流电源系统设备的安装调试</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 综合自动化系统设备的安装调试</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 全站二次电缆及光缆的安装调试</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）光伏组件支架安装</w:t>
      </w:r>
    </w:p>
    <w:p>
      <w:pPr>
        <w:pStyle w:val="73"/>
        <w:ind w:left="0"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9</w:t>
      </w:r>
      <w:r>
        <w:rPr>
          <w:rFonts w:hint="eastAsia" w:ascii="仿宋" w:hAnsi="仿宋" w:eastAsia="仿宋" w:cs="仿宋"/>
          <w:sz w:val="24"/>
          <w:szCs w:val="24"/>
        </w:rPr>
        <w:t>）电缆支架的制作及</w:t>
      </w:r>
      <w:r>
        <w:rPr>
          <w:rFonts w:hint="eastAsia" w:ascii="仿宋" w:hAnsi="仿宋" w:eastAsia="仿宋" w:cs="仿宋"/>
          <w:sz w:val="24"/>
          <w:szCs w:val="24"/>
          <w:lang w:eastAsia="zh-CN"/>
        </w:rPr>
        <w:t>安装</w:t>
      </w:r>
    </w:p>
    <w:p>
      <w:pPr>
        <w:pStyle w:val="59"/>
        <w:spacing w:before="0" w:after="0" w:line="360" w:lineRule="auto"/>
        <w:rPr>
          <w:rFonts w:hint="eastAsia" w:ascii="仿宋" w:hAnsi="仿宋" w:eastAsia="仿宋" w:cs="仿宋"/>
        </w:rPr>
      </w:pPr>
      <w:bookmarkStart w:id="30" w:name="_Toc299183612"/>
      <w:r>
        <w:rPr>
          <w:rFonts w:hint="eastAsia" w:ascii="仿宋" w:hAnsi="仿宋" w:eastAsia="仿宋" w:cs="仿宋"/>
        </w:rPr>
        <w:t>1.2监理依据</w:t>
      </w:r>
      <w:bookmarkEnd w:id="23"/>
      <w:bookmarkEnd w:id="24"/>
      <w:bookmarkEnd w:id="25"/>
      <w:bookmarkEnd w:id="26"/>
      <w:bookmarkEnd w:id="27"/>
      <w:bookmarkEnd w:id="28"/>
      <w:bookmarkEnd w:id="29"/>
      <w:bookmarkEnd w:id="30"/>
    </w:p>
    <w:p>
      <w:pPr>
        <w:pStyle w:val="73"/>
        <w:ind w:left="0" w:leftChars="0" w:firstLine="480" w:firstLineChars="200"/>
        <w:rPr>
          <w:rFonts w:hint="eastAsia" w:ascii="仿宋" w:hAnsi="仿宋" w:eastAsia="仿宋" w:cs="仿宋"/>
          <w:sz w:val="24"/>
          <w:szCs w:val="24"/>
        </w:rPr>
      </w:pPr>
      <w:bookmarkStart w:id="31" w:name="_Toc173165039"/>
      <w:bookmarkStart w:id="32" w:name="_Toc176150598"/>
      <w:bookmarkStart w:id="33" w:name="_Toc175568633"/>
      <w:bookmarkStart w:id="34" w:name="_Toc173164733"/>
      <w:r>
        <w:rPr>
          <w:rFonts w:hint="eastAsia" w:ascii="仿宋" w:hAnsi="仿宋" w:eastAsia="仿宋" w:cs="仿宋"/>
          <w:sz w:val="24"/>
          <w:szCs w:val="24"/>
        </w:rPr>
        <w:t>本工程监理服务适用的国家法律、行政法规和部门规章以及地方法规、规章主要包括：《中华人民共和国建筑法》；《中华人民共和国合同法》；《中华人民共和国质量法》；《建设工程质量管理条例》（国务院令第279号）等。</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监理依据主要有：</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光伏发电工程建设有关的法律、法规、技术标准和规程规范；</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国家或国家授权部门与机构批准的工程项目建设文件。(包括建设计划、规划、设计任务书等)；</w:t>
      </w:r>
    </w:p>
    <w:p>
      <w:pPr>
        <w:pStyle w:val="73"/>
        <w:ind w:left="0" w:leftChars="0" w:firstLine="480" w:firstLineChars="200"/>
        <w:rPr>
          <w:rFonts w:hint="eastAsia" w:ascii="仿宋" w:hAnsi="仿宋" w:eastAsia="仿宋" w:cs="仿宋"/>
          <w:sz w:val="24"/>
          <w:szCs w:val="24"/>
        </w:rPr>
      </w:pPr>
      <w:bookmarkStart w:id="35" w:name="_Toc299021732"/>
      <w:r>
        <w:rPr>
          <w:rFonts w:hint="eastAsia" w:ascii="仿宋" w:hAnsi="仿宋" w:eastAsia="仿宋" w:cs="仿宋"/>
          <w:sz w:val="24"/>
          <w:szCs w:val="24"/>
        </w:rPr>
        <w:t>《建筑电气工程施工质量验收规范》</w:t>
      </w:r>
      <w:r>
        <w:rPr>
          <w:rFonts w:hint="eastAsia" w:ascii="仿宋" w:hAnsi="仿宋" w:eastAsia="仿宋" w:cs="仿宋"/>
          <w:sz w:val="24"/>
          <w:szCs w:val="24"/>
        </w:rPr>
        <w:tab/>
      </w:r>
      <w:r>
        <w:rPr>
          <w:rFonts w:hint="eastAsia" w:ascii="仿宋" w:hAnsi="仿宋" w:eastAsia="仿宋" w:cs="仿宋"/>
          <w:sz w:val="24"/>
          <w:szCs w:val="24"/>
        </w:rPr>
        <w:t xml:space="preserve">                GB 50303</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《电力建设施工及验收技术规范》                     DJ 57</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《电气装置安装工程 电气设备交接试验标准》          GB 50150</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《电气装置安装工程 电缆线路施工及验收规范》        GB 50168</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《电气装置安装工程 接地装置施工及验收规范》        GB 50169 </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《电气装置安装工程 盘、柜及二次回路接线施工及验收规范》GB50171</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《电气装置安装工程 低压电气施工及验收规范》        GB 50254</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《电气装置安装工程 高压电气施工及验收规范》        GBJ 147</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《电气装置安装工程 电力变压器、油浸电抗器、互感器施工及验收规范》 GBJ 148</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《电气装置安装工程 母线装置施工及验收规范》        GBJ 149</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《电气装置安装工程 质量检验及评定标准（第1部分—第17部分）》     DL/T5161.1--5161.17</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《电能计量装置技术管理规程》      </w:t>
      </w:r>
      <w:r>
        <w:rPr>
          <w:rFonts w:hint="eastAsia" w:ascii="仿宋" w:hAnsi="仿宋" w:eastAsia="仿宋" w:cs="仿宋"/>
          <w:sz w:val="24"/>
          <w:szCs w:val="24"/>
        </w:rPr>
        <w:tab/>
      </w:r>
      <w:r>
        <w:rPr>
          <w:rFonts w:hint="eastAsia" w:ascii="仿宋" w:hAnsi="仿宋" w:eastAsia="仿宋" w:cs="仿宋"/>
          <w:sz w:val="24"/>
          <w:szCs w:val="24"/>
        </w:rPr>
        <w:t xml:space="preserve">  DL/T 448</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《电能量远方终端》               </w:t>
      </w:r>
      <w:r>
        <w:rPr>
          <w:rFonts w:hint="eastAsia" w:ascii="仿宋" w:hAnsi="仿宋" w:eastAsia="仿宋" w:cs="仿宋"/>
          <w:sz w:val="24"/>
          <w:szCs w:val="24"/>
        </w:rPr>
        <w:tab/>
      </w:r>
      <w:r>
        <w:rPr>
          <w:rFonts w:hint="eastAsia" w:ascii="仿宋" w:hAnsi="仿宋" w:eastAsia="仿宋" w:cs="仿宋"/>
          <w:sz w:val="24"/>
          <w:szCs w:val="24"/>
        </w:rPr>
        <w:t xml:space="preserve">  DL/T 743</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《0.2S和0.5S级静止式交流有功电度表》</w:t>
      </w:r>
      <w:r>
        <w:rPr>
          <w:rFonts w:hint="eastAsia" w:ascii="仿宋" w:hAnsi="仿宋" w:eastAsia="仿宋" w:cs="仿宋"/>
          <w:sz w:val="24"/>
          <w:szCs w:val="24"/>
        </w:rPr>
        <w:tab/>
      </w:r>
      <w:r>
        <w:rPr>
          <w:rFonts w:hint="eastAsia" w:ascii="仿宋" w:hAnsi="仿宋" w:eastAsia="仿宋" w:cs="仿宋"/>
          <w:sz w:val="24"/>
          <w:szCs w:val="24"/>
        </w:rPr>
        <w:t xml:space="preserve">  GB/T 17883</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《电能计量装置技术管理规程》       </w:t>
      </w:r>
      <w:r>
        <w:rPr>
          <w:rFonts w:hint="eastAsia" w:ascii="仿宋" w:hAnsi="仿宋" w:eastAsia="仿宋" w:cs="仿宋"/>
          <w:sz w:val="24"/>
          <w:szCs w:val="24"/>
        </w:rPr>
        <w:tab/>
      </w:r>
      <w:r>
        <w:rPr>
          <w:rFonts w:hint="eastAsia" w:ascii="仿宋" w:hAnsi="仿宋" w:eastAsia="仿宋" w:cs="仿宋"/>
          <w:sz w:val="24"/>
          <w:szCs w:val="24"/>
        </w:rPr>
        <w:t xml:space="preserve">  DL/T 448</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《35～110kV升压变电站设计规范》</w:t>
      </w:r>
      <w:r>
        <w:rPr>
          <w:rFonts w:hint="eastAsia" w:ascii="仿宋" w:hAnsi="仿宋" w:eastAsia="仿宋" w:cs="仿宋"/>
          <w:sz w:val="24"/>
          <w:szCs w:val="24"/>
        </w:rPr>
        <w:tab/>
      </w:r>
      <w:r>
        <w:rPr>
          <w:rFonts w:hint="eastAsia" w:ascii="仿宋" w:hAnsi="仿宋" w:eastAsia="仿宋" w:cs="仿宋"/>
          <w:sz w:val="24"/>
          <w:szCs w:val="24"/>
        </w:rPr>
        <w:t xml:space="preserve">     GB50059</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《变电站运行导则》</w:t>
      </w:r>
      <w:r>
        <w:rPr>
          <w:rFonts w:hint="eastAsia" w:ascii="仿宋" w:hAnsi="仿宋" w:eastAsia="仿宋" w:cs="仿宋"/>
          <w:sz w:val="24"/>
          <w:szCs w:val="24"/>
        </w:rPr>
        <w:tab/>
      </w:r>
      <w:r>
        <w:rPr>
          <w:rFonts w:hint="eastAsia" w:ascii="仿宋" w:hAnsi="仿宋" w:eastAsia="仿宋" w:cs="仿宋"/>
          <w:sz w:val="24"/>
          <w:szCs w:val="24"/>
        </w:rPr>
        <w:t xml:space="preserve">  DL/T969</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《高压配电装置设计技术规程》</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DL/T 5352</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《电力装置的继电保护和自动装置设计规范》GB50062</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《电力系统调度自动化设计技术规程》  </w:t>
      </w:r>
      <w:r>
        <w:rPr>
          <w:rFonts w:hint="eastAsia" w:ascii="仿宋" w:hAnsi="仿宋" w:eastAsia="仿宋" w:cs="仿宋"/>
          <w:sz w:val="24"/>
          <w:szCs w:val="24"/>
        </w:rPr>
        <w:tab/>
      </w:r>
      <w:r>
        <w:rPr>
          <w:rFonts w:hint="eastAsia" w:ascii="仿宋" w:hAnsi="仿宋" w:eastAsia="仿宋" w:cs="仿宋"/>
          <w:sz w:val="24"/>
          <w:szCs w:val="24"/>
        </w:rPr>
        <w:t xml:space="preserve">  DL/T 5003</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《电气装置安装工程 电缆线路施工及验收规范》 GB 50168</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《电气装置安装工程 35KV及以下架空电力线路施工及验收规范》GB 50173</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《110-500kV架空电力线路施工及验收规范》          GBJ233</w:t>
      </w:r>
    </w:p>
    <w:p>
      <w:pPr>
        <w:tabs>
          <w:tab w:val="left" w:pos="379"/>
        </w:tabs>
        <w:autoSpaceDE w:val="0"/>
        <w:autoSpaceDN w:val="0"/>
        <w:adjustRightInd w:val="0"/>
        <w:snapToGrid w:val="0"/>
        <w:spacing w:line="360" w:lineRule="auto"/>
        <w:ind w:right="144" w:firstLine="480" w:firstLineChars="200"/>
        <w:rPr>
          <w:rFonts w:hint="eastAsia" w:ascii="仿宋" w:hAnsi="仿宋" w:eastAsia="仿宋" w:cs="仿宋"/>
          <w:sz w:val="24"/>
        </w:rPr>
      </w:pPr>
      <w:r>
        <w:rPr>
          <w:rFonts w:hint="eastAsia" w:ascii="仿宋" w:hAnsi="仿宋" w:eastAsia="仿宋" w:cs="仿宋"/>
          <w:sz w:val="24"/>
        </w:rPr>
        <w:t>110kV高压配电装置设计规范GB50060-92</w:t>
      </w:r>
    </w:p>
    <w:p>
      <w:pPr>
        <w:pStyle w:val="73"/>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光伏发电工程验收规范</w:t>
      </w:r>
      <w:r>
        <w:rPr>
          <w:rFonts w:hint="eastAsia" w:ascii="仿宋" w:hAnsi="仿宋" w:eastAsia="仿宋" w:cs="仿宋"/>
          <w:color w:val="000000"/>
          <w:sz w:val="24"/>
          <w:szCs w:val="24"/>
        </w:rPr>
        <w:t>》（GB/T-50796-2012）</w:t>
      </w:r>
    </w:p>
    <w:p>
      <w:pPr>
        <w:tabs>
          <w:tab w:val="left" w:pos="379"/>
        </w:tabs>
        <w:autoSpaceDE w:val="0"/>
        <w:autoSpaceDN w:val="0"/>
        <w:adjustRightInd w:val="0"/>
        <w:snapToGrid w:val="0"/>
        <w:spacing w:line="360" w:lineRule="auto"/>
        <w:ind w:right="144" w:firstLine="480" w:firstLineChars="200"/>
        <w:rPr>
          <w:rFonts w:hint="eastAsia" w:ascii="仿宋" w:hAnsi="仿宋" w:eastAsia="仿宋" w:cs="仿宋"/>
          <w:sz w:val="24"/>
        </w:rPr>
      </w:pPr>
      <w:r>
        <w:rPr>
          <w:rFonts w:hint="eastAsia" w:ascii="仿宋" w:hAnsi="仿宋" w:eastAsia="仿宋" w:cs="仿宋"/>
          <w:sz w:val="24"/>
        </w:rPr>
        <w:t>光伏发电站设计规范GB50797-2012</w:t>
      </w:r>
    </w:p>
    <w:p>
      <w:pPr>
        <w:tabs>
          <w:tab w:val="left" w:pos="379"/>
        </w:tabs>
        <w:autoSpaceDE w:val="0"/>
        <w:autoSpaceDN w:val="0"/>
        <w:adjustRightInd w:val="0"/>
        <w:snapToGrid w:val="0"/>
        <w:spacing w:line="360" w:lineRule="auto"/>
        <w:ind w:right="144" w:firstLine="480" w:firstLineChars="200"/>
        <w:rPr>
          <w:rFonts w:hint="eastAsia" w:ascii="仿宋" w:hAnsi="仿宋" w:eastAsia="仿宋" w:cs="仿宋"/>
          <w:sz w:val="24"/>
        </w:rPr>
      </w:pPr>
      <w:r>
        <w:rPr>
          <w:rFonts w:hint="eastAsia" w:ascii="仿宋" w:hAnsi="仿宋" w:eastAsia="仿宋" w:cs="仿宋"/>
          <w:sz w:val="24"/>
        </w:rPr>
        <w:t>晶体硅光伏组件设计鉴定和定型IEC 61215</w:t>
      </w:r>
      <w:r>
        <w:rPr>
          <w:rFonts w:hint="eastAsia" w:ascii="仿宋" w:hAnsi="仿宋" w:eastAsia="仿宋" w:cs="仿宋"/>
          <w:sz w:val="24"/>
        </w:rPr>
        <w:tab/>
      </w:r>
    </w:p>
    <w:p>
      <w:pPr>
        <w:tabs>
          <w:tab w:val="left" w:pos="379"/>
        </w:tabs>
        <w:autoSpaceDE w:val="0"/>
        <w:autoSpaceDN w:val="0"/>
        <w:adjustRightInd w:val="0"/>
        <w:snapToGrid w:val="0"/>
        <w:spacing w:line="360" w:lineRule="auto"/>
        <w:ind w:right="144" w:firstLine="480" w:firstLineChars="200"/>
        <w:rPr>
          <w:rFonts w:hint="eastAsia" w:ascii="仿宋" w:hAnsi="仿宋" w:eastAsia="仿宋" w:cs="仿宋"/>
          <w:sz w:val="24"/>
        </w:rPr>
      </w:pPr>
      <w:r>
        <w:rPr>
          <w:rFonts w:hint="eastAsia" w:ascii="仿宋" w:hAnsi="仿宋" w:eastAsia="仿宋" w:cs="仿宋"/>
          <w:sz w:val="24"/>
        </w:rPr>
        <w:t>光伏组件的安全性构造要求IEC6173O.l</w:t>
      </w:r>
    </w:p>
    <w:p>
      <w:pPr>
        <w:tabs>
          <w:tab w:val="left" w:pos="379"/>
        </w:tabs>
        <w:autoSpaceDE w:val="0"/>
        <w:autoSpaceDN w:val="0"/>
        <w:adjustRightInd w:val="0"/>
        <w:snapToGrid w:val="0"/>
        <w:spacing w:line="360" w:lineRule="auto"/>
        <w:ind w:right="144" w:firstLine="480" w:firstLineChars="200"/>
        <w:rPr>
          <w:rFonts w:hint="eastAsia" w:ascii="仿宋" w:hAnsi="仿宋" w:eastAsia="仿宋" w:cs="仿宋"/>
          <w:sz w:val="24"/>
        </w:rPr>
      </w:pPr>
      <w:r>
        <w:rPr>
          <w:rFonts w:hint="eastAsia" w:ascii="仿宋" w:hAnsi="仿宋" w:eastAsia="仿宋" w:cs="仿宋"/>
          <w:sz w:val="24"/>
        </w:rPr>
        <w:t>光伏组件的安全性测试要求IEC6173O.2</w:t>
      </w:r>
    </w:p>
    <w:p>
      <w:pPr>
        <w:tabs>
          <w:tab w:val="left" w:pos="379"/>
        </w:tabs>
        <w:autoSpaceDE w:val="0"/>
        <w:autoSpaceDN w:val="0"/>
        <w:adjustRightInd w:val="0"/>
        <w:snapToGrid w:val="0"/>
        <w:spacing w:line="360" w:lineRule="auto"/>
        <w:ind w:right="144"/>
        <w:rPr>
          <w:rFonts w:hint="eastAsia" w:ascii="仿宋" w:hAnsi="仿宋" w:eastAsia="仿宋" w:cs="仿宋"/>
          <w:sz w:val="24"/>
        </w:rPr>
      </w:pPr>
      <w:r>
        <w:rPr>
          <w:rFonts w:hint="eastAsia" w:ascii="仿宋" w:hAnsi="仿宋" w:eastAsia="仿宋" w:cs="仿宋"/>
          <w:sz w:val="24"/>
        </w:rPr>
        <w:t>光伏（PV）发电系统过电压保护—导则SJ/T11127-1997</w:t>
      </w:r>
    </w:p>
    <w:p>
      <w:pPr>
        <w:tabs>
          <w:tab w:val="left" w:pos="379"/>
        </w:tabs>
        <w:autoSpaceDE w:val="0"/>
        <w:autoSpaceDN w:val="0"/>
        <w:adjustRightInd w:val="0"/>
        <w:snapToGrid w:val="0"/>
        <w:spacing w:line="360" w:lineRule="auto"/>
        <w:ind w:right="144" w:firstLine="480" w:firstLineChars="200"/>
        <w:rPr>
          <w:rFonts w:hint="eastAsia" w:ascii="仿宋" w:hAnsi="仿宋" w:eastAsia="仿宋" w:cs="仿宋"/>
          <w:sz w:val="24"/>
        </w:rPr>
      </w:pPr>
      <w:r>
        <w:rPr>
          <w:rFonts w:hint="eastAsia" w:ascii="仿宋" w:hAnsi="仿宋" w:eastAsia="仿宋" w:cs="仿宋"/>
          <w:sz w:val="24"/>
        </w:rPr>
        <w:t>光伏系统并网技术要求GB/T 19939-2005</w:t>
      </w:r>
    </w:p>
    <w:p>
      <w:pPr>
        <w:tabs>
          <w:tab w:val="left" w:pos="379"/>
        </w:tabs>
        <w:autoSpaceDE w:val="0"/>
        <w:autoSpaceDN w:val="0"/>
        <w:adjustRightInd w:val="0"/>
        <w:snapToGrid w:val="0"/>
        <w:spacing w:line="360" w:lineRule="auto"/>
        <w:ind w:right="144" w:firstLine="480" w:firstLineChars="200"/>
        <w:rPr>
          <w:rFonts w:hint="eastAsia" w:ascii="仿宋" w:hAnsi="仿宋" w:eastAsia="仿宋" w:cs="仿宋"/>
          <w:sz w:val="24"/>
        </w:rPr>
      </w:pPr>
      <w:r>
        <w:rPr>
          <w:rFonts w:hint="eastAsia" w:ascii="仿宋" w:hAnsi="仿宋" w:eastAsia="仿宋" w:cs="仿宋"/>
          <w:sz w:val="24"/>
        </w:rPr>
        <w:t>光伏发电站接入电力系统的技术规定GB/Z 19964-2005</w:t>
      </w:r>
    </w:p>
    <w:p>
      <w:pPr>
        <w:tabs>
          <w:tab w:val="left" w:pos="379"/>
        </w:tabs>
        <w:autoSpaceDE w:val="0"/>
        <w:autoSpaceDN w:val="0"/>
        <w:adjustRightInd w:val="0"/>
        <w:snapToGrid w:val="0"/>
        <w:spacing w:line="360" w:lineRule="auto"/>
        <w:ind w:right="144" w:firstLine="480" w:firstLineChars="200"/>
        <w:rPr>
          <w:rFonts w:hint="eastAsia" w:ascii="仿宋" w:hAnsi="仿宋" w:eastAsia="仿宋" w:cs="仿宋"/>
          <w:sz w:val="24"/>
        </w:rPr>
      </w:pPr>
      <w:r>
        <w:rPr>
          <w:rFonts w:hint="eastAsia" w:ascii="仿宋" w:hAnsi="仿宋" w:eastAsia="仿宋" w:cs="仿宋"/>
          <w:sz w:val="24"/>
        </w:rPr>
        <w:t>光伏系统电网接口特性GB/T 20046-2006（IEC 61727：2004）</w:t>
      </w:r>
    </w:p>
    <w:p>
      <w:pPr>
        <w:tabs>
          <w:tab w:val="left" w:pos="379"/>
        </w:tabs>
        <w:autoSpaceDE w:val="0"/>
        <w:autoSpaceDN w:val="0"/>
        <w:adjustRightInd w:val="0"/>
        <w:snapToGrid w:val="0"/>
        <w:spacing w:line="360" w:lineRule="auto"/>
        <w:ind w:right="144" w:firstLine="480" w:firstLineChars="200"/>
        <w:rPr>
          <w:rFonts w:hint="eastAsia" w:ascii="仿宋" w:hAnsi="仿宋" w:eastAsia="仿宋" w:cs="仿宋"/>
          <w:sz w:val="24"/>
        </w:rPr>
      </w:pPr>
      <w:r>
        <w:rPr>
          <w:rFonts w:hint="eastAsia" w:ascii="仿宋" w:hAnsi="仿宋" w:eastAsia="仿宋" w:cs="仿宋"/>
          <w:sz w:val="24"/>
        </w:rPr>
        <w:t>光伏电站接入电网测试规程Q／GDW 618-2011</w:t>
      </w:r>
    </w:p>
    <w:p>
      <w:pPr>
        <w:snapToGrid w:val="0"/>
        <w:spacing w:before="20" w:line="312" w:lineRule="auto"/>
        <w:ind w:left="420"/>
        <w:rPr>
          <w:rFonts w:hint="eastAsia" w:ascii="仿宋" w:hAnsi="仿宋" w:eastAsia="仿宋" w:cs="仿宋"/>
          <w:color w:val="000000"/>
          <w:sz w:val="24"/>
        </w:rPr>
      </w:pPr>
      <w:r>
        <w:rPr>
          <w:rFonts w:hint="eastAsia" w:ascii="仿宋" w:hAnsi="仿宋" w:eastAsia="仿宋" w:cs="仿宋"/>
          <w:color w:val="000000"/>
          <w:sz w:val="24"/>
        </w:rPr>
        <w:t>《实施工程建设强制性标准监督规定》建设部第81号令</w:t>
      </w:r>
    </w:p>
    <w:p>
      <w:pPr>
        <w:snapToGrid w:val="0"/>
        <w:spacing w:before="20" w:line="312" w:lineRule="auto"/>
        <w:ind w:left="420"/>
        <w:rPr>
          <w:rFonts w:hint="eastAsia" w:ascii="仿宋" w:hAnsi="仿宋" w:eastAsia="仿宋" w:cs="仿宋"/>
          <w:color w:val="000000"/>
          <w:sz w:val="24"/>
        </w:rPr>
      </w:pPr>
      <w:r>
        <w:rPr>
          <w:rFonts w:hint="eastAsia" w:ascii="仿宋" w:hAnsi="仿宋" w:eastAsia="仿宋" w:cs="仿宋"/>
          <w:color w:val="000000"/>
          <w:sz w:val="24"/>
        </w:rPr>
        <w:t>《工程建设标准强制性条文》(电力工程部分)建设部建标［2006］102号；(电气部分)建设部建标［2002］219号</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工程建设合同、勘测设计合同及监理合同；</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上级有关主管部门对本项工程的有关指示文件或批件；</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设计文件、技术要求及图纸；</w:t>
      </w:r>
    </w:p>
    <w:p>
      <w:pPr>
        <w:pStyle w:val="59"/>
        <w:spacing w:before="0" w:after="0" w:line="360" w:lineRule="auto"/>
        <w:rPr>
          <w:rFonts w:hint="eastAsia" w:ascii="仿宋" w:hAnsi="仿宋" w:eastAsia="仿宋" w:cs="仿宋"/>
          <w:sz w:val="32"/>
          <w:szCs w:val="32"/>
        </w:rPr>
      </w:pPr>
      <w:bookmarkStart w:id="36" w:name="_Toc299183613"/>
      <w:r>
        <w:rPr>
          <w:rFonts w:hint="eastAsia" w:ascii="仿宋" w:hAnsi="仿宋" w:eastAsia="仿宋" w:cs="仿宋"/>
          <w:sz w:val="32"/>
          <w:szCs w:val="32"/>
          <w:lang w:eastAsia="zh-CN"/>
        </w:rPr>
        <w:t>二、</w:t>
      </w:r>
      <w:r>
        <w:rPr>
          <w:rFonts w:hint="eastAsia" w:ascii="仿宋" w:hAnsi="仿宋" w:eastAsia="仿宋" w:cs="仿宋"/>
          <w:sz w:val="32"/>
          <w:szCs w:val="32"/>
        </w:rPr>
        <w:t>施工质量控制</w:t>
      </w:r>
      <w:bookmarkEnd w:id="31"/>
      <w:bookmarkEnd w:id="32"/>
      <w:bookmarkEnd w:id="33"/>
      <w:bookmarkEnd w:id="34"/>
      <w:r>
        <w:rPr>
          <w:rFonts w:hint="eastAsia" w:ascii="仿宋" w:hAnsi="仿宋" w:eastAsia="仿宋" w:cs="仿宋"/>
          <w:sz w:val="32"/>
          <w:szCs w:val="32"/>
        </w:rPr>
        <w:t>的重点及目标值</w:t>
      </w:r>
      <w:bookmarkEnd w:id="35"/>
      <w:bookmarkEnd w:id="36"/>
    </w:p>
    <w:p>
      <w:pPr>
        <w:pStyle w:val="59"/>
        <w:spacing w:before="0" w:after="0" w:line="360" w:lineRule="auto"/>
        <w:rPr>
          <w:rFonts w:hint="eastAsia" w:ascii="仿宋" w:hAnsi="仿宋" w:eastAsia="仿宋" w:cs="仿宋"/>
        </w:rPr>
      </w:pPr>
      <w:bookmarkStart w:id="37" w:name="_Toc299183614"/>
      <w:bookmarkStart w:id="38" w:name="_Toc218658284"/>
      <w:bookmarkStart w:id="39" w:name="_Toc175568634"/>
      <w:bookmarkStart w:id="40" w:name="_Toc173165040"/>
      <w:bookmarkStart w:id="41" w:name="_Toc176150599"/>
      <w:bookmarkStart w:id="42" w:name="_Toc299021733"/>
      <w:r>
        <w:rPr>
          <w:rFonts w:hint="eastAsia" w:ascii="仿宋" w:hAnsi="仿宋" w:eastAsia="仿宋" w:cs="仿宋"/>
        </w:rPr>
        <w:t>2.1太阳能组件构件及组件的安装</w:t>
      </w:r>
      <w:bookmarkEnd w:id="37"/>
      <w:r>
        <w:rPr>
          <w:rFonts w:hint="eastAsia" w:ascii="仿宋" w:hAnsi="仿宋" w:eastAsia="仿宋" w:cs="仿宋"/>
        </w:rPr>
        <w:t>质量控制</w:t>
      </w:r>
    </w:p>
    <w:p>
      <w:pPr>
        <w:pStyle w:val="73"/>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太阳能组件构件的基础应安装水平，且固定牢固；太阳能组件构件基础型钢应有可靠的接地，并做防腐处理；太阳能组件安装应符合现场安装图纸要求。</w:t>
      </w:r>
    </w:p>
    <w:p>
      <w:pPr>
        <w:pStyle w:val="73"/>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检查预埋的部件应牢固可靠，符合设计要求；安装太阳能组件构件的安装基础，并与预埋件可靠固定；将太阳能组件构件的安装基础与主接地网进行可靠的焊接；太阳能组件的布置应整齐美观，不得有损坏现象。</w:t>
      </w:r>
    </w:p>
    <w:p>
      <w:pPr>
        <w:pStyle w:val="59"/>
        <w:spacing w:before="0" w:after="0" w:line="360" w:lineRule="auto"/>
        <w:rPr>
          <w:rFonts w:hint="eastAsia" w:ascii="仿宋" w:hAnsi="仿宋" w:eastAsia="仿宋" w:cs="仿宋"/>
        </w:rPr>
      </w:pPr>
      <w:bookmarkStart w:id="43" w:name="_Toc299183615"/>
      <w:r>
        <w:rPr>
          <w:rFonts w:hint="eastAsia" w:ascii="仿宋" w:hAnsi="仿宋" w:eastAsia="仿宋" w:cs="仿宋"/>
        </w:rPr>
        <w:t>2.</w:t>
      </w:r>
      <w:bookmarkEnd w:id="38"/>
      <w:bookmarkEnd w:id="39"/>
      <w:bookmarkEnd w:id="40"/>
      <w:bookmarkEnd w:id="41"/>
      <w:bookmarkEnd w:id="42"/>
      <w:bookmarkStart w:id="44" w:name="_Toc173165041"/>
      <w:bookmarkStart w:id="45" w:name="_Toc176150600"/>
      <w:bookmarkStart w:id="46" w:name="_Toc175568635"/>
      <w:r>
        <w:rPr>
          <w:rFonts w:hint="eastAsia" w:ascii="仿宋" w:hAnsi="仿宋" w:eastAsia="仿宋" w:cs="仿宋"/>
        </w:rPr>
        <w:t>2电气一次设备安装质量控制</w:t>
      </w:r>
      <w:bookmarkEnd w:id="43"/>
    </w:p>
    <w:p>
      <w:pPr>
        <w:pStyle w:val="73"/>
        <w:ind w:left="0" w:leftChars="0" w:firstLine="482" w:firstLineChars="200"/>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val="en-US" w:eastAsia="zh-CN"/>
        </w:rPr>
        <w:t>1</w:t>
      </w:r>
      <w:r>
        <w:rPr>
          <w:rFonts w:hint="eastAsia" w:ascii="仿宋" w:hAnsi="仿宋" w:eastAsia="仿宋" w:cs="仿宋"/>
          <w:b/>
          <w:sz w:val="24"/>
          <w:szCs w:val="24"/>
        </w:rPr>
        <w:t>)并网逆变器的安装调试</w:t>
      </w:r>
    </w:p>
    <w:p>
      <w:pPr>
        <w:pStyle w:val="73"/>
        <w:ind w:left="0" w:leftChars="0" w:firstLine="480" w:firstLineChars="200"/>
        <w:rPr>
          <w:rFonts w:hint="eastAsia" w:ascii="仿宋" w:hAnsi="仿宋" w:eastAsia="仿宋" w:cs="仿宋"/>
          <w:b/>
          <w:sz w:val="24"/>
          <w:szCs w:val="24"/>
        </w:rPr>
      </w:pPr>
      <w:r>
        <w:rPr>
          <w:rFonts w:hint="eastAsia" w:ascii="仿宋" w:hAnsi="仿宋" w:eastAsia="仿宋" w:cs="仿宋"/>
          <w:sz w:val="24"/>
          <w:szCs w:val="24"/>
        </w:rPr>
        <w:t>逆变器的安装调试严格按图纸及厂家技术要求执行，厂家技术代表现场提供指导。</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基础型钢的安装应符合下列要求：</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0"/>
        <w:gridCol w:w="2340"/>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3440" w:type="dxa"/>
            <w:vMerge w:val="restart"/>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项目</w:t>
            </w:r>
          </w:p>
        </w:tc>
        <w:tc>
          <w:tcPr>
            <w:tcW w:w="4480" w:type="dxa"/>
            <w:gridSpan w:val="2"/>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允 许 偏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440" w:type="dxa"/>
            <w:vMerge w:val="continue"/>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Mm/m</w:t>
            </w:r>
          </w:p>
        </w:tc>
        <w:tc>
          <w:tcPr>
            <w:tcW w:w="214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Mm/全长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44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不  直  度</w:t>
            </w:r>
          </w:p>
        </w:tc>
        <w:tc>
          <w:tcPr>
            <w:tcW w:w="234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w:t>
            </w:r>
          </w:p>
        </w:tc>
        <w:tc>
          <w:tcPr>
            <w:tcW w:w="214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344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水  平  度</w:t>
            </w:r>
          </w:p>
        </w:tc>
        <w:tc>
          <w:tcPr>
            <w:tcW w:w="234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w:t>
            </w:r>
          </w:p>
        </w:tc>
        <w:tc>
          <w:tcPr>
            <w:tcW w:w="214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344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位置误差及不平行度</w:t>
            </w:r>
          </w:p>
        </w:tc>
        <w:tc>
          <w:tcPr>
            <w:tcW w:w="234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p>
        </w:tc>
        <w:tc>
          <w:tcPr>
            <w:tcW w:w="214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w:t>
            </w:r>
          </w:p>
        </w:tc>
      </w:tr>
    </w:tbl>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基础型钢材料型号、规格符合设计，应除锈刷漆两遍，接地应两点接地，固定牢固。</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柜体安装时，其垂直度、水平偏差以及盘、柜面偏差和盘、柜间接缝的允许偏差应符合以下表格内容的规定：</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2880"/>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20" w:type="dxa"/>
            <w:gridSpan w:val="2"/>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项          目</w:t>
            </w:r>
          </w:p>
        </w:tc>
        <w:tc>
          <w:tcPr>
            <w:tcW w:w="2455"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20" w:type="dxa"/>
            <w:gridSpan w:val="2"/>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垂直度（每米）</w:t>
            </w:r>
          </w:p>
        </w:tc>
        <w:tc>
          <w:tcPr>
            <w:tcW w:w="2455"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540" w:type="dxa"/>
            <w:vMerge w:val="restart"/>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水平偏差</w:t>
            </w:r>
          </w:p>
        </w:tc>
        <w:tc>
          <w:tcPr>
            <w:tcW w:w="288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相邻两盘顶部</w:t>
            </w:r>
          </w:p>
        </w:tc>
        <w:tc>
          <w:tcPr>
            <w:tcW w:w="2455"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540" w:type="dxa"/>
            <w:vMerge w:val="continue"/>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p>
        </w:tc>
        <w:tc>
          <w:tcPr>
            <w:tcW w:w="288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成列盘顶部</w:t>
            </w:r>
          </w:p>
        </w:tc>
        <w:tc>
          <w:tcPr>
            <w:tcW w:w="2455"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40" w:type="dxa"/>
            <w:vMerge w:val="restart"/>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盘面误差</w:t>
            </w:r>
          </w:p>
        </w:tc>
        <w:tc>
          <w:tcPr>
            <w:tcW w:w="288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相邻两盘面</w:t>
            </w:r>
          </w:p>
        </w:tc>
        <w:tc>
          <w:tcPr>
            <w:tcW w:w="2455"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540" w:type="dxa"/>
            <w:vMerge w:val="continue"/>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p>
        </w:tc>
        <w:tc>
          <w:tcPr>
            <w:tcW w:w="2880"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成列盘面</w:t>
            </w:r>
          </w:p>
        </w:tc>
        <w:tc>
          <w:tcPr>
            <w:tcW w:w="2455"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5420" w:type="dxa"/>
            <w:gridSpan w:val="2"/>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盘间接缝</w:t>
            </w:r>
          </w:p>
        </w:tc>
        <w:tc>
          <w:tcPr>
            <w:tcW w:w="2455" w:type="dxa"/>
            <w:tcBorders>
              <w:top w:val="single" w:color="auto" w:sz="4" w:space="0"/>
              <w:left w:val="single" w:color="auto" w:sz="4" w:space="0"/>
              <w:bottom w:val="single" w:color="auto" w:sz="4" w:space="0"/>
              <w:right w:val="single" w:color="auto" w:sz="4" w:space="0"/>
            </w:tcBorders>
            <w:vAlign w:val="center"/>
          </w:tcPr>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 mm</w:t>
            </w:r>
          </w:p>
        </w:tc>
      </w:tr>
    </w:tbl>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柜体的接地应牢固良好。装有电器的可开启门，应以裸铜导线软线与接地的金属构架可靠地连接。</w:t>
      </w:r>
    </w:p>
    <w:p>
      <w:pPr>
        <w:pStyle w:val="73"/>
        <w:ind w:left="0" w:leftChars="0"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w:t>
      </w:r>
      <w:r>
        <w:rPr>
          <w:rFonts w:hint="eastAsia" w:ascii="仿宋" w:hAnsi="仿宋" w:eastAsia="仿宋" w:cs="仿宋"/>
          <w:b/>
          <w:color w:val="000000"/>
          <w:sz w:val="24"/>
          <w:szCs w:val="24"/>
          <w:lang w:val="en-US" w:eastAsia="zh-CN"/>
        </w:rPr>
        <w:t>2</w:t>
      </w:r>
      <w:r>
        <w:rPr>
          <w:rFonts w:hint="eastAsia" w:ascii="仿宋" w:hAnsi="仿宋" w:eastAsia="仿宋" w:cs="仿宋"/>
          <w:b/>
          <w:color w:val="000000"/>
          <w:sz w:val="24"/>
          <w:szCs w:val="24"/>
        </w:rPr>
        <w:t>)电缆安装及调试</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缆敷设前，应根据电缆长度对电缆廊道长度的实地测量校对。电缆敷设速度根据制造厂家要求进行，电缆允许最大牵引力的大小要符合制造厂技术要求。牵引电缆时，钢丝绳绑扎在电缆牵引头上向前拖拽，电缆头要有专人看护，严防损伤电缆头。电缆在敷设过程中其弯曲半径不小于2m，电缆摆放后，各电缆夹固定距离按厂家和设计图纸要求进行放置，加固牢靠。敷设电缆时留有足够的备用长度，作为温度变化而引起变形的补偿和事故检修时使用。</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缆敷设过程中，注意对电缆外护层的保护，防止刮伤、碰伤。电缆敷设完成后进行电缆摆放固定，各相间排列整齐、美观，没有交叉。电缆与电缆卡子接触处垫有橡胶垫。现场电缆终端头制作按合同文件执行，严格遵照厂家制定的工艺规程进行电缆终端头制作、导体连接、电缆终端吊装、附件安装等。准备临时保护棚，以满足防尘、防潮、场地清洁无污的要求；</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安装完毕后的现场试验应按照设备供应商的技术文件要求和国家有关标准GB50168、GB50169的有关规定进行。现场检查及试验应至少包括且不限于如下内容：</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电力电缆的试验项目，应包括下列内容： </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1）测量绝缘电阻； </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2）直流耐压试验及泄漏电流测量； </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3）检查电缆线路的相位； </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测量各电缆线芯对地或对金属屏蔽层间和各线芯间的绝缘电阻。 </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依据设计图纸查核配线的准确性,检查各设备间的连接是否正确,测试二次回路绝缘电阻不低于1MΩ。交流回路外部端子对地10MΩ以上,不接地直流回路对地电阻＞1MΩ。</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直流耐压试验及泄漏电流测量，应符合下列规定： </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直流耐压试验电压标准： </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1）塑料绝缘电缆直流耐压试验电压，应符合表5-2的规定。 </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4257675" cy="7524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t="21584"/>
                    <a:stretch>
                      <a:fillRect/>
                    </a:stretch>
                  </pic:blipFill>
                  <pic:spPr>
                    <a:xfrm>
                      <a:off x="0" y="0"/>
                      <a:ext cx="4257675" cy="752475"/>
                    </a:xfrm>
                    <a:prstGeom prst="rect">
                      <a:avLst/>
                    </a:prstGeom>
                    <a:noFill/>
                    <a:ln>
                      <a:noFill/>
                    </a:ln>
                  </pic:spPr>
                </pic:pic>
              </a:graphicData>
            </a:graphic>
          </wp:inline>
        </w:drawing>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  塑料绝缘电缆直流耐压试验电压标准</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  2）橡皮绝缘电力电缆直流耐压试验电压，应符合下表的规定。 </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4267200" cy="685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t="18312"/>
                    <a:stretch>
                      <a:fillRect/>
                    </a:stretch>
                  </pic:blipFill>
                  <pic:spPr>
                    <a:xfrm>
                      <a:off x="0" y="0"/>
                      <a:ext cx="4267200" cy="685800"/>
                    </a:xfrm>
                    <a:prstGeom prst="rect">
                      <a:avLst/>
                    </a:prstGeom>
                    <a:noFill/>
                    <a:ln>
                      <a:noFill/>
                    </a:ln>
                  </pic:spPr>
                </pic:pic>
              </a:graphicData>
            </a:graphic>
          </wp:inline>
        </w:drawing>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橡皮绝缘电力电缆直流耐压试验电压标准</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试验时，试验电压可分4～6阶段均匀升压，每阶段停留1min，并读取 泄漏电流值。测量时应消除杂散电流的影响。 </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电缆的泄漏电流具有下列情况之一者，电缆绝缘可能有缺陷，应找出缺陷部位，并予以处理： </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 1） 泄漏电流很不稳定； </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rPr>
        <w:t>  </w:t>
      </w:r>
      <w:r>
        <w:rPr>
          <w:rFonts w:hint="eastAsia" w:ascii="仿宋" w:hAnsi="仿宋" w:eastAsia="仿宋" w:cs="仿宋"/>
          <w:sz w:val="24"/>
          <w:szCs w:val="24"/>
        </w:rPr>
        <w:t xml:space="preserve">2）泄漏电流随试验电压升高急剧上升； </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 3）泄漏电流随试验时间延长有上升现象。 </w:t>
      </w:r>
    </w:p>
    <w:p>
      <w:pPr>
        <w:pStyle w:val="73"/>
        <w:ind w:left="0" w:leftChars="0" w:firstLine="480" w:firstLineChars="200"/>
        <w:rPr>
          <w:rFonts w:hint="eastAsia" w:ascii="仿宋" w:hAnsi="仿宋" w:eastAsia="仿宋" w:cs="仿宋"/>
          <w:sz w:val="24"/>
        </w:rPr>
      </w:pPr>
      <w:r>
        <w:rPr>
          <w:rFonts w:hint="eastAsia" w:ascii="仿宋" w:hAnsi="仿宋" w:eastAsia="仿宋" w:cs="仿宋"/>
          <w:sz w:val="24"/>
          <w:szCs w:val="24"/>
        </w:rPr>
        <w:t>检查电缆线路的两端相位应一致并与电网相位相符合。</w:t>
      </w:r>
      <w:r>
        <w:rPr>
          <w:rFonts w:hint="eastAsia" w:ascii="仿宋" w:hAnsi="仿宋" w:eastAsia="仿宋" w:cs="仿宋"/>
          <w:sz w:val="24"/>
        </w:rPr>
        <w:t xml:space="preserve"> </w:t>
      </w:r>
    </w:p>
    <w:p>
      <w:pPr>
        <w:pStyle w:val="73"/>
        <w:ind w:left="0" w:leftChars="0"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3</w:t>
      </w:r>
      <w:r>
        <w:rPr>
          <w:rFonts w:hint="eastAsia" w:ascii="仿宋" w:hAnsi="仿宋" w:eastAsia="仿宋" w:cs="仿宋"/>
          <w:b/>
          <w:sz w:val="24"/>
          <w:szCs w:val="24"/>
        </w:rPr>
        <w:t>) 全站一次电缆安装</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电缆保护管安装：横平竖直、间距均匀一致、排管排列整齐、弯管弯度一致，固定牢固、附件齐全，接地可靠，与金属软管过渡要圆滑美观，户外电缆管要安装防水弯头；</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电缆敷设：型号、规格符合设计，按层施放，排列整齐，弯曲弧度一致，松紧适度，电缆进入设备前应用过渡支架，电缆层清洁、无杂物；</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电缆固定：电缆绑扎用扎带，电缆在拐弯处两侧、在中间头两侧、进入设备前等处均要固定，固定间距：水平段≤3m，垂直段(倾斜45°)≤1.5m，且均匀绑扎，方向一致，固定牢固。</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电缆标示牌：字迹清晰、工整，不褪色，绑扎牢固，标示牌齐全，规格统一，两端及转弯处设有标示牌。</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电缆头制作：端头面要平齐且垂直电缆轴线，成型后为圆筒型，长度为26mm～28mm，直径大于电缆外径2mm，电缆头高度应一致，且距最下面的一个端排一般不大于20cm。</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电缆芯线绑扎：电缆芯线应顺直绑扎，间距应均匀，一般10～15cm。成型流畅。</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屏、柜、箱内电缆排列及布线弧度应一致、排列整齐、不交叉、线鼻子压接紧固，接线紧固可靠。不得有中间接头。电缆屏蔽层的接地应符合有关规定。</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直埋电缆埋设深度为0.8米，上下保护层应大于100mm，无可能损坏电缆的杂物，回填后表面应平整充实。</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电缆接引：所有电缆均使用接线鼻子，且使用镀锡材料，接引时在接触面涂抹导电膏,且接线牢固可靠，相序正确。</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所有电缆穿越隔墙的孔洞和进出开关柜、配电盘、控制盘、自动装置盘和继电保护盘的孔洞，以及电气设备的电缆沟道盖板缝隙处，应采用防火材料进行封堵，无遗漏。封漏要密实，表面工艺美观。保证电缆之间位置符合防火要求，按设计刷防火涂料。6、现场试验</w:t>
      </w:r>
    </w:p>
    <w:p>
      <w:pPr>
        <w:pStyle w:val="59"/>
        <w:spacing w:before="0" w:after="0" w:line="360" w:lineRule="auto"/>
        <w:rPr>
          <w:rFonts w:hint="eastAsia" w:ascii="仿宋" w:hAnsi="仿宋" w:eastAsia="仿宋" w:cs="仿宋"/>
        </w:rPr>
      </w:pPr>
      <w:bookmarkStart w:id="47" w:name="_Toc299183616"/>
      <w:r>
        <w:rPr>
          <w:rFonts w:hint="eastAsia" w:ascii="仿宋" w:hAnsi="仿宋" w:eastAsia="仿宋" w:cs="仿宋"/>
        </w:rPr>
        <w:t>2.3电气二次设备安装质量控制</w:t>
      </w:r>
      <w:bookmarkEnd w:id="47"/>
    </w:p>
    <w:bookmarkEnd w:id="44"/>
    <w:bookmarkEnd w:id="45"/>
    <w:bookmarkEnd w:id="46"/>
    <w:p>
      <w:pPr>
        <w:pStyle w:val="59"/>
        <w:spacing w:before="0" w:after="0" w:line="360" w:lineRule="auto"/>
        <w:rPr>
          <w:rFonts w:hint="eastAsia" w:ascii="仿宋" w:hAnsi="仿宋" w:eastAsia="仿宋" w:cs="仿宋"/>
          <w:sz w:val="24"/>
        </w:rPr>
      </w:pPr>
      <w:bookmarkStart w:id="48" w:name="_Toc217362722"/>
      <w:bookmarkStart w:id="49" w:name="_Toc175568630"/>
      <w:bookmarkStart w:id="50" w:name="_Toc176150596"/>
      <w:bookmarkStart w:id="51" w:name="_Toc299183617"/>
      <w:bookmarkStart w:id="52" w:name="_Toc299021734"/>
      <w:r>
        <w:rPr>
          <w:rFonts w:hint="eastAsia" w:ascii="仿宋" w:hAnsi="仿宋" w:eastAsia="仿宋" w:cs="仿宋"/>
          <w:sz w:val="24"/>
        </w:rPr>
        <w:t>设备开箱验收</w:t>
      </w:r>
      <w:bookmarkEnd w:id="48"/>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设备开箱验收由监理人组织，安装单位技术人员、施工人员、制造厂家代表参加，检查盘柜外观有无明显破损。按装箱单清点资料、合格证、附件、备品备件等是否齐全。开箱后检查设备固定螺丝、元器件、端子、线头、标签等有无脱落，结构有无裂纹。如开箱检查中发现问题应要求制造厂处理。验收合格后，进行签字认可。</w:t>
      </w:r>
      <w:bookmarkStart w:id="53" w:name="_Toc175568644"/>
      <w:bookmarkStart w:id="54" w:name="_Toc176150609"/>
      <w:bookmarkStart w:id="55" w:name="_Toc173165047"/>
      <w:r>
        <w:rPr>
          <w:rFonts w:hint="eastAsia" w:ascii="仿宋" w:hAnsi="仿宋" w:eastAsia="仿宋" w:cs="仿宋"/>
          <w:sz w:val="24"/>
          <w:szCs w:val="24"/>
        </w:rPr>
        <w:t xml:space="preserve">为确保安装到施工现场的设备的完好性，安装承包人应按合同的要求在设备安装前，必须进行设备的常规检查。对干式变，测试绝缘电阻，测试互感器，检查盘内接线。对高低压开关柜，检查盘内接线，校验表计，测试互感器。 </w:t>
      </w:r>
    </w:p>
    <w:p>
      <w:pPr>
        <w:pStyle w:val="59"/>
        <w:spacing w:before="0" w:after="0" w:line="360" w:lineRule="auto"/>
        <w:rPr>
          <w:rFonts w:hint="eastAsia" w:ascii="仿宋" w:hAnsi="仿宋" w:eastAsia="仿宋" w:cs="仿宋"/>
          <w:sz w:val="24"/>
        </w:rPr>
      </w:pPr>
      <w:bookmarkStart w:id="56" w:name="_Toc217362725"/>
      <w:r>
        <w:rPr>
          <w:rFonts w:hint="eastAsia" w:ascii="仿宋" w:hAnsi="仿宋" w:eastAsia="仿宋" w:cs="仿宋"/>
          <w:sz w:val="24"/>
        </w:rPr>
        <w:t>全厂监控系统</w:t>
      </w:r>
      <w:bookmarkEnd w:id="56"/>
      <w:r>
        <w:rPr>
          <w:rFonts w:hint="eastAsia" w:ascii="仿宋" w:hAnsi="仿宋" w:eastAsia="仿宋" w:cs="仿宋"/>
          <w:sz w:val="24"/>
        </w:rPr>
        <w:t>设备安装</w:t>
      </w:r>
    </w:p>
    <w:p>
      <w:pPr>
        <w:pStyle w:val="73"/>
        <w:ind w:left="0" w:leftChars="0" w:firstLine="482" w:firstLineChars="200"/>
        <w:rPr>
          <w:rFonts w:hint="eastAsia" w:ascii="仿宋" w:hAnsi="仿宋" w:eastAsia="仿宋" w:cs="仿宋"/>
          <w:sz w:val="24"/>
          <w:szCs w:val="24"/>
        </w:rPr>
      </w:pPr>
      <w:r>
        <w:rPr>
          <w:rFonts w:hint="eastAsia" w:ascii="仿宋" w:hAnsi="仿宋" w:eastAsia="仿宋" w:cs="仿宋"/>
          <w:b/>
          <w:sz w:val="24"/>
          <w:szCs w:val="24"/>
        </w:rPr>
        <w:t>设备运输开箱检查验收</w:t>
      </w:r>
      <w:r>
        <w:rPr>
          <w:rFonts w:hint="eastAsia" w:ascii="仿宋" w:hAnsi="仿宋" w:eastAsia="仿宋" w:cs="仿宋"/>
          <w:sz w:val="24"/>
          <w:szCs w:val="24"/>
        </w:rPr>
        <w:t>：</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（1）监控设备的吊装运输工作由熟练的起重工和汽车驾驶人员来完成，过程必须有专职安全员进行监护。吊装运输过程中应采取防振、防冲击措施，以保证设备的安全。</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（2）开箱用专用工具将铁钉或木螺钉取出，严禁使用铁榔头、撬杆等硬敲、硬撬、硬砸，开箱后的包装板要及时清离施工现场。</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监控系统上位机设备及各设备盘柜在监理的监督下开箱检查，重点检查盘柜框架有无变形，盘内元器件是否损坏，漆面是否受损、盘面标识是否完整齐全、正确清晰，柜门开关是否灵活、门锁是否齐全，所有螺栓是否紧固、电器元件是否固定牢固，实物与装箱清单是否相符。附件、备件、装箱文件是否齐全。做好开箱记录会签后备查。</w:t>
      </w:r>
      <w:bookmarkStart w:id="57" w:name="_Toc199822276"/>
      <w:bookmarkStart w:id="58" w:name="_Toc103773301"/>
      <w:bookmarkStart w:id="59" w:name="_Toc103773393"/>
      <w:bookmarkStart w:id="60" w:name="_Toc200985875"/>
      <w:bookmarkStart w:id="61" w:name="_Toc212622264"/>
    </w:p>
    <w:bookmarkEnd w:id="57"/>
    <w:bookmarkEnd w:id="58"/>
    <w:bookmarkEnd w:id="59"/>
    <w:bookmarkEnd w:id="60"/>
    <w:bookmarkEnd w:id="61"/>
    <w:p>
      <w:pPr>
        <w:spacing w:line="360" w:lineRule="auto"/>
        <w:ind w:firstLine="482" w:firstLineChars="200"/>
        <w:rPr>
          <w:rFonts w:hint="eastAsia" w:ascii="仿宋" w:hAnsi="仿宋" w:eastAsia="仿宋" w:cs="仿宋"/>
          <w:b/>
          <w:sz w:val="24"/>
        </w:rPr>
      </w:pPr>
      <w:bookmarkStart w:id="62" w:name="_Toc103773394"/>
      <w:bookmarkStart w:id="63" w:name="_Toc103773302"/>
      <w:bookmarkStart w:id="64" w:name="_Toc212622268"/>
      <w:bookmarkStart w:id="65" w:name="_Toc199822277"/>
      <w:bookmarkStart w:id="66" w:name="_Toc200985876"/>
      <w:r>
        <w:rPr>
          <w:rFonts w:hint="eastAsia" w:ascii="仿宋" w:hAnsi="仿宋" w:eastAsia="仿宋" w:cs="仿宋"/>
          <w:b/>
          <w:sz w:val="24"/>
        </w:rPr>
        <w:t>电缆、光缆敷设</w:t>
      </w:r>
      <w:bookmarkEnd w:id="62"/>
      <w:bookmarkEnd w:id="63"/>
      <w:bookmarkEnd w:id="64"/>
      <w:bookmarkEnd w:id="65"/>
      <w:bookmarkEnd w:id="66"/>
      <w:r>
        <w:rPr>
          <w:rFonts w:hint="eastAsia" w:ascii="仿宋" w:hAnsi="仿宋" w:eastAsia="仿宋" w:cs="仿宋"/>
          <w:b/>
          <w:sz w:val="24"/>
        </w:rPr>
        <w:t>：</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（1）敷设前根据设计图纸核对电缆型号、敷设路径、长度是否与设计规定相符。</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（2）检查存放的电缆应平直，不得产生扭绞、打圈等现象，不应受到外力挤压和损伤。 </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（3）用统一规格的电缆牌，上面标明电缆型号、总芯数及起止地点，字迹要清楚、耐久。</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（4）电缆敷设前，将电缆盘在平稳坚实的盘架上，电缆要从盘的上端引出且不能与支架及地面有摩擦，不能有铠装压扁、电缆、光缆绞拧、护层折裂等机械损伤。</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（5）电缆的敷设要专人负责，并在统一指挥下有序的进行。</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（6）电缆按设计要求分层整齐布置，型号规格符合设计，按层布设，电缆的弯曲半径应符合要求或大于其外径的20倍。</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（7）敷设电缆的牵引力，应小于电缆允许张力的80%。</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（8）在竖井进出口，地板下等处电缆不应有交叉、堆积。</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（9）对大容量交流单芯电缆固定时，不使之构成闭合磁路。</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（10）电缆穿管敷设时，注意不得损伤绝缘。穿管敷设完后，管口要封堵严实。大容量单芯交流电缆不得单独穿入钢管内。</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（11）电缆水平敷设时，在其首末两端、转弯处两侧及接头处用电缆卡子或卡带固定，垂直敷设时每隔1.5米用电缆卡子固定。</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（12）电缆敷设完并整理好后，按规程规范的要求进行固定，电缆的固定件不能构成闭合磁路。并在电缆拐弯两侧、中间、每间隔50m进入设备前等处要挂标志牌。</w:t>
      </w:r>
    </w:p>
    <w:p>
      <w:pPr>
        <w:spacing w:line="360" w:lineRule="auto"/>
        <w:ind w:firstLine="482" w:firstLineChars="200"/>
        <w:rPr>
          <w:rFonts w:hint="eastAsia" w:ascii="仿宋" w:hAnsi="仿宋" w:eastAsia="仿宋" w:cs="仿宋"/>
          <w:b/>
          <w:sz w:val="24"/>
        </w:rPr>
      </w:pPr>
      <w:bookmarkStart w:id="67" w:name="_Toc199822278"/>
      <w:bookmarkStart w:id="68" w:name="_Toc212622269"/>
      <w:bookmarkStart w:id="69" w:name="_Toc103773395"/>
      <w:bookmarkStart w:id="70" w:name="_Toc200985877"/>
      <w:bookmarkStart w:id="71" w:name="_Toc103773303"/>
      <w:r>
        <w:rPr>
          <w:rFonts w:hint="eastAsia" w:ascii="仿宋" w:hAnsi="仿宋" w:eastAsia="仿宋" w:cs="仿宋"/>
          <w:b/>
          <w:sz w:val="24"/>
        </w:rPr>
        <w:t>配线</w:t>
      </w:r>
      <w:bookmarkEnd w:id="67"/>
      <w:bookmarkEnd w:id="68"/>
      <w:bookmarkEnd w:id="69"/>
      <w:bookmarkEnd w:id="70"/>
      <w:bookmarkEnd w:id="71"/>
      <w:r>
        <w:rPr>
          <w:rFonts w:hint="eastAsia" w:ascii="仿宋" w:hAnsi="仿宋" w:eastAsia="仿宋" w:cs="仿宋"/>
          <w:b/>
          <w:sz w:val="24"/>
        </w:rPr>
        <w:t>：</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（1）电缆敷设完后，进一步整理电缆，捆扎成把，固定在盘柜框架上，电缆把固定良好可靠，避免电缆芯处于受力状态。</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（2）电缆剖头深浅长短要把握好，避免伤及芯线绝缘。</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电缆进出盘柜要排列整齐、编号清晰固定牢靠，铠装电缆要在进盘后切断钢带、要在断口处扎紧且钢带要引出接地线可靠接地。电缆的屏蔽层按设计要求可靠接地，无明确要求时，计算机系统电缆统一单端在计算机控制柜内接地。</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（4）电缆插接,位置正确，接触紧密、牢靠，插接端子完好无损。</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电缆芯线要标明电缆编号、回路号、端子号，字迹清晰，不褪色。芯线标识管与电缆芯线大小相对应，长度一致，标识内容同设计图纸一致。电缆备用芯也应有标识，方便查找。电缆芯线用接线鼻子压接时，导线与鼻子必需压接牢固紧密。</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（6）盘内导线不得有接头。盘柜内设备间连线不允许“T”接。电缆接线时，其芯线应留有适当裕度。</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（7）电流回路应采用电压不低于500V的铜芯绝缘导线，其截面大于或等于2.5mm2；其它回路截面大于或等于1.5mm2；弱电回路导线截面大于或等于0.75mm2。靠近高温元件的导线要采用阻燃热绝缘导线。</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8）强弱电端子要分开布置；正负电源之间以及经常带电的正电源与合闸或跳闸回路之间要用空端子隔开。每个端子原则上每侧只接一根导线，端子接线应压接牢固紧密，若接线鼻子带有护套，严禁端子压接在护套上。</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（9）依据设计图纸查核配线的准确性,检查各设备间的连接是否正确,测试二次回路绝缘电阻不低于1MΩ。交流回路外部端子对地10MΩ以上,不接地直流回路对地电阻＞1MΩ。</w:t>
      </w:r>
    </w:p>
    <w:p>
      <w:pPr>
        <w:pStyle w:val="73"/>
        <w:ind w:left="0" w:leftChars="0" w:firstLine="482" w:firstLineChars="200"/>
        <w:rPr>
          <w:rFonts w:hint="eastAsia" w:ascii="仿宋" w:hAnsi="仿宋" w:eastAsia="仿宋" w:cs="仿宋"/>
          <w:b/>
          <w:sz w:val="24"/>
          <w:szCs w:val="24"/>
        </w:rPr>
      </w:pPr>
      <w:bookmarkStart w:id="72" w:name="_Toc90537299"/>
      <w:bookmarkStart w:id="73" w:name="_Toc90546059"/>
      <w:bookmarkStart w:id="74" w:name="_Toc212622270"/>
      <w:r>
        <w:rPr>
          <w:rFonts w:hint="eastAsia" w:ascii="仿宋" w:hAnsi="仿宋" w:eastAsia="仿宋" w:cs="仿宋"/>
          <w:b/>
          <w:sz w:val="24"/>
          <w:szCs w:val="24"/>
        </w:rPr>
        <w:t>配合调试</w:t>
      </w:r>
      <w:bookmarkEnd w:id="72"/>
      <w:bookmarkEnd w:id="73"/>
      <w:bookmarkEnd w:id="74"/>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安装承包人在计算机监控系统设备供应商的监督、指导下进行系统的硬件安装，配合设备供应商进行系统的调试。承包人在完成安装工作后，应根据合同规定、设计单位提供的图纸和设备供应商提供的技术资料等进行检查和试验。现场接收试验应有监理人目击。任何部件不能满足技术规范要求以及设备供应商的保证性能时，安装承包人作好记录并报请监理进行处置。计算机监控系统设备的现场试验应满足《电气装置安装工程电气设备交接试验标准》（GB50150）、《水电厂计算机监控系统设备基本技术规范》 DL/T578以及设备供货合同要求。</w:t>
      </w:r>
    </w:p>
    <w:p>
      <w:pPr>
        <w:pStyle w:val="73"/>
        <w:ind w:left="0" w:leftChars="0" w:firstLine="482" w:firstLineChars="200"/>
        <w:rPr>
          <w:rFonts w:hint="eastAsia" w:ascii="仿宋" w:hAnsi="仿宋" w:eastAsia="仿宋" w:cs="仿宋"/>
          <w:b/>
          <w:sz w:val="24"/>
          <w:szCs w:val="24"/>
        </w:rPr>
      </w:pPr>
      <w:bookmarkStart w:id="75" w:name="_Toc212622271"/>
      <w:bookmarkStart w:id="76" w:name="_Toc90537300"/>
      <w:r>
        <w:rPr>
          <w:rFonts w:hint="eastAsia" w:ascii="仿宋" w:hAnsi="仿宋" w:eastAsia="仿宋" w:cs="仿宋"/>
          <w:b/>
          <w:sz w:val="24"/>
          <w:szCs w:val="24"/>
        </w:rPr>
        <w:t>试验调整</w:t>
      </w:r>
      <w:bookmarkEnd w:id="75"/>
      <w:bookmarkEnd w:id="76"/>
      <w:r>
        <w:rPr>
          <w:rFonts w:hint="eastAsia" w:ascii="仿宋" w:hAnsi="仿宋" w:eastAsia="仿宋" w:cs="仿宋"/>
          <w:b/>
          <w:sz w:val="24"/>
          <w:szCs w:val="24"/>
        </w:rPr>
        <w:t>：</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计算机监控系统的调试按照被控对象调整、现地单元控制级调试、电站控制级调试、远程控制级调试的顺序进行。被控对象、现地单元控制级、电站控制级、远程控制级通电前应检查接线的正确性,根据原理图逐级送电。对现地单元控制级送电检查前，要重新检查回路的绝缘等，确保送电安全。</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进行不间断电源（UPS）通电试验，检查其输出电压值、电压波形、波形失真、电压误差等符合设计要求。电源的过压/过流保护及电源故障报警信号正确，电源配置满足接地隔离要求。对UPS系统首次通电时进行切换试验，在投入运行后必须进行再试验检查，确保冗余功能符合设计要求，所有通电均应有设备承包商代表在场下进行。</w:t>
      </w:r>
    </w:p>
    <w:bookmarkEnd w:id="49"/>
    <w:bookmarkEnd w:id="50"/>
    <w:bookmarkEnd w:id="53"/>
    <w:bookmarkEnd w:id="54"/>
    <w:bookmarkEnd w:id="55"/>
    <w:p>
      <w:pPr>
        <w:pStyle w:val="59"/>
        <w:spacing w:before="0" w:after="0" w:line="360" w:lineRule="auto"/>
        <w:rPr>
          <w:rFonts w:hint="eastAsia" w:ascii="仿宋" w:hAnsi="仿宋" w:eastAsia="仿宋" w:cs="仿宋"/>
          <w:sz w:val="32"/>
          <w:szCs w:val="32"/>
        </w:rPr>
      </w:pPr>
      <w:r>
        <w:rPr>
          <w:rFonts w:hint="eastAsia" w:ascii="仿宋" w:hAnsi="仿宋" w:eastAsia="仿宋" w:cs="仿宋"/>
          <w:b/>
          <w:bCs w:val="0"/>
          <w:sz w:val="32"/>
          <w:szCs w:val="32"/>
          <w:lang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监理控制的程序和措施</w:t>
      </w:r>
      <w:bookmarkEnd w:id="51"/>
      <w:bookmarkEnd w:id="52"/>
    </w:p>
    <w:p>
      <w:pPr>
        <w:pStyle w:val="59"/>
        <w:spacing w:before="0" w:after="0" w:line="360" w:lineRule="auto"/>
        <w:rPr>
          <w:rFonts w:hint="eastAsia" w:ascii="仿宋" w:hAnsi="仿宋" w:eastAsia="仿宋" w:cs="仿宋"/>
        </w:rPr>
      </w:pPr>
      <w:bookmarkStart w:id="77" w:name="_Toc299183618"/>
      <w:bookmarkStart w:id="78" w:name="_Toc214848235"/>
      <w:bookmarkStart w:id="79" w:name="_Toc299021735"/>
      <w:r>
        <w:rPr>
          <w:rFonts w:hint="eastAsia" w:ascii="仿宋" w:hAnsi="仿宋" w:eastAsia="仿宋" w:cs="仿宋"/>
        </w:rPr>
        <w:t>3.1工程质量控制程序</w:t>
      </w:r>
      <w:bookmarkEnd w:id="77"/>
      <w:bookmarkEnd w:id="78"/>
      <w:bookmarkEnd w:id="79"/>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 在本工程各施工项目的监理活动中，监理</w:t>
      </w:r>
      <w:r>
        <w:rPr>
          <w:rFonts w:hint="eastAsia" w:ascii="仿宋" w:hAnsi="仿宋" w:eastAsia="仿宋" w:cs="仿宋"/>
          <w:spacing w:val="4"/>
          <w:sz w:val="24"/>
        </w:rPr>
        <w:t>工程师</w:t>
      </w:r>
      <w:r>
        <w:rPr>
          <w:rFonts w:hint="eastAsia" w:ascii="仿宋" w:hAnsi="仿宋" w:eastAsia="仿宋" w:cs="仿宋"/>
          <w:color w:val="000000"/>
          <w:sz w:val="24"/>
        </w:rPr>
        <w:t>进行工程施工作业进行全过程、全方位的监督、检查与控制。</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 在每个分部工程开始之前，监理工程师审查施工单位的分部工程，并对所有的工程项目进行了施工计划、工作顺序安排和施工方案的审查，及时深入现场检查人员和机械设备的配置、材料的准备情况及现场条件，满足条件的批准开工，不满足条件的提出改进措施并进行重新审查，具备条件后方可施工。</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 在施工过程中，监理</w:t>
      </w:r>
      <w:r>
        <w:rPr>
          <w:rFonts w:hint="eastAsia" w:ascii="仿宋" w:hAnsi="仿宋" w:eastAsia="仿宋" w:cs="仿宋"/>
          <w:spacing w:val="4"/>
          <w:sz w:val="24"/>
        </w:rPr>
        <w:t>工程师</w:t>
      </w:r>
      <w:r>
        <w:rPr>
          <w:rFonts w:hint="eastAsia" w:ascii="仿宋" w:hAnsi="仿宋" w:eastAsia="仿宋" w:cs="仿宋"/>
          <w:color w:val="000000"/>
          <w:sz w:val="24"/>
        </w:rPr>
        <w:t>及时监督施工单位加强内部质量管理，严格按照国家有关标准和技术规范规定的工艺和技术要求进行施工。深入施工现场进行全过程的跟踪检查监督，发现问题及时纠正。</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 当某个单项工程所有的工序都完成并在最后一个工序检查合格后,施工单位向监理工程师提交“验收申请报告”，并附上整理后的该单项工程的完工资料。监理机构组织专题验收会议,参建各方在对工程质量、完工资料进行审查,合格后，向施工单位颁发“单项工程验收签证”。</w:t>
      </w:r>
    </w:p>
    <w:p>
      <w:pPr>
        <w:pStyle w:val="59"/>
        <w:spacing w:before="0" w:after="0" w:line="360" w:lineRule="auto"/>
        <w:rPr>
          <w:rFonts w:hint="eastAsia" w:ascii="仿宋" w:hAnsi="仿宋" w:eastAsia="仿宋" w:cs="仿宋"/>
        </w:rPr>
      </w:pPr>
      <w:bookmarkStart w:id="80" w:name="_Toc299183619"/>
      <w:bookmarkStart w:id="81" w:name="_Toc299021736"/>
      <w:r>
        <w:rPr>
          <w:rFonts w:hint="eastAsia" w:ascii="仿宋" w:hAnsi="仿宋" w:eastAsia="仿宋" w:cs="仿宋"/>
        </w:rPr>
        <w:t>3.2施工质量控制措施</w:t>
      </w:r>
      <w:bookmarkEnd w:id="80"/>
      <w:bookmarkEnd w:id="81"/>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施工单位的施工技术措施及质量保证文件是工程建设的基本保证，在工程建设监理过程中，监理</w:t>
      </w:r>
      <w:r>
        <w:rPr>
          <w:rFonts w:hint="eastAsia" w:ascii="仿宋" w:hAnsi="仿宋" w:eastAsia="仿宋" w:cs="仿宋"/>
          <w:spacing w:val="4"/>
          <w:sz w:val="24"/>
        </w:rPr>
        <w:t>工程师</w:t>
      </w:r>
      <w:r>
        <w:rPr>
          <w:rFonts w:hint="eastAsia" w:ascii="仿宋" w:hAnsi="仿宋" w:eastAsia="仿宋" w:cs="仿宋"/>
          <w:color w:val="000000"/>
          <w:sz w:val="24"/>
        </w:rPr>
        <w:t>始终把审查施工技术措施和质量保证文件作为施工质量控制的措施之一，为施工质量控制起指导性的作用。</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(1)审查施工技术措施和质量保证文件</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在本工程的施工过程中，监理工程师应审查的文件包括以下：</w:t>
      </w:r>
    </w:p>
    <w:p>
      <w:pPr>
        <w:numPr>
          <w:ilvl w:val="0"/>
          <w:numId w:val="2"/>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审查施工单位的质量保证措施，监督施工单位建立质量保证体系；</w:t>
      </w:r>
    </w:p>
    <w:p>
      <w:pPr>
        <w:numPr>
          <w:ilvl w:val="0"/>
          <w:numId w:val="2"/>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审批由施工单位提交的施工组织设计、施工措施计划和施工工艺说明，保证工程施工质量有可靠的技术保障；</w:t>
      </w:r>
    </w:p>
    <w:p>
      <w:pPr>
        <w:numPr>
          <w:ilvl w:val="0"/>
          <w:numId w:val="2"/>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检查现场施工准备工作的落实情况，审批施工单位单项工程的开工申请报告；</w:t>
      </w:r>
    </w:p>
    <w:p>
      <w:pPr>
        <w:numPr>
          <w:ilvl w:val="0"/>
          <w:numId w:val="2"/>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审批施工单位提交的有关原材料、半成品和构配件的质量证明文件，确保工程质量有可靠的物质基础；</w:t>
      </w:r>
    </w:p>
    <w:p>
      <w:pPr>
        <w:numPr>
          <w:ilvl w:val="0"/>
          <w:numId w:val="2"/>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审查或查验现场作业人员的岗位操作资质；</w:t>
      </w:r>
    </w:p>
    <w:p>
      <w:pPr>
        <w:numPr>
          <w:ilvl w:val="0"/>
          <w:numId w:val="2"/>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审核施工单位提交的反映工序、半成品和成品质量的统计资料并采用数理统计的方法进行汇总分析；</w:t>
      </w:r>
    </w:p>
    <w:p>
      <w:pPr>
        <w:numPr>
          <w:ilvl w:val="0"/>
          <w:numId w:val="2"/>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审核有关新技术、新工艺、新材料的技术鉴定文件，审查其在本工程中的应用申请报告，根据具体情况批准其在本工程中的使用，确保工程质量；</w:t>
      </w:r>
    </w:p>
    <w:p>
      <w:pPr>
        <w:numPr>
          <w:ilvl w:val="0"/>
          <w:numId w:val="2"/>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审批有关工程质量缺陷或质量事故的调查报告、处理措施和处理报告，确保质量缺陷或质量事故得到满意的处理。</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(2)采用多种手段监督控制施工质量</w:t>
      </w:r>
    </w:p>
    <w:p>
      <w:pPr>
        <w:numPr>
          <w:ilvl w:val="0"/>
          <w:numId w:val="3"/>
        </w:numPr>
        <w:tabs>
          <w:tab w:val="left" w:pos="900"/>
          <w:tab w:val="clear" w:pos="1164"/>
        </w:tabs>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对于施工质量有严重影响的工序、出现质量缺陷处理难度极大的工序、隐蔽工程等工序的施工过程，监理工程师始终在现场</w:t>
      </w:r>
      <w:r>
        <w:rPr>
          <w:rFonts w:hint="eastAsia" w:ascii="仿宋" w:hAnsi="仿宋" w:eastAsia="仿宋" w:cs="仿宋"/>
          <w:sz w:val="24"/>
        </w:rPr>
        <w:t>观察、</w:t>
      </w:r>
      <w:r>
        <w:rPr>
          <w:rFonts w:hint="eastAsia" w:ascii="仿宋" w:hAnsi="仿宋" w:eastAsia="仿宋" w:cs="仿宋"/>
          <w:color w:val="000000"/>
          <w:sz w:val="24"/>
        </w:rPr>
        <w:t>监督与检查，注意并及时发现质量问题以便立即制订措施、实施控制。</w:t>
      </w:r>
    </w:p>
    <w:p>
      <w:pPr>
        <w:numPr>
          <w:ilvl w:val="0"/>
          <w:numId w:val="3"/>
        </w:numPr>
        <w:tabs>
          <w:tab w:val="left" w:pos="900"/>
          <w:tab w:val="clear" w:pos="1164"/>
        </w:tabs>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采用复测的方法对施工放线进行检查，严格控制，发现偏差立即纠正，在进行工序的检查验收时，对于位置和几何尺寸的任何偏离在指令施工单位改正之后再签署验收确认。</w:t>
      </w:r>
    </w:p>
    <w:p>
      <w:pPr>
        <w:numPr>
          <w:ilvl w:val="0"/>
          <w:numId w:val="3"/>
        </w:numPr>
        <w:tabs>
          <w:tab w:val="left" w:pos="900"/>
          <w:tab w:val="clear" w:pos="1164"/>
        </w:tabs>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采用抽检的方法对每道工序中使用的原材料的性能和质量、现场配置的材料的配合比、半成品和成品的物理力学性能进行测试，通过抽检的试验数据评价和确认各种材料和工程成品的内在质量。</w:t>
      </w:r>
    </w:p>
    <w:p>
      <w:pPr>
        <w:numPr>
          <w:ilvl w:val="0"/>
          <w:numId w:val="3"/>
        </w:numPr>
        <w:tabs>
          <w:tab w:val="left" w:pos="900"/>
          <w:tab w:val="clear" w:pos="1164"/>
        </w:tabs>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对于施工单位的违章或违规作业、现场检查发现的质量问题以及工序或工艺控制的措施问题，监理工程师采用发布指令的方式指出施工中存在的问题，要求施工单位及时整改。</w:t>
      </w:r>
    </w:p>
    <w:p>
      <w:pPr>
        <w:numPr>
          <w:ilvl w:val="0"/>
          <w:numId w:val="3"/>
        </w:numPr>
        <w:tabs>
          <w:tab w:val="left" w:pos="900"/>
          <w:tab w:val="clear" w:pos="1164"/>
        </w:tabs>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严格要求施工单位按规定的质量监控程序进行工序作业的检查验收的申请、验收，确保每道工序的质量都得到监理工程师的检查验收和确认。</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(3)严格进行施工过程的质量检查</w:t>
      </w:r>
    </w:p>
    <w:p>
      <w:pPr>
        <w:spacing w:line="360" w:lineRule="auto"/>
        <w:ind w:firstLine="480" w:firstLineChars="200"/>
        <w:rPr>
          <w:rFonts w:hint="eastAsia" w:ascii="仿宋" w:hAnsi="仿宋" w:eastAsia="仿宋" w:cs="仿宋"/>
          <w:color w:val="FF0000"/>
          <w:sz w:val="24"/>
        </w:rPr>
      </w:pPr>
      <w:r>
        <w:rPr>
          <w:rFonts w:hint="eastAsia" w:ascii="仿宋" w:hAnsi="仿宋" w:eastAsia="仿宋" w:cs="仿宋"/>
          <w:color w:val="000000"/>
          <w:sz w:val="24"/>
        </w:rPr>
        <w:t>在工程施工过程中，监理工程师将不断地进行现场巡视，加强现场监督与检查，对重要的工序进行全过程跟踪检查，保证施工过程中的任何工程对象始终全面地处于监理人员的监控之下，确保工程质量，避免工程质量缺陷或质量事故。在施工过程中监理工程师严格实施复核性检查；</w:t>
      </w:r>
    </w:p>
    <w:p>
      <w:pPr>
        <w:numPr>
          <w:ilvl w:val="0"/>
          <w:numId w:val="4"/>
        </w:numPr>
        <w:spacing w:line="360" w:lineRule="auto"/>
        <w:ind w:firstLine="480" w:firstLineChars="200"/>
        <w:rPr>
          <w:rFonts w:hint="eastAsia" w:ascii="仿宋" w:hAnsi="仿宋" w:eastAsia="仿宋" w:cs="仿宋"/>
          <w:sz w:val="24"/>
        </w:rPr>
      </w:pPr>
      <w:r>
        <w:rPr>
          <w:rFonts w:hint="eastAsia" w:ascii="仿宋" w:hAnsi="仿宋" w:eastAsia="仿宋" w:cs="仿宋"/>
          <w:sz w:val="24"/>
        </w:rPr>
        <w:t>隐蔽工程在被遮蔽或被覆盖前，必须经过监理工程师的检查验收，确认其质量合格后，才允许加以覆盖；</w:t>
      </w:r>
    </w:p>
    <w:p>
      <w:pPr>
        <w:numPr>
          <w:ilvl w:val="0"/>
          <w:numId w:val="4"/>
        </w:numPr>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rPr>
        <w:t>每道工序完工之后，经监理人员检查认可其质量合格并签字确认后，才能进行下一道工序。</w:t>
      </w:r>
    </w:p>
    <w:p>
      <w:pPr>
        <w:numPr>
          <w:ilvl w:val="0"/>
          <w:numId w:val="4"/>
        </w:num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在每个单元工程施工之前，对该单元工程之前已经进行的一些与之密切相关的单元工程质量及正确性进行复核。预检并合格无误后监理人员给以书面确认，未经预检、复核或预检不合格或不符合时，不得开始下一个单元工程的施工。</w:t>
      </w:r>
    </w:p>
    <w:p>
      <w:pPr>
        <w:pStyle w:val="59"/>
        <w:spacing w:before="0" w:after="0" w:line="360" w:lineRule="auto"/>
        <w:rPr>
          <w:rFonts w:hint="eastAsia" w:ascii="仿宋" w:hAnsi="仿宋" w:eastAsia="仿宋" w:cs="仿宋"/>
          <w:sz w:val="32"/>
          <w:szCs w:val="32"/>
        </w:rPr>
      </w:pPr>
      <w:bookmarkStart w:id="82" w:name="_Toc299021737"/>
      <w:bookmarkStart w:id="83" w:name="_Toc299183620"/>
      <w:r>
        <w:rPr>
          <w:rFonts w:hint="eastAsia" w:ascii="仿宋" w:hAnsi="仿宋" w:eastAsia="仿宋" w:cs="仿宋"/>
          <w:sz w:val="32"/>
          <w:szCs w:val="32"/>
          <w:lang w:eastAsia="zh-CN"/>
        </w:rPr>
        <w:t>四、</w:t>
      </w:r>
      <w:r>
        <w:rPr>
          <w:rFonts w:hint="eastAsia" w:ascii="仿宋" w:hAnsi="仿宋" w:eastAsia="仿宋" w:cs="仿宋"/>
          <w:sz w:val="32"/>
          <w:szCs w:val="32"/>
        </w:rPr>
        <w:t>质量验收程序</w:t>
      </w:r>
      <w:bookmarkEnd w:id="82"/>
      <w:bookmarkEnd w:id="83"/>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单元工程、分部工程完成后，安装单位应首先自行检查验收，根据施工图纸及有关文件、规范、标准等，从外观、几何尺寸、质量控制资料以及内在质量等方面进行检查、审核，确认符合设计文件及相关验收规范的规定，然后向监理工程师提交申请，由监理工程师予以检查、确认。监理工程师按机电安装合同文件的要求，予以确认验收。如有质量问题则指令安装单位进行处理，待质量合乎要求后再予以检查验收。对涉及结构安全和使用功能的重要分部工程应进行抽样检测。</w:t>
      </w:r>
    </w:p>
    <w:p>
      <w:pPr>
        <w:pStyle w:val="59"/>
        <w:spacing w:before="0" w:after="0" w:line="360" w:lineRule="auto"/>
        <w:rPr>
          <w:rFonts w:hint="eastAsia" w:ascii="仿宋" w:hAnsi="仿宋" w:eastAsia="仿宋" w:cs="仿宋"/>
          <w:sz w:val="32"/>
          <w:szCs w:val="32"/>
        </w:rPr>
      </w:pPr>
      <w:bookmarkStart w:id="84" w:name="_Toc299183621"/>
      <w:bookmarkStart w:id="85" w:name="_Toc299021738"/>
      <w:r>
        <w:rPr>
          <w:rFonts w:hint="eastAsia" w:ascii="仿宋" w:hAnsi="仿宋" w:eastAsia="仿宋" w:cs="仿宋"/>
          <w:sz w:val="32"/>
          <w:szCs w:val="32"/>
          <w:lang w:eastAsia="zh-CN"/>
        </w:rPr>
        <w:t>五、</w:t>
      </w:r>
      <w:r>
        <w:rPr>
          <w:rFonts w:hint="eastAsia" w:ascii="仿宋" w:hAnsi="仿宋" w:eastAsia="仿宋" w:cs="仿宋"/>
          <w:sz w:val="32"/>
          <w:szCs w:val="32"/>
        </w:rPr>
        <w:t>进度控制</w:t>
      </w:r>
      <w:bookmarkEnd w:id="84"/>
      <w:bookmarkEnd w:id="85"/>
      <w:bookmarkStart w:id="86" w:name="_Toc175568676"/>
      <w:bookmarkStart w:id="87" w:name="_Toc128131403"/>
    </w:p>
    <w:p>
      <w:pPr>
        <w:pStyle w:val="59"/>
        <w:spacing w:before="0" w:after="0" w:line="360" w:lineRule="auto"/>
        <w:rPr>
          <w:rFonts w:hint="eastAsia" w:ascii="仿宋" w:hAnsi="仿宋" w:eastAsia="仿宋" w:cs="仿宋"/>
        </w:rPr>
      </w:pPr>
      <w:bookmarkStart w:id="88" w:name="_Toc299183622"/>
      <w:bookmarkStart w:id="89" w:name="_Toc299021739"/>
      <w:r>
        <w:rPr>
          <w:rFonts w:hint="eastAsia" w:ascii="仿宋" w:hAnsi="仿宋" w:eastAsia="仿宋" w:cs="仿宋"/>
        </w:rPr>
        <w:t>5.1进度控制的工作内容</w:t>
      </w:r>
      <w:bookmarkEnd w:id="86"/>
      <w:bookmarkEnd w:id="87"/>
      <w:bookmarkEnd w:id="88"/>
      <w:bookmarkEnd w:id="89"/>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1、按年、月、周审核工程施工计划和报告；监督施工进度计划的实施；</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2、组织现场协调会；</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3、修正的安装进度计划及赶工措施报告的审批;</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4、材料、物资、设备供货申请和采购计划的审批;</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3、签发工程进度款支付报表；</w:t>
      </w:r>
    </w:p>
    <w:p>
      <w:pPr>
        <w:pStyle w:val="59"/>
        <w:spacing w:before="0" w:after="0" w:line="360" w:lineRule="auto"/>
        <w:rPr>
          <w:rFonts w:hint="eastAsia" w:ascii="仿宋" w:hAnsi="仿宋" w:eastAsia="仿宋" w:cs="仿宋"/>
        </w:rPr>
      </w:pPr>
      <w:bookmarkStart w:id="90" w:name="_Toc299183623"/>
      <w:bookmarkStart w:id="91" w:name="_Toc299021740"/>
      <w:bookmarkStart w:id="92" w:name="_Toc128131404"/>
      <w:bookmarkStart w:id="93" w:name="_Toc175568677"/>
      <w:r>
        <w:rPr>
          <w:rFonts w:hint="eastAsia" w:ascii="仿宋" w:hAnsi="仿宋" w:eastAsia="仿宋" w:cs="仿宋"/>
        </w:rPr>
        <w:t>5.2 进度控制的工作措施</w:t>
      </w:r>
      <w:bookmarkEnd w:id="90"/>
      <w:bookmarkEnd w:id="91"/>
      <w:bookmarkEnd w:id="92"/>
      <w:bookmarkEnd w:id="93"/>
    </w:p>
    <w:p>
      <w:pPr>
        <w:pStyle w:val="73"/>
        <w:ind w:left="0" w:leftChars="0" w:firstLine="480" w:firstLineChars="200"/>
        <w:rPr>
          <w:rFonts w:hint="eastAsia" w:ascii="仿宋" w:hAnsi="仿宋" w:eastAsia="仿宋" w:cs="仿宋"/>
          <w:sz w:val="24"/>
          <w:szCs w:val="24"/>
        </w:rPr>
      </w:pPr>
      <w:bookmarkStart w:id="94" w:name="_Toc175568678"/>
      <w:r>
        <w:rPr>
          <w:rFonts w:hint="eastAsia" w:ascii="仿宋" w:hAnsi="仿宋" w:eastAsia="仿宋" w:cs="仿宋"/>
          <w:sz w:val="24"/>
          <w:szCs w:val="24"/>
        </w:rPr>
        <w:t>组织措施</w:t>
      </w:r>
      <w:bookmarkEnd w:id="94"/>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1、组织进度控制协调会议。</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2、进行进度计划审核分析。</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3、做好图纸审查、工程变更和设计变更管理。</w:t>
      </w:r>
    </w:p>
    <w:p>
      <w:pPr>
        <w:pStyle w:val="73"/>
        <w:ind w:left="0" w:leftChars="0" w:firstLine="480" w:firstLineChars="200"/>
        <w:rPr>
          <w:rFonts w:hint="eastAsia" w:ascii="仿宋" w:hAnsi="仿宋" w:eastAsia="仿宋" w:cs="仿宋"/>
          <w:sz w:val="24"/>
          <w:szCs w:val="24"/>
        </w:rPr>
      </w:pPr>
      <w:bookmarkStart w:id="95" w:name="_Toc175568679"/>
      <w:r>
        <w:rPr>
          <w:rFonts w:hint="eastAsia" w:ascii="仿宋" w:hAnsi="仿宋" w:eastAsia="仿宋" w:cs="仿宋"/>
          <w:sz w:val="24"/>
          <w:szCs w:val="24"/>
        </w:rPr>
        <w:t>技术措施</w:t>
      </w:r>
      <w:bookmarkEnd w:id="95"/>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1、审查安装单位提交的进度计划，使安装单位能在合理的状态下施工。</w:t>
      </w:r>
    </w:p>
    <w:p>
      <w:pPr>
        <w:pStyle w:val="73"/>
        <w:ind w:left="0" w:leftChars="0" w:firstLine="480" w:firstLineChars="200"/>
        <w:rPr>
          <w:rFonts w:hint="eastAsia" w:ascii="仿宋" w:hAnsi="仿宋" w:eastAsia="仿宋" w:cs="仿宋"/>
          <w:sz w:val="24"/>
        </w:rPr>
      </w:pPr>
      <w:r>
        <w:rPr>
          <w:rFonts w:hint="eastAsia" w:ascii="仿宋" w:hAnsi="仿宋" w:eastAsia="仿宋" w:cs="仿宋"/>
          <w:sz w:val="24"/>
          <w:szCs w:val="24"/>
        </w:rPr>
        <w:t>2、增加同时作业的施工面</w:t>
      </w:r>
      <w:r>
        <w:rPr>
          <w:rFonts w:hint="eastAsia" w:ascii="仿宋" w:hAnsi="仿宋" w:eastAsia="仿宋" w:cs="仿宋"/>
          <w:sz w:val="24"/>
        </w:rPr>
        <w:t>。</w:t>
      </w:r>
    </w:p>
    <w:p>
      <w:pPr>
        <w:pStyle w:val="73"/>
        <w:ind w:left="0" w:leftChars="0" w:firstLine="480" w:firstLineChars="200"/>
        <w:rPr>
          <w:rFonts w:hint="eastAsia" w:ascii="仿宋" w:hAnsi="仿宋" w:eastAsia="仿宋" w:cs="仿宋"/>
          <w:sz w:val="24"/>
          <w:szCs w:val="24"/>
        </w:rPr>
      </w:pPr>
      <w:bookmarkStart w:id="96" w:name="_Toc175568680"/>
      <w:r>
        <w:rPr>
          <w:rFonts w:hint="eastAsia" w:ascii="仿宋" w:hAnsi="仿宋" w:eastAsia="仿宋" w:cs="仿宋"/>
          <w:sz w:val="24"/>
          <w:szCs w:val="24"/>
        </w:rPr>
        <w:t>合同措施</w:t>
      </w:r>
      <w:bookmarkEnd w:id="96"/>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1、严格控制各方提出的工程变更和设计变更</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2、加强索赔管理，公正地处理索赔。</w:t>
      </w:r>
    </w:p>
    <w:p>
      <w:pPr>
        <w:pStyle w:val="73"/>
        <w:ind w:left="0" w:leftChars="0" w:firstLine="480" w:firstLineChars="200"/>
        <w:rPr>
          <w:rFonts w:hint="eastAsia" w:ascii="仿宋" w:hAnsi="仿宋" w:eastAsia="仿宋" w:cs="仿宋"/>
          <w:sz w:val="24"/>
          <w:szCs w:val="24"/>
        </w:rPr>
      </w:pPr>
      <w:bookmarkStart w:id="97" w:name="_Toc175568681"/>
      <w:r>
        <w:rPr>
          <w:rFonts w:hint="eastAsia" w:ascii="仿宋" w:hAnsi="仿宋" w:eastAsia="仿宋" w:cs="仿宋"/>
          <w:sz w:val="24"/>
          <w:szCs w:val="24"/>
        </w:rPr>
        <w:t>经济措施</w:t>
      </w:r>
      <w:bookmarkEnd w:id="97"/>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1、及时办理工程预付款及工程进度款支付手续。</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2、按合同规定，对工期提前者实行奖励。</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3、按合同规定，对工程延误进行处罚。</w:t>
      </w:r>
    </w:p>
    <w:p>
      <w:pPr>
        <w:pStyle w:val="73"/>
        <w:ind w:left="0" w:leftChars="0" w:firstLine="480" w:firstLineChars="200"/>
        <w:rPr>
          <w:rFonts w:hint="eastAsia" w:ascii="仿宋" w:hAnsi="仿宋" w:eastAsia="仿宋" w:cs="仿宋"/>
          <w:sz w:val="24"/>
          <w:szCs w:val="24"/>
        </w:rPr>
      </w:pPr>
      <w:bookmarkStart w:id="98" w:name="_Toc175568682"/>
      <w:r>
        <w:rPr>
          <w:rFonts w:hint="eastAsia" w:ascii="仿宋" w:hAnsi="仿宋" w:eastAsia="仿宋" w:cs="仿宋"/>
          <w:sz w:val="24"/>
          <w:szCs w:val="24"/>
        </w:rPr>
        <w:t>协调措施</w:t>
      </w:r>
      <w:bookmarkEnd w:id="98"/>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1、随施工进展，逐日、逐周、逐月检查施工准备、施工条件和工程进度计划的实施情况。</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2、与建设公司协调，按合同规定的时间支付各项预付款或合同价款，避免付款延误。</w:t>
      </w:r>
    </w:p>
    <w:p>
      <w:pPr>
        <w:pStyle w:val="59"/>
        <w:spacing w:before="0" w:after="0" w:line="360" w:lineRule="auto"/>
        <w:rPr>
          <w:rFonts w:hint="eastAsia" w:ascii="仿宋" w:hAnsi="仿宋" w:eastAsia="仿宋" w:cs="仿宋"/>
          <w:sz w:val="32"/>
          <w:szCs w:val="32"/>
        </w:rPr>
      </w:pPr>
      <w:bookmarkStart w:id="99" w:name="_Toc174615026"/>
      <w:bookmarkStart w:id="100" w:name="_Toc174874827"/>
      <w:bookmarkStart w:id="101" w:name="_Toc174604287"/>
      <w:bookmarkStart w:id="102" w:name="_Toc299021741"/>
      <w:bookmarkStart w:id="103" w:name="_Toc299183624"/>
      <w:bookmarkStart w:id="104" w:name="_Toc175568688"/>
      <w:r>
        <w:rPr>
          <w:rFonts w:hint="eastAsia" w:ascii="仿宋" w:hAnsi="仿宋" w:eastAsia="仿宋" w:cs="仿宋"/>
          <w:sz w:val="32"/>
          <w:szCs w:val="32"/>
          <w:lang w:eastAsia="zh-CN"/>
        </w:rPr>
        <w:t>六、</w:t>
      </w:r>
      <w:r>
        <w:rPr>
          <w:rFonts w:hint="eastAsia" w:ascii="仿宋" w:hAnsi="仿宋" w:eastAsia="仿宋" w:cs="仿宋"/>
          <w:sz w:val="32"/>
          <w:szCs w:val="32"/>
        </w:rPr>
        <w:t xml:space="preserve"> 安全文明施工</w:t>
      </w:r>
      <w:bookmarkEnd w:id="99"/>
      <w:bookmarkEnd w:id="100"/>
      <w:bookmarkEnd w:id="101"/>
      <w:r>
        <w:rPr>
          <w:rFonts w:hint="eastAsia" w:ascii="仿宋" w:hAnsi="仿宋" w:eastAsia="仿宋" w:cs="仿宋"/>
          <w:sz w:val="32"/>
          <w:szCs w:val="32"/>
        </w:rPr>
        <w:t>要求</w:t>
      </w:r>
      <w:bookmarkEnd w:id="102"/>
      <w:bookmarkEnd w:id="103"/>
      <w:bookmarkEnd w:id="104"/>
    </w:p>
    <w:p>
      <w:pPr>
        <w:pStyle w:val="59"/>
        <w:spacing w:before="0" w:after="0" w:line="360" w:lineRule="auto"/>
        <w:rPr>
          <w:rFonts w:hint="eastAsia" w:ascii="仿宋" w:hAnsi="仿宋" w:eastAsia="仿宋" w:cs="仿宋"/>
        </w:rPr>
      </w:pPr>
      <w:bookmarkStart w:id="105" w:name="_Toc175568690"/>
      <w:bookmarkStart w:id="106" w:name="_Toc176150653"/>
      <w:bookmarkStart w:id="107" w:name="_Toc299183625"/>
      <w:bookmarkStart w:id="108" w:name="_Toc299021742"/>
      <w:r>
        <w:rPr>
          <w:rFonts w:hint="eastAsia" w:ascii="仿宋" w:hAnsi="仿宋" w:eastAsia="仿宋" w:cs="仿宋"/>
        </w:rPr>
        <w:t>6.1拼装、焊接</w:t>
      </w:r>
      <w:bookmarkEnd w:id="105"/>
      <w:r>
        <w:rPr>
          <w:rFonts w:hint="eastAsia" w:ascii="仿宋" w:hAnsi="仿宋" w:eastAsia="仿宋" w:cs="仿宋"/>
        </w:rPr>
        <w:t>安全施工要求</w:t>
      </w:r>
      <w:bookmarkEnd w:id="106"/>
      <w:bookmarkEnd w:id="107"/>
      <w:bookmarkEnd w:id="108"/>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1、所有进入施工场地的人员，必须戴安全帽和必要的防护用品，并进行安全技术交底，严禁违章作业。</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2、起重工必须是经过专门安全技术培训、考试合格，持证上岗。</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电气作业人员必须经过专业安全技术培训、考试合格、持特种作业操作证上岗操作，非电工严禁从事电气作业。拼装现场要有足够的照明。施工现场电源应采用专用的电源接板，并设专人看护，电缆铺设要整齐，检查是否有破损漏电现象，并及时处理，电源要有漏电保护装置。使用电动工具前，必须对绝缘及其他防护装置进行检查，避免触电和机械伤人。焊缝加热时，电源电缆铺设整齐，不得有漏电现象，要有漏电保护装置，设专人看护。</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电焊作业人员必须经专业技术培训，考试合格并经安全教育培训后持证上岗，从事电焊作业。电焊作业现场周围10米范围内不得堆放易燃易爆品。作业完毕必须检查火种，确认以熄灭方可离开现场。电焊机必须设单独的电源开关和漏电保护装置，一次侧电源线长度不大于5米，二次侧不大于30米，接线应压接牢靠。多台焊机接线应保持三相负载平衡。作业前应检查焊机和工具，如焊钳和焊接电缆的绝缘，焊机外壳保护接地等。电焊作业应穿电焊工作服，绝缘鞋，戴电焊手套和防护面罩等安全防护用品。蜗壳、座环挂装、焊接时必须系安全带。清理焊渣应戴防护眼镜或面罩。</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施工现场配备的灭火器材为5kg的ABC灭火器不少于6个，严格执行消防制度。割除内吊耳，焊接、切割作业前应清理周围现场，易燃易爆物应采取隔离措施，作业点应与氧气、乙炔保持安全距离，正确操作避免回火。对乙炔瓶嘴存在漏气现象的必须及时处理或更换，氧气瓶和乙炔瓶必须保持5米以上的安全距离，乙炔瓶不得卧放。</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6、在施工区域内设置一些必要的安全信号和安全标志，在危险场地应设置醒目的安全警示牌。</w:t>
      </w:r>
    </w:p>
    <w:p>
      <w:pPr>
        <w:pStyle w:val="59"/>
        <w:spacing w:before="0" w:after="0" w:line="360" w:lineRule="auto"/>
        <w:rPr>
          <w:rFonts w:hint="eastAsia" w:ascii="仿宋" w:hAnsi="仿宋" w:eastAsia="仿宋" w:cs="仿宋"/>
        </w:rPr>
      </w:pPr>
      <w:bookmarkStart w:id="109" w:name="_Toc175568691"/>
      <w:bookmarkStart w:id="110" w:name="_Toc176150654"/>
      <w:bookmarkStart w:id="111" w:name="_Toc299183626"/>
      <w:bookmarkStart w:id="112" w:name="_Toc299021743"/>
      <w:r>
        <w:rPr>
          <w:rFonts w:hint="eastAsia" w:ascii="仿宋" w:hAnsi="仿宋" w:eastAsia="仿宋" w:cs="仿宋"/>
        </w:rPr>
        <w:t>6.2吊装就位调整焊接</w:t>
      </w:r>
      <w:bookmarkEnd w:id="109"/>
      <w:r>
        <w:rPr>
          <w:rFonts w:hint="eastAsia" w:ascii="仿宋" w:hAnsi="仿宋" w:eastAsia="仿宋" w:cs="仿宋"/>
        </w:rPr>
        <w:t>安全施工要求</w:t>
      </w:r>
      <w:bookmarkEnd w:id="110"/>
      <w:bookmarkEnd w:id="111"/>
      <w:bookmarkEnd w:id="112"/>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1、设备吊装就位时应对起重设备进行运行工况检查，确保吊装安全进行。</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起重指挥要经过专门安全技术培训、考试合格，持证上岗的人员担任。所有人员严禁在吊起的重物下面停留或行走。工作前应将任务（如吊运物件的大小重量，高度和周围环境，经过道路）等，了解清楚，确定安全可靠的工作方法，然后进行吊装。桥机操作司机要听从指挥人员的信号，信号不明或可能引起事故时，应暂停操作。吊装作业时，班组长应将工作交待清楚，妥善组织劳动力，明确分工，待参加本项工作人员进行确认后，方可开始工作。在工作中，必须听从统一指挥。吊装前应对钢绳和吊具进行严格的检查，确保完好无损。重物吊离地面5—8厘米时，要再次检查绳索及重物绑扎情况是否稳固可靠，然后才能继续起吊，起吊应均匀平衡以免重物发生摇晃和碰撞。物件吊装就位时，压码、搭板等应焊接牢靠，至少要点焊三点，就位牢靠后方允许摘去起重吊钩。就位后，压缝调整时，应采取措施，防止压码、搭板、千斤顶架崩伤，物体坠落伤人和滑倒。</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焊接操作及配合人员必须按规定穿戴劳动防护用品，并必须采取防止触电高空坠落，火灾等事故的安全措施。焊接设备应设置在固定或移动式的工作台上，焊机各接触点应接触良好，并有可靠的独立接地。电焊把线必须采用橡皮导线，破损和接头处要接紧包好，不得有破漏打火现象。</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、进入施工现场电源电缆要严格按安全规范架设，不得有破损漏电现象，从事电工作业人员必须穿戴好劳动防护用品，并遵守本岗位的安全操作规程，严禁违章操作。</w:t>
      </w:r>
    </w:p>
    <w:p>
      <w:pPr>
        <w:pStyle w:val="59"/>
        <w:spacing w:before="0" w:after="0" w:line="360" w:lineRule="auto"/>
        <w:rPr>
          <w:rFonts w:hint="eastAsia" w:ascii="仿宋" w:hAnsi="仿宋" w:eastAsia="仿宋" w:cs="仿宋"/>
        </w:rPr>
      </w:pPr>
      <w:bookmarkStart w:id="113" w:name="_Toc175568692"/>
      <w:bookmarkStart w:id="114" w:name="_Toc299021744"/>
      <w:bookmarkStart w:id="115" w:name="_Toc299183627"/>
      <w:bookmarkStart w:id="116" w:name="_Toc176149826"/>
      <w:r>
        <w:rPr>
          <w:rFonts w:hint="eastAsia" w:ascii="仿宋" w:hAnsi="仿宋" w:eastAsia="仿宋" w:cs="仿宋"/>
        </w:rPr>
        <w:t>6.3现场文明施工</w:t>
      </w:r>
      <w:bookmarkEnd w:id="113"/>
      <w:r>
        <w:rPr>
          <w:rFonts w:hint="eastAsia" w:ascii="仿宋" w:hAnsi="仿宋" w:eastAsia="仿宋" w:cs="仿宋"/>
        </w:rPr>
        <w:t>要求</w:t>
      </w:r>
      <w:bookmarkEnd w:id="114"/>
      <w:bookmarkEnd w:id="115"/>
      <w:bookmarkEnd w:id="116"/>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1、施工现场应设专人负责打扫卫生，并定期检查。施工场地干净、整洁，各种材料堆放整齐，临时管线整齐划一，随时做到工完料净场地清。</w:t>
      </w:r>
      <w:bookmarkStart w:id="117" w:name="_Toc173212398"/>
      <w:r>
        <w:rPr>
          <w:rFonts w:hint="eastAsia" w:ascii="仿宋" w:hAnsi="仿宋" w:eastAsia="仿宋" w:cs="仿宋"/>
          <w:sz w:val="24"/>
          <w:szCs w:val="24"/>
        </w:rPr>
        <w:t>施工现场统一规划，施工设备安装材料不得随意摆放，废弃物、施工垃圾及时清理，并运至指定的地点堆放和处理，保持施工面清洁。</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施工现场禁止吸烟。场面清洁，无尘土，杂物和积水等。</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2、设备包装箱板等旧物品及时回收，在施工过程中，采取合理有效的措施保护环境，加强对噪音、粉尘、废气、废水的控制和处理。焊条头应回收，不得随意丢弃，药皮、焊渣等应及时收集，统一处理。</w:t>
      </w:r>
    </w:p>
    <w:p>
      <w:pPr>
        <w:pStyle w:val="73"/>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严格遵循安装措施的施工要求 ，杜绝野蛮不文明施工和违章作业。</w:t>
      </w:r>
    </w:p>
    <w:bookmarkEnd w:id="117"/>
    <w:p>
      <w:pPr>
        <w:pStyle w:val="73"/>
        <w:spacing w:line="240" w:lineRule="auto"/>
        <w:ind w:left="0" w:leftChars="0"/>
        <w:rPr>
          <w:rFonts w:hint="eastAsia" w:ascii="仿宋" w:hAnsi="仿宋" w:eastAsia="仿宋" w:cs="仿宋"/>
          <w:sz w:val="24"/>
          <w:szCs w:val="24"/>
        </w:rPr>
      </w:pPr>
    </w:p>
    <w:p>
      <w:pPr>
        <w:pStyle w:val="73"/>
        <w:spacing w:line="240" w:lineRule="auto"/>
        <w:ind w:left="0" w:leftChars="0"/>
        <w:rPr>
          <w:rFonts w:hint="eastAsia" w:ascii="仿宋" w:hAnsi="仿宋" w:eastAsia="仿宋" w:cs="仿宋"/>
          <w:sz w:val="24"/>
          <w:szCs w:val="24"/>
        </w:rPr>
      </w:pPr>
    </w:p>
    <w:p>
      <w:pPr>
        <w:pStyle w:val="73"/>
        <w:ind w:left="0" w:leftChars="0" w:right="2160"/>
        <w:jc w:val="right"/>
        <w:rPr>
          <w:rFonts w:hint="eastAsia" w:ascii="仿宋" w:hAnsi="仿宋" w:eastAsia="仿宋" w:cs="仿宋"/>
          <w:sz w:val="28"/>
          <w:szCs w:val="28"/>
        </w:rPr>
      </w:pPr>
      <w:r>
        <w:rPr>
          <w:rFonts w:hint="eastAsia" w:ascii="仿宋" w:hAnsi="仿宋" w:eastAsia="仿宋" w:cs="仿宋"/>
          <w:sz w:val="24"/>
          <w:szCs w:val="24"/>
        </w:rPr>
        <w:t xml:space="preserve">                   </w:t>
      </w:r>
    </w:p>
    <w:p>
      <w:pPr>
        <w:pStyle w:val="73"/>
        <w:ind w:left="0" w:leftChars="0" w:right="1920"/>
        <w:jc w:val="right"/>
        <w:rPr>
          <w:rFonts w:hint="eastAsia"/>
          <w:sz w:val="24"/>
          <w:szCs w:val="24"/>
        </w:rPr>
      </w:pPr>
      <w:r>
        <w:rPr>
          <w:rFonts w:hint="eastAsia"/>
          <w:sz w:val="24"/>
          <w:szCs w:val="24"/>
        </w:rPr>
        <w:t xml:space="preserve">                                        </w:t>
      </w:r>
    </w:p>
    <w:p>
      <w:pPr>
        <w:spacing w:line="360" w:lineRule="auto"/>
        <w:rPr>
          <w:rFonts w:hint="eastAsia"/>
          <w:sz w:val="28"/>
          <w:szCs w:val="28"/>
        </w:rPr>
      </w:pPr>
    </w:p>
    <w:p/>
    <w:sectPr>
      <w:footerReference r:id="rId8" w:type="default"/>
      <w:pgSz w:w="11906" w:h="16838"/>
      <w:pgMar w:top="933" w:right="964" w:bottom="1077" w:left="1304" w:header="779"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Plotter">
    <w:altName w:val="Arial"/>
    <w:panose1 w:val="00000000000000000000"/>
    <w:charset w:val="00"/>
    <w:family w:val="roman"/>
    <w:pitch w:val="default"/>
    <w:sig w:usb0="00000000" w:usb1="00000000" w:usb2="BFF713E2" w:usb3="0000017F" w:csb0="BFE819E3" w:csb1="C29BA1E0"/>
  </w:font>
  <w:font w:name="Tahoma">
    <w:panose1 w:val="020B0604030504040204"/>
    <w:charset w:val="00"/>
    <w:family w:val="swiss"/>
    <w:pitch w:val="default"/>
    <w:sig w:usb0="61007A87" w:usb1="80000000" w:usb2="00000008" w:usb3="00000000" w:csb0="200101FF" w:csb1="20280000"/>
  </w:font>
  <w:font w:name="仿宋">
    <w:altName w:val="宋体"/>
    <w:panose1 w:val="02010609060101010101"/>
    <w:charset w:val="86"/>
    <w:family w:val="auto"/>
    <w:pitch w:val="default"/>
    <w:sig w:usb0="00000000" w:usb1="00000000" w:usb2="00000016" w:usb3="00000000" w:csb0="00040001" w:csb1="00000000"/>
  </w:font>
  <w:font w:name="等线">
    <w:altName w:val="Courier New"/>
    <w:panose1 w:val="00000000000000000000"/>
    <w:charset w:val="86"/>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等线">
    <w:altName w:val="Courier New"/>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7762"/>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7"/>
      </w:rPr>
    </w:pPr>
    <w:r>
      <w:fldChar w:fldCharType="begin"/>
    </w:r>
    <w:r>
      <w:rPr>
        <w:rStyle w:val="27"/>
      </w:rPr>
      <w:instrText xml:space="preserve">PAGE  </w:instrTex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7762"/>
        <w:tab w:val="clear" w:pos="4153"/>
        <w:tab w:val="clear" w:pos="8306"/>
      </w:tabs>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hint="eastAsia" w:eastAsia="宋体"/>
        <w:sz w:val="18"/>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509F23"/>
    <w:multiLevelType w:val="singleLevel"/>
    <w:tmpl w:val="BA509F23"/>
    <w:lvl w:ilvl="0" w:tentative="0">
      <w:start w:val="1"/>
      <w:numFmt w:val="decimal"/>
      <w:suff w:val="nothing"/>
      <w:lvlText w:val="%1、"/>
      <w:lvlJc w:val="left"/>
    </w:lvl>
  </w:abstractNum>
  <w:abstractNum w:abstractNumId="1">
    <w:nsid w:val="41092598"/>
    <w:multiLevelType w:val="multilevel"/>
    <w:tmpl w:val="41092598"/>
    <w:lvl w:ilvl="0" w:tentative="0">
      <w:start w:val="1"/>
      <w:numFmt w:val="decimal"/>
      <w:lvlText w:val="%1)"/>
      <w:lvlJc w:val="left"/>
      <w:pPr>
        <w:tabs>
          <w:tab w:val="left" w:pos="1164"/>
        </w:tabs>
        <w:ind w:left="1164" w:hanging="684"/>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6C636892"/>
    <w:multiLevelType w:val="multilevel"/>
    <w:tmpl w:val="6C636892"/>
    <w:lvl w:ilvl="0" w:tentative="0">
      <w:start w:val="1"/>
      <w:numFmt w:val="decimal"/>
      <w:lvlText w:val="%1)"/>
      <w:lvlJc w:val="left"/>
      <w:pPr>
        <w:tabs>
          <w:tab w:val="left" w:pos="840"/>
        </w:tabs>
        <w:ind w:left="840" w:hanging="360"/>
      </w:pPr>
      <w:rPr>
        <w:rFonts w:hint="default"/>
      </w:rPr>
    </w:lvl>
    <w:lvl w:ilvl="1" w:tentative="0">
      <w:start w:val="1"/>
      <w:numFmt w:val="decimal"/>
      <w:lvlText w:val="%2）"/>
      <w:lvlJc w:val="left"/>
      <w:pPr>
        <w:tabs>
          <w:tab w:val="left" w:pos="1740"/>
        </w:tabs>
        <w:ind w:left="1740" w:hanging="84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70CE5DCA"/>
    <w:multiLevelType w:val="multilevel"/>
    <w:tmpl w:val="70CE5DCA"/>
    <w:lvl w:ilvl="0" w:tentative="0">
      <w:start w:val="1"/>
      <w:numFmt w:val="decimal"/>
      <w:lvlText w:val="%1)"/>
      <w:lvlJc w:val="left"/>
      <w:pPr>
        <w:tabs>
          <w:tab w:val="left" w:pos="0"/>
        </w:tabs>
        <w:ind w:left="0" w:firstLine="4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99"/>
    <w:rsid w:val="003D76A7"/>
    <w:rsid w:val="00893FDD"/>
    <w:rsid w:val="008A5F3C"/>
    <w:rsid w:val="00B06EB9"/>
    <w:rsid w:val="00BD4499"/>
    <w:rsid w:val="124464A0"/>
    <w:rsid w:val="12693CF4"/>
    <w:rsid w:val="13191C7B"/>
    <w:rsid w:val="17767DC7"/>
    <w:rsid w:val="1AA13FC1"/>
    <w:rsid w:val="1E880FAC"/>
    <w:rsid w:val="20AE6D35"/>
    <w:rsid w:val="25A53ED4"/>
    <w:rsid w:val="328D67AA"/>
    <w:rsid w:val="330E6D3C"/>
    <w:rsid w:val="36402E20"/>
    <w:rsid w:val="41E77CB8"/>
    <w:rsid w:val="4636087E"/>
    <w:rsid w:val="4B9B083D"/>
    <w:rsid w:val="4EDF041B"/>
    <w:rsid w:val="4EEF3FB4"/>
    <w:rsid w:val="570F6359"/>
    <w:rsid w:val="587F2E1C"/>
    <w:rsid w:val="5A140593"/>
    <w:rsid w:val="5A75439E"/>
    <w:rsid w:val="5E165DA5"/>
    <w:rsid w:val="5F756B78"/>
    <w:rsid w:val="60A02BAE"/>
    <w:rsid w:val="6B81390E"/>
    <w:rsid w:val="6D234D48"/>
    <w:rsid w:val="726E68C7"/>
    <w:rsid w:val="73432A64"/>
    <w:rsid w:val="75DE2D80"/>
    <w:rsid w:val="792A500F"/>
    <w:rsid w:val="7988281D"/>
    <w:rsid w:val="7A1E4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qFormat="1" w:unhideWhenUsed="0" w:uiPriority="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32"/>
    <w:qFormat/>
    <w:uiPriority w:val="0"/>
    <w:pPr>
      <w:spacing w:before="340" w:after="330" w:line="240" w:lineRule="auto"/>
      <w:outlineLvl w:val="0"/>
    </w:pPr>
    <w:rPr>
      <w:rFonts w:ascii="黑体"/>
      <w:b w:val="0"/>
      <w:bCs w:val="0"/>
      <w:color w:val="000000"/>
      <w:spacing w:val="24"/>
      <w:kern w:val="44"/>
      <w:szCs w:val="20"/>
    </w:rPr>
  </w:style>
  <w:style w:type="paragraph" w:styleId="3">
    <w:name w:val="heading 2"/>
    <w:basedOn w:val="1"/>
    <w:next w:val="1"/>
    <w:link w:val="33"/>
    <w:qFormat/>
    <w:uiPriority w:val="0"/>
    <w:pPr>
      <w:keepNext/>
      <w:keepLines/>
      <w:spacing w:before="260" w:after="260" w:line="0" w:lineRule="atLeast"/>
      <w:outlineLvl w:val="1"/>
    </w:pPr>
    <w:rPr>
      <w:rFonts w:ascii="Arial" w:hAnsi="Arial" w:eastAsia="黑体"/>
      <w:b/>
      <w:bCs/>
      <w:sz w:val="28"/>
      <w:szCs w:val="32"/>
    </w:rPr>
  </w:style>
  <w:style w:type="paragraph" w:styleId="4">
    <w:name w:val="heading 3"/>
    <w:basedOn w:val="5"/>
    <w:next w:val="6"/>
    <w:link w:val="34"/>
    <w:qFormat/>
    <w:uiPriority w:val="0"/>
    <w:pPr>
      <w:spacing w:before="120" w:after="80" w:line="0" w:lineRule="atLeast"/>
      <w:outlineLvl w:val="2"/>
    </w:pPr>
    <w:rPr>
      <w:sz w:val="28"/>
    </w:rPr>
  </w:style>
  <w:style w:type="paragraph" w:styleId="5">
    <w:name w:val="heading 4"/>
    <w:basedOn w:val="1"/>
    <w:next w:val="6"/>
    <w:link w:val="35"/>
    <w:qFormat/>
    <w:uiPriority w:val="0"/>
    <w:pPr>
      <w:keepNext/>
      <w:keepLines/>
      <w:spacing w:before="80" w:after="60"/>
      <w:outlineLvl w:val="3"/>
    </w:pPr>
    <w:rPr>
      <w:rFonts w:ascii="黑体" w:hAnsi="Arial" w:eastAsia="黑体"/>
      <w:color w:val="000000"/>
      <w:sz w:val="24"/>
      <w:szCs w:val="20"/>
    </w:rPr>
  </w:style>
  <w:style w:type="paragraph" w:styleId="7">
    <w:name w:val="heading 5"/>
    <w:basedOn w:val="1"/>
    <w:next w:val="1"/>
    <w:link w:val="36"/>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5"/>
    <w:semiHidden/>
    <w:qFormat/>
    <w:uiPriority w:val="0"/>
    <w:pPr>
      <w:ind w:firstLine="420"/>
    </w:pPr>
    <w:rPr>
      <w:rFonts w:ascii="宋体" w:hAnsiTheme="minorHAnsi" w:cstheme="minorBidi"/>
      <w:color w:val="000000"/>
      <w:sz w:val="24"/>
      <w:szCs w:val="22"/>
    </w:rPr>
  </w:style>
  <w:style w:type="paragraph" w:styleId="8">
    <w:name w:val="Document Map"/>
    <w:basedOn w:val="1"/>
    <w:link w:val="46"/>
    <w:semiHidden/>
    <w:qFormat/>
    <w:uiPriority w:val="0"/>
    <w:pPr>
      <w:shd w:val="clear" w:color="auto" w:fill="000080"/>
    </w:pPr>
  </w:style>
  <w:style w:type="paragraph" w:styleId="9">
    <w:name w:val="annotation text"/>
    <w:basedOn w:val="1"/>
    <w:link w:val="47"/>
    <w:semiHidden/>
    <w:qFormat/>
    <w:uiPriority w:val="0"/>
    <w:pPr>
      <w:jc w:val="left"/>
    </w:pPr>
  </w:style>
  <w:style w:type="paragraph" w:styleId="10">
    <w:name w:val="Body Text 3"/>
    <w:basedOn w:val="1"/>
    <w:link w:val="52"/>
    <w:semiHidden/>
    <w:qFormat/>
    <w:uiPriority w:val="0"/>
    <w:pPr>
      <w:tabs>
        <w:tab w:val="left" w:pos="6660"/>
      </w:tabs>
      <w:spacing w:after="120" w:line="360" w:lineRule="auto"/>
    </w:pPr>
    <w:rPr>
      <w:rFonts w:ascii="宋体" w:hAnsi="宋体"/>
      <w:bCs/>
      <w:spacing w:val="6"/>
      <w:kern w:val="44"/>
      <w:sz w:val="16"/>
      <w:szCs w:val="16"/>
    </w:rPr>
  </w:style>
  <w:style w:type="paragraph" w:styleId="11">
    <w:name w:val="Body Text"/>
    <w:basedOn w:val="1"/>
    <w:link w:val="51"/>
    <w:semiHidden/>
    <w:qFormat/>
    <w:uiPriority w:val="0"/>
    <w:rPr>
      <w:rFonts w:ascii="宋体"/>
      <w:color w:val="000000"/>
      <w:sz w:val="24"/>
      <w:szCs w:val="20"/>
    </w:rPr>
  </w:style>
  <w:style w:type="paragraph" w:styleId="12">
    <w:name w:val="List 2"/>
    <w:basedOn w:val="1"/>
    <w:qFormat/>
    <w:uiPriority w:val="0"/>
    <w:rPr>
      <w:sz w:val="28"/>
      <w:szCs w:val="20"/>
    </w:rPr>
  </w:style>
  <w:style w:type="paragraph" w:styleId="13">
    <w:name w:val="toc 5"/>
    <w:basedOn w:val="1"/>
    <w:next w:val="1"/>
    <w:semiHidden/>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link w:val="54"/>
    <w:semiHidden/>
    <w:qFormat/>
    <w:uiPriority w:val="0"/>
    <w:pPr>
      <w:spacing w:line="360" w:lineRule="auto"/>
      <w:ind w:left="899" w:leftChars="428"/>
    </w:pPr>
    <w:rPr>
      <w:rFonts w:ascii="宋体" w:hAnsi="Courier New"/>
      <w:sz w:val="24"/>
      <w:szCs w:val="21"/>
    </w:rPr>
  </w:style>
  <w:style w:type="paragraph" w:styleId="16">
    <w:name w:val="Date"/>
    <w:basedOn w:val="1"/>
    <w:next w:val="1"/>
    <w:link w:val="53"/>
    <w:semiHidden/>
    <w:qFormat/>
    <w:uiPriority w:val="0"/>
    <w:pPr>
      <w:ind w:left="100" w:leftChars="2500"/>
    </w:pPr>
  </w:style>
  <w:style w:type="paragraph" w:styleId="17">
    <w:name w:val="Balloon Text"/>
    <w:basedOn w:val="1"/>
    <w:link w:val="49"/>
    <w:semiHidden/>
    <w:qFormat/>
    <w:uiPriority w:val="0"/>
    <w:rPr>
      <w:sz w:val="18"/>
      <w:szCs w:val="18"/>
    </w:rPr>
  </w:style>
  <w:style w:type="paragraph" w:styleId="18">
    <w:name w:val="footer"/>
    <w:basedOn w:val="1"/>
    <w:link w:val="31"/>
    <w:unhideWhenUsed/>
    <w:qFormat/>
    <w:uiPriority w:val="99"/>
    <w:pPr>
      <w:tabs>
        <w:tab w:val="center" w:pos="4153"/>
        <w:tab w:val="right" w:pos="8306"/>
      </w:tabs>
      <w:snapToGrid w:val="0"/>
      <w:jc w:val="left"/>
    </w:pPr>
    <w:rPr>
      <w:sz w:val="18"/>
      <w:szCs w:val="18"/>
    </w:rPr>
  </w:style>
  <w:style w:type="paragraph" w:styleId="19">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0"/>
  </w:style>
  <w:style w:type="paragraph" w:styleId="21">
    <w:name w:val="toc 4"/>
    <w:basedOn w:val="1"/>
    <w:next w:val="1"/>
    <w:semiHidden/>
    <w:qFormat/>
    <w:uiPriority w:val="0"/>
    <w:pPr>
      <w:ind w:left="1260" w:leftChars="600"/>
    </w:pPr>
  </w:style>
  <w:style w:type="paragraph" w:styleId="22">
    <w:name w:val="toc 2"/>
    <w:basedOn w:val="1"/>
    <w:next w:val="1"/>
    <w:qFormat/>
    <w:uiPriority w:val="39"/>
    <w:pPr>
      <w:tabs>
        <w:tab w:val="right" w:leader="dot" w:pos="9628"/>
      </w:tabs>
      <w:ind w:left="420" w:leftChars="200"/>
      <w:jc w:val="center"/>
    </w:pPr>
    <w:rPr>
      <w:rFonts w:ascii="宋体" w:hAnsi="宋体"/>
      <w:sz w:val="24"/>
      <w:szCs w:val="32"/>
      <w:lang w:val="en-US" w:eastAsia="zh-CN"/>
    </w:rPr>
  </w:style>
  <w:style w:type="paragraph" w:styleId="23">
    <w:name w:val="Title"/>
    <w:basedOn w:val="1"/>
    <w:link w:val="48"/>
    <w:qFormat/>
    <w:uiPriority w:val="0"/>
    <w:pPr>
      <w:spacing w:before="240" w:after="60"/>
      <w:jc w:val="center"/>
      <w:outlineLvl w:val="0"/>
    </w:pPr>
    <w:rPr>
      <w:rFonts w:ascii="Arial" w:hAnsi="Arial" w:cs="Arial"/>
      <w:b/>
      <w:bCs/>
      <w:sz w:val="32"/>
      <w:szCs w:val="32"/>
    </w:rPr>
  </w:style>
  <w:style w:type="paragraph" w:styleId="24">
    <w:name w:val="annotation subject"/>
    <w:basedOn w:val="9"/>
    <w:next w:val="9"/>
    <w:link w:val="50"/>
    <w:semiHidden/>
    <w:qFormat/>
    <w:uiPriority w:val="0"/>
    <w:rPr>
      <w:b/>
      <w:bCs/>
    </w:rPr>
  </w:style>
  <w:style w:type="character" w:styleId="27">
    <w:name w:val="page number"/>
    <w:basedOn w:val="26"/>
    <w:semiHidden/>
    <w:qFormat/>
    <w:uiPriority w:val="0"/>
  </w:style>
  <w:style w:type="character" w:styleId="28">
    <w:name w:val="Hyperlink"/>
    <w:qFormat/>
    <w:uiPriority w:val="99"/>
    <w:rPr>
      <w:color w:val="0000FF"/>
      <w:u w:val="single"/>
    </w:rPr>
  </w:style>
  <w:style w:type="character" w:styleId="29">
    <w:name w:val="annotation reference"/>
    <w:semiHidden/>
    <w:qFormat/>
    <w:uiPriority w:val="0"/>
    <w:rPr>
      <w:sz w:val="21"/>
      <w:szCs w:val="21"/>
    </w:rPr>
  </w:style>
  <w:style w:type="character" w:customStyle="1" w:styleId="30">
    <w:name w:val="页眉 字符"/>
    <w:basedOn w:val="26"/>
    <w:link w:val="19"/>
    <w:qFormat/>
    <w:uiPriority w:val="99"/>
    <w:rPr>
      <w:sz w:val="18"/>
      <w:szCs w:val="18"/>
    </w:rPr>
  </w:style>
  <w:style w:type="character" w:customStyle="1" w:styleId="31">
    <w:name w:val="页脚 字符"/>
    <w:basedOn w:val="26"/>
    <w:link w:val="18"/>
    <w:qFormat/>
    <w:uiPriority w:val="99"/>
    <w:rPr>
      <w:sz w:val="18"/>
      <w:szCs w:val="18"/>
    </w:rPr>
  </w:style>
  <w:style w:type="character" w:customStyle="1" w:styleId="32">
    <w:name w:val="标题 1 字符"/>
    <w:basedOn w:val="26"/>
    <w:link w:val="2"/>
    <w:qFormat/>
    <w:uiPriority w:val="0"/>
    <w:rPr>
      <w:rFonts w:ascii="黑体" w:hAnsi="Arial" w:eastAsia="黑体" w:cs="Times New Roman"/>
      <w:color w:val="000000"/>
      <w:spacing w:val="24"/>
      <w:kern w:val="44"/>
      <w:sz w:val="28"/>
      <w:szCs w:val="20"/>
    </w:rPr>
  </w:style>
  <w:style w:type="character" w:customStyle="1" w:styleId="33">
    <w:name w:val="标题 2 字符"/>
    <w:basedOn w:val="26"/>
    <w:link w:val="3"/>
    <w:qFormat/>
    <w:uiPriority w:val="0"/>
    <w:rPr>
      <w:rFonts w:ascii="Arial" w:hAnsi="Arial" w:eastAsia="黑体" w:cs="Times New Roman"/>
      <w:b/>
      <w:bCs/>
      <w:sz w:val="28"/>
      <w:szCs w:val="32"/>
    </w:rPr>
  </w:style>
  <w:style w:type="character" w:customStyle="1" w:styleId="34">
    <w:name w:val="标题 3 字符"/>
    <w:basedOn w:val="26"/>
    <w:link w:val="4"/>
    <w:qFormat/>
    <w:uiPriority w:val="0"/>
    <w:rPr>
      <w:rFonts w:ascii="黑体" w:hAnsi="Arial" w:eastAsia="黑体" w:cs="Times New Roman"/>
      <w:color w:val="000000"/>
      <w:sz w:val="28"/>
      <w:szCs w:val="20"/>
    </w:rPr>
  </w:style>
  <w:style w:type="character" w:customStyle="1" w:styleId="35">
    <w:name w:val="标题 4 字符"/>
    <w:basedOn w:val="26"/>
    <w:link w:val="5"/>
    <w:qFormat/>
    <w:uiPriority w:val="0"/>
    <w:rPr>
      <w:rFonts w:ascii="黑体" w:hAnsi="Arial" w:eastAsia="黑体" w:cs="Times New Roman"/>
      <w:color w:val="000000"/>
      <w:sz w:val="24"/>
      <w:szCs w:val="20"/>
    </w:rPr>
  </w:style>
  <w:style w:type="character" w:customStyle="1" w:styleId="36">
    <w:name w:val="标题 5 字符"/>
    <w:basedOn w:val="26"/>
    <w:link w:val="7"/>
    <w:qFormat/>
    <w:uiPriority w:val="0"/>
    <w:rPr>
      <w:rFonts w:ascii="Times New Roman" w:hAnsi="Times New Roman" w:eastAsia="宋体" w:cs="Times New Roman"/>
      <w:b/>
      <w:bCs/>
      <w:sz w:val="28"/>
      <w:szCs w:val="28"/>
    </w:rPr>
  </w:style>
  <w:style w:type="character" w:customStyle="1" w:styleId="37">
    <w:name w:val="标题 2（用） Char Char"/>
    <w:qFormat/>
    <w:uiPriority w:val="0"/>
    <w:rPr>
      <w:rFonts w:ascii="Arial" w:hAnsi="Arial" w:eastAsia="黑体"/>
      <w:b/>
      <w:bCs/>
      <w:kern w:val="2"/>
      <w:sz w:val="28"/>
      <w:szCs w:val="32"/>
      <w:lang w:val="en-US" w:eastAsia="zh-CN" w:bidi="ar-SA"/>
    </w:rPr>
  </w:style>
  <w:style w:type="character" w:customStyle="1" w:styleId="38">
    <w:name w:val="标题 4 Char"/>
    <w:qFormat/>
    <w:uiPriority w:val="0"/>
    <w:rPr>
      <w:rFonts w:ascii="黑体" w:hAnsi="Arial" w:eastAsia="黑体"/>
      <w:color w:val="000000"/>
      <w:kern w:val="2"/>
      <w:sz w:val="24"/>
      <w:lang w:val="en-US" w:eastAsia="zh-CN" w:bidi="ar-SA"/>
    </w:rPr>
  </w:style>
  <w:style w:type="character" w:customStyle="1" w:styleId="39">
    <w:name w:val="LXW.正文 Char"/>
    <w:qFormat/>
    <w:uiPriority w:val="0"/>
    <w:rPr>
      <w:rFonts w:ascii="宋体" w:eastAsia="宋体"/>
      <w:kern w:val="2"/>
      <w:sz w:val="24"/>
      <w:szCs w:val="24"/>
      <w:lang w:val="en-US" w:eastAsia="zh-CN" w:bidi="ar-SA"/>
    </w:rPr>
  </w:style>
  <w:style w:type="character" w:customStyle="1" w:styleId="40">
    <w:name w:val="表格表题（用） Char"/>
    <w:qFormat/>
    <w:uiPriority w:val="0"/>
    <w:rPr>
      <w:rFonts w:eastAsia="宋体"/>
      <w:b/>
      <w:kern w:val="2"/>
      <w:sz w:val="21"/>
      <w:szCs w:val="24"/>
      <w:lang w:val="en-US" w:eastAsia="zh-CN" w:bidi="ar-SA"/>
    </w:rPr>
  </w:style>
  <w:style w:type="character" w:customStyle="1" w:styleId="41">
    <w:name w:val="LXW.5 Char"/>
    <w:qFormat/>
    <w:uiPriority w:val="0"/>
    <w:rPr>
      <w:rFonts w:ascii="宋体" w:eastAsia="宋体"/>
      <w:kern w:val="2"/>
      <w:sz w:val="24"/>
      <w:szCs w:val="24"/>
      <w:lang w:val="en-US" w:eastAsia="zh-CN" w:bidi="ar-SA"/>
    </w:rPr>
  </w:style>
  <w:style w:type="character" w:customStyle="1" w:styleId="42">
    <w:name w:val="（1）文字用 Char"/>
    <w:qFormat/>
    <w:uiPriority w:val="0"/>
    <w:rPr>
      <w:rFonts w:eastAsia="宋体" w:cs="宋体"/>
      <w:bCs/>
      <w:kern w:val="2"/>
      <w:sz w:val="21"/>
      <w:lang w:val="en-US" w:eastAsia="zh-CN" w:bidi="ar-SA"/>
    </w:rPr>
  </w:style>
  <w:style w:type="character" w:customStyle="1" w:styleId="43">
    <w:name w:val="样式 样式 样式 正文 + 首行缩进:  2 字符 + 首行缩进:  2 字符 + 首行缩进:  2 字符 Char"/>
    <w:link w:val="44"/>
    <w:qFormat/>
    <w:uiPriority w:val="0"/>
    <w:rPr>
      <w:rFonts w:eastAsia="宋体"/>
      <w:sz w:val="24"/>
      <w:lang w:val="en-GB"/>
    </w:rPr>
  </w:style>
  <w:style w:type="paragraph" w:customStyle="1" w:styleId="44">
    <w:name w:val="样式 样式 样式 正文 + 首行缩进:  2 字符 + 首行缩进:  2 字符 + 首行缩进:  2 字符"/>
    <w:basedOn w:val="1"/>
    <w:link w:val="43"/>
    <w:qFormat/>
    <w:uiPriority w:val="0"/>
    <w:pPr>
      <w:widowControl/>
      <w:adjustRightInd w:val="0"/>
      <w:snapToGrid w:val="0"/>
      <w:spacing w:line="360" w:lineRule="auto"/>
      <w:ind w:firstLine="200" w:firstLineChars="200"/>
    </w:pPr>
    <w:rPr>
      <w:rFonts w:asciiTheme="minorHAnsi" w:hAnsiTheme="minorHAnsi" w:cstheme="minorBidi"/>
      <w:sz w:val="24"/>
      <w:szCs w:val="22"/>
      <w:lang w:val="en-GB"/>
    </w:rPr>
  </w:style>
  <w:style w:type="character" w:customStyle="1" w:styleId="45">
    <w:name w:val="正文缩进 字符"/>
    <w:link w:val="6"/>
    <w:semiHidden/>
    <w:qFormat/>
    <w:uiPriority w:val="0"/>
    <w:rPr>
      <w:rFonts w:ascii="宋体" w:eastAsia="宋体"/>
      <w:color w:val="000000"/>
      <w:sz w:val="24"/>
    </w:rPr>
  </w:style>
  <w:style w:type="character" w:customStyle="1" w:styleId="46">
    <w:name w:val="文档结构图 字符"/>
    <w:basedOn w:val="26"/>
    <w:link w:val="8"/>
    <w:semiHidden/>
    <w:qFormat/>
    <w:uiPriority w:val="0"/>
    <w:rPr>
      <w:rFonts w:ascii="Times New Roman" w:hAnsi="Times New Roman" w:eastAsia="宋体" w:cs="Times New Roman"/>
      <w:szCs w:val="24"/>
      <w:shd w:val="clear" w:color="auto" w:fill="000080"/>
    </w:rPr>
  </w:style>
  <w:style w:type="character" w:customStyle="1" w:styleId="47">
    <w:name w:val="批注文字 字符"/>
    <w:basedOn w:val="26"/>
    <w:link w:val="9"/>
    <w:semiHidden/>
    <w:qFormat/>
    <w:uiPriority w:val="0"/>
    <w:rPr>
      <w:rFonts w:ascii="Times New Roman" w:hAnsi="Times New Roman" w:eastAsia="宋体" w:cs="Times New Roman"/>
      <w:szCs w:val="24"/>
    </w:rPr>
  </w:style>
  <w:style w:type="character" w:customStyle="1" w:styleId="48">
    <w:name w:val="标题 字符"/>
    <w:basedOn w:val="26"/>
    <w:link w:val="23"/>
    <w:qFormat/>
    <w:uiPriority w:val="0"/>
    <w:rPr>
      <w:rFonts w:ascii="Arial" w:hAnsi="Arial" w:eastAsia="宋体" w:cs="Arial"/>
      <w:b/>
      <w:bCs/>
      <w:sz w:val="32"/>
      <w:szCs w:val="32"/>
    </w:rPr>
  </w:style>
  <w:style w:type="character" w:customStyle="1" w:styleId="49">
    <w:name w:val="批注框文本 字符"/>
    <w:basedOn w:val="26"/>
    <w:link w:val="17"/>
    <w:semiHidden/>
    <w:qFormat/>
    <w:uiPriority w:val="0"/>
    <w:rPr>
      <w:rFonts w:ascii="Times New Roman" w:hAnsi="Times New Roman" w:eastAsia="宋体" w:cs="Times New Roman"/>
      <w:sz w:val="18"/>
      <w:szCs w:val="18"/>
    </w:rPr>
  </w:style>
  <w:style w:type="character" w:customStyle="1" w:styleId="50">
    <w:name w:val="批注主题 字符"/>
    <w:basedOn w:val="47"/>
    <w:link w:val="24"/>
    <w:semiHidden/>
    <w:qFormat/>
    <w:uiPriority w:val="0"/>
    <w:rPr>
      <w:rFonts w:ascii="Times New Roman" w:hAnsi="Times New Roman" w:eastAsia="宋体" w:cs="Times New Roman"/>
      <w:b/>
      <w:bCs/>
      <w:szCs w:val="24"/>
    </w:rPr>
  </w:style>
  <w:style w:type="character" w:customStyle="1" w:styleId="51">
    <w:name w:val="正文文本 字符"/>
    <w:basedOn w:val="26"/>
    <w:link w:val="11"/>
    <w:semiHidden/>
    <w:qFormat/>
    <w:uiPriority w:val="0"/>
    <w:rPr>
      <w:rFonts w:ascii="宋体" w:hAnsi="Times New Roman" w:eastAsia="宋体" w:cs="Times New Roman"/>
      <w:color w:val="000000"/>
      <w:sz w:val="24"/>
      <w:szCs w:val="20"/>
    </w:rPr>
  </w:style>
  <w:style w:type="character" w:customStyle="1" w:styleId="52">
    <w:name w:val="正文文本 3 字符"/>
    <w:basedOn w:val="26"/>
    <w:link w:val="10"/>
    <w:semiHidden/>
    <w:qFormat/>
    <w:uiPriority w:val="0"/>
    <w:rPr>
      <w:rFonts w:ascii="宋体" w:hAnsi="宋体" w:eastAsia="宋体" w:cs="Times New Roman"/>
      <w:bCs/>
      <w:spacing w:val="6"/>
      <w:kern w:val="44"/>
      <w:sz w:val="16"/>
      <w:szCs w:val="16"/>
    </w:rPr>
  </w:style>
  <w:style w:type="character" w:customStyle="1" w:styleId="53">
    <w:name w:val="日期 字符"/>
    <w:basedOn w:val="26"/>
    <w:link w:val="16"/>
    <w:semiHidden/>
    <w:qFormat/>
    <w:uiPriority w:val="0"/>
    <w:rPr>
      <w:rFonts w:ascii="Times New Roman" w:hAnsi="Times New Roman" w:eastAsia="宋体" w:cs="Times New Roman"/>
      <w:szCs w:val="24"/>
    </w:rPr>
  </w:style>
  <w:style w:type="character" w:customStyle="1" w:styleId="54">
    <w:name w:val="纯文本 字符"/>
    <w:basedOn w:val="26"/>
    <w:link w:val="15"/>
    <w:semiHidden/>
    <w:qFormat/>
    <w:uiPriority w:val="0"/>
    <w:rPr>
      <w:rFonts w:ascii="宋体" w:hAnsi="Courier New" w:eastAsia="宋体" w:cs="Times New Roman"/>
      <w:sz w:val="24"/>
      <w:szCs w:val="21"/>
    </w:rPr>
  </w:style>
  <w:style w:type="paragraph" w:customStyle="1" w:styleId="55">
    <w:name w:val="LXW.2"/>
    <w:next w:val="56"/>
    <w:qFormat/>
    <w:uiPriority w:val="0"/>
    <w:pPr>
      <w:keepNext/>
      <w:widowControl w:val="0"/>
      <w:outlineLvl w:val="1"/>
    </w:pPr>
    <w:rPr>
      <w:rFonts w:ascii="宋体" w:hAnsi="Times New Roman" w:eastAsia="宋体" w:cs="Times New Roman"/>
      <w:b/>
      <w:color w:val="800080"/>
      <w:w w:val="150"/>
      <w:kern w:val="2"/>
      <w:sz w:val="28"/>
      <w:szCs w:val="28"/>
      <w:lang w:val="en-US" w:eastAsia="zh-CN" w:bidi="ar-SA"/>
    </w:rPr>
  </w:style>
  <w:style w:type="paragraph" w:customStyle="1" w:styleId="56">
    <w:name w:val="LXW.正文"/>
    <w:qFormat/>
    <w:uiPriority w:val="0"/>
    <w:pPr>
      <w:widowControl w:val="0"/>
      <w:spacing w:line="360" w:lineRule="auto"/>
      <w:ind w:left="840" w:leftChars="350" w:firstLine="480" w:firstLineChars="200"/>
    </w:pPr>
    <w:rPr>
      <w:rFonts w:ascii="宋体" w:hAnsi="Times New Roman" w:eastAsia="宋体" w:cs="Times New Roman"/>
      <w:kern w:val="2"/>
      <w:sz w:val="24"/>
      <w:szCs w:val="24"/>
      <w:lang w:val="en-US" w:eastAsia="zh-CN" w:bidi="ar-SA"/>
    </w:rPr>
  </w:style>
  <w:style w:type="paragraph" w:customStyle="1" w:styleId="57">
    <w:name w:val="样式1.1.1"/>
    <w:basedOn w:val="1"/>
    <w:qFormat/>
    <w:uiPriority w:val="0"/>
    <w:pPr>
      <w:keepNext/>
      <w:keepLines/>
      <w:tabs>
        <w:tab w:val="left" w:pos="6660"/>
      </w:tabs>
      <w:spacing w:before="140" w:after="140"/>
      <w:outlineLvl w:val="1"/>
    </w:pPr>
    <w:rPr>
      <w:rFonts w:ascii="Arial" w:hAnsi="Arial" w:eastAsia="黑体"/>
      <w:b/>
      <w:spacing w:val="6"/>
      <w:kern w:val="0"/>
      <w:sz w:val="28"/>
      <w:szCs w:val="28"/>
    </w:rPr>
  </w:style>
  <w:style w:type="paragraph" w:customStyle="1" w:styleId="58">
    <w:name w:val="LXW.5"/>
    <w:next w:val="56"/>
    <w:qFormat/>
    <w:uiPriority w:val="0"/>
    <w:pPr>
      <w:widowControl w:val="0"/>
      <w:spacing w:line="360" w:lineRule="auto"/>
      <w:ind w:left="840" w:leftChars="100" w:hanging="600" w:hangingChars="250"/>
    </w:pPr>
    <w:rPr>
      <w:rFonts w:ascii="宋体" w:hAnsi="Times New Roman" w:eastAsia="宋体" w:cs="Times New Roman"/>
      <w:kern w:val="2"/>
      <w:sz w:val="24"/>
      <w:szCs w:val="24"/>
      <w:lang w:val="en-US" w:eastAsia="zh-CN" w:bidi="ar-SA"/>
    </w:rPr>
  </w:style>
  <w:style w:type="paragraph" w:customStyle="1" w:styleId="59">
    <w:name w:val="样式12"/>
    <w:basedOn w:val="1"/>
    <w:qFormat/>
    <w:uiPriority w:val="0"/>
    <w:pPr>
      <w:keepNext/>
      <w:keepLines/>
      <w:tabs>
        <w:tab w:val="left" w:pos="6660"/>
      </w:tabs>
      <w:spacing w:before="140" w:after="140"/>
      <w:outlineLvl w:val="1"/>
    </w:pPr>
    <w:rPr>
      <w:rFonts w:ascii="Arial" w:hAnsi="Arial" w:eastAsia="黑体"/>
      <w:b/>
      <w:spacing w:val="6"/>
      <w:kern w:val="0"/>
      <w:sz w:val="28"/>
      <w:szCs w:val="28"/>
    </w:rPr>
  </w:style>
  <w:style w:type="paragraph" w:customStyle="1" w:styleId="60">
    <w:name w:val="样式9"/>
    <w:basedOn w:val="1"/>
    <w:qFormat/>
    <w:uiPriority w:val="0"/>
    <w:pPr>
      <w:keepNext/>
      <w:keepLines/>
      <w:tabs>
        <w:tab w:val="left" w:pos="6660"/>
      </w:tabs>
      <w:spacing w:before="140" w:after="140"/>
      <w:outlineLvl w:val="1"/>
    </w:pPr>
    <w:rPr>
      <w:rFonts w:ascii="Arial" w:hAnsi="Arial" w:eastAsia="黑体"/>
      <w:b/>
      <w:spacing w:val="6"/>
      <w:kern w:val="0"/>
      <w:sz w:val="32"/>
      <w:szCs w:val="28"/>
    </w:rPr>
  </w:style>
  <w:style w:type="paragraph" w:customStyle="1" w:styleId="61">
    <w:name w:val="默认段落字体 Para Char Char Char Char"/>
    <w:basedOn w:val="1"/>
    <w:qFormat/>
    <w:uiPriority w:val="0"/>
    <w:rPr>
      <w:szCs w:val="20"/>
    </w:rPr>
  </w:style>
  <w:style w:type="paragraph" w:customStyle="1" w:styleId="62">
    <w:name w:val="样式5"/>
    <w:basedOn w:val="1"/>
    <w:qFormat/>
    <w:uiPriority w:val="0"/>
    <w:pPr>
      <w:topLinePunct/>
      <w:adjustRightInd w:val="0"/>
      <w:spacing w:line="1200" w:lineRule="auto"/>
      <w:jc w:val="center"/>
    </w:pPr>
    <w:rPr>
      <w:rFonts w:ascii="宋体" w:hAnsi="宋体" w:eastAsia="黑体"/>
      <w:sz w:val="26"/>
      <w:szCs w:val="26"/>
    </w:rPr>
  </w:style>
  <w:style w:type="paragraph" w:customStyle="1" w:styleId="63">
    <w:name w:val="流程图 Char Char"/>
    <w:qFormat/>
    <w:uiPriority w:val="0"/>
    <w:pPr>
      <w:keepNext/>
      <w:keepLines/>
      <w:widowControl w:val="0"/>
      <w:jc w:val="center"/>
    </w:pPr>
    <w:rPr>
      <w:rFonts w:ascii="Times New Roman" w:hAnsi="Times New Roman" w:eastAsia="宋体" w:cs="Times New Roman"/>
      <w:kern w:val="2"/>
      <w:sz w:val="21"/>
      <w:szCs w:val="21"/>
      <w:lang w:val="en-US" w:eastAsia="zh-CN" w:bidi="ar-SA"/>
    </w:rPr>
  </w:style>
  <w:style w:type="paragraph" w:customStyle="1" w:styleId="64">
    <w:name w:val="流程图"/>
    <w:next w:val="1"/>
    <w:qFormat/>
    <w:uiPriority w:val="0"/>
    <w:pPr>
      <w:keepNext/>
      <w:keepLines/>
      <w:spacing w:line="360" w:lineRule="auto"/>
      <w:jc w:val="center"/>
    </w:pPr>
    <w:rPr>
      <w:rFonts w:ascii="仿宋_GB2312" w:hAnsi="Times New Roman" w:eastAsia="仿宋_GB2312" w:cs="Times New Roman"/>
      <w:kern w:val="2"/>
      <w:sz w:val="28"/>
      <w:szCs w:val="24"/>
      <w:lang w:val="en-US" w:eastAsia="zh-CN" w:bidi="ar-SA"/>
    </w:rPr>
  </w:style>
  <w:style w:type="paragraph" w:customStyle="1" w:styleId="65">
    <w:name w:val="样式 小四 行距: 1.5 倍行距"/>
    <w:basedOn w:val="1"/>
    <w:qFormat/>
    <w:uiPriority w:val="0"/>
    <w:pPr>
      <w:spacing w:line="360" w:lineRule="auto"/>
      <w:ind w:firstLine="200" w:firstLineChars="200"/>
    </w:pPr>
    <w:rPr>
      <w:sz w:val="24"/>
      <w:szCs w:val="20"/>
    </w:rPr>
  </w:style>
  <w:style w:type="paragraph" w:customStyle="1" w:styleId="66">
    <w:name w:val="表格文字1"/>
    <w:qFormat/>
    <w:uiPriority w:val="0"/>
    <w:pPr>
      <w:widowControl w:val="0"/>
      <w:spacing w:line="320" w:lineRule="exact"/>
      <w:jc w:val="center"/>
    </w:pPr>
    <w:rPr>
      <w:rFonts w:ascii="宋体" w:hAnsi="Plotter" w:eastAsia="宋体" w:cs="Times New Roman"/>
      <w:kern w:val="0"/>
      <w:sz w:val="21"/>
      <w:szCs w:val="20"/>
      <w:lang w:val="en-US" w:eastAsia="zh-CN" w:bidi="ar-SA"/>
    </w:rPr>
  </w:style>
  <w:style w:type="paragraph" w:customStyle="1" w:styleId="67">
    <w:name w:val="样式11"/>
    <w:basedOn w:val="1"/>
    <w:qFormat/>
    <w:uiPriority w:val="0"/>
    <w:pPr>
      <w:keepNext/>
      <w:keepLines/>
      <w:tabs>
        <w:tab w:val="left" w:pos="6660"/>
      </w:tabs>
      <w:spacing w:before="140" w:after="140"/>
      <w:outlineLvl w:val="1"/>
    </w:pPr>
    <w:rPr>
      <w:rFonts w:ascii="Arial" w:hAnsi="Arial" w:eastAsia="黑体"/>
      <w:b/>
      <w:spacing w:val="6"/>
      <w:kern w:val="0"/>
      <w:sz w:val="28"/>
      <w:szCs w:val="28"/>
    </w:rPr>
  </w:style>
  <w:style w:type="paragraph" w:customStyle="1" w:styleId="68">
    <w:name w:val="表格表题（用）"/>
    <w:basedOn w:val="1"/>
    <w:next w:val="1"/>
    <w:qFormat/>
    <w:uiPriority w:val="0"/>
    <w:pPr>
      <w:jc w:val="center"/>
    </w:pPr>
    <w:rPr>
      <w:b/>
    </w:rPr>
  </w:style>
  <w:style w:type="paragraph" w:customStyle="1" w:styleId="69">
    <w:name w:val="样式14"/>
    <w:basedOn w:val="1"/>
    <w:qFormat/>
    <w:uiPriority w:val="0"/>
    <w:pPr>
      <w:keepNext/>
      <w:keepLines/>
      <w:tabs>
        <w:tab w:val="left" w:pos="6660"/>
      </w:tabs>
      <w:outlineLvl w:val="1"/>
    </w:pPr>
    <w:rPr>
      <w:rFonts w:ascii="Arial" w:hAnsi="Arial" w:eastAsia="黑体"/>
      <w:b/>
      <w:spacing w:val="6"/>
      <w:kern w:val="0"/>
      <w:sz w:val="28"/>
      <w:szCs w:val="28"/>
    </w:rPr>
  </w:style>
  <w:style w:type="paragraph" w:customStyle="1" w:styleId="70">
    <w:name w:val="样式4"/>
    <w:basedOn w:val="1"/>
    <w:qFormat/>
    <w:uiPriority w:val="0"/>
    <w:pPr>
      <w:tabs>
        <w:tab w:val="left" w:pos="366"/>
        <w:tab w:val="left" w:pos="720"/>
      </w:tabs>
      <w:topLinePunct/>
      <w:ind w:firstLine="425"/>
    </w:pPr>
    <w:rPr>
      <w:rFonts w:eastAsia="黑体"/>
      <w:bCs/>
      <w:caps/>
      <w:kern w:val="21"/>
      <w:szCs w:val="21"/>
      <w:lang w:val="zh-CN"/>
    </w:rPr>
  </w:style>
  <w:style w:type="paragraph" w:customStyle="1" w:styleId="71">
    <w:name w:val="正文格式"/>
    <w:basedOn w:val="1"/>
    <w:qFormat/>
    <w:uiPriority w:val="0"/>
    <w:pPr>
      <w:spacing w:before="60" w:after="60" w:line="400" w:lineRule="exact"/>
      <w:ind w:left="300" w:leftChars="300"/>
    </w:pPr>
    <w:rPr>
      <w:rFonts w:ascii="Arial" w:hAnsi="Arial"/>
      <w:sz w:val="24"/>
      <w:szCs w:val="20"/>
    </w:rPr>
  </w:style>
  <w:style w:type="paragraph" w:customStyle="1" w:styleId="72">
    <w:name w:val="Char Char Char"/>
    <w:basedOn w:val="1"/>
    <w:qFormat/>
    <w:uiPriority w:val="0"/>
    <w:rPr>
      <w:rFonts w:ascii="Tahoma" w:hAnsi="Tahoma"/>
      <w:sz w:val="24"/>
      <w:szCs w:val="20"/>
    </w:rPr>
  </w:style>
  <w:style w:type="paragraph" w:customStyle="1" w:styleId="73">
    <w:name w:val="（1）文字用"/>
    <w:basedOn w:val="1"/>
    <w:qFormat/>
    <w:uiPriority w:val="0"/>
    <w:pPr>
      <w:spacing w:line="360" w:lineRule="auto"/>
      <w:ind w:left="350" w:leftChars="350"/>
    </w:pPr>
    <w:rPr>
      <w:rFonts w:cs="宋体"/>
      <w:bCs/>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6287</Words>
  <Characters>35840</Characters>
  <Lines>298</Lines>
  <Paragraphs>84</Paragraphs>
  <TotalTime>1</TotalTime>
  <ScaleCrop>false</ScaleCrop>
  <LinksUpToDate>false</LinksUpToDate>
  <CharactersWithSpaces>42043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2020-01-11T01:53:00Z</dcterms:created>
  <dc:creator>恒 唐</dc:creator>
  <cp:lastModifiedBy>Administrator</cp:lastModifiedBy>
  <cp:lastPrinted>2023-05-14T04:56:00Z</cp:lastPrinted>
  <dcterms:modified xsi:type="dcterms:W3CDTF">2023-06-12T20:05:24Z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18730C2C7982490891CB59BBAEC400BE</vt:lpwstr>
  </property>
</Properties>
</file>