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b w:val="0"/>
          <w:bCs w:val="0"/>
          <w:kern w:val="2"/>
          <w:sz w:val="20"/>
          <w:szCs w:val="20"/>
          <w:lang w:val="en-US" w:eastAsia="zh-CN" w:bidi="ar-SA"/>
        </w:rPr>
      </w:pPr>
      <w:bookmarkStart w:id="0" w:name="_Toc318380205"/>
      <w:r>
        <w:rPr>
          <w:rFonts w:hint="eastAsia" w:ascii="宋体" w:hAnsi="宋体" w:eastAsia="宋体" w:cs="宋体"/>
          <w:b/>
          <w:bCs/>
          <w:kern w:val="2"/>
          <w:sz w:val="36"/>
          <w:szCs w:val="36"/>
          <w:lang w:val="en-US" w:eastAsia="zh-CN" w:bidi="ar-SA"/>
        </w:rPr>
        <w:t>上海希遨光伏电力有限公司利用斯伦贝谢油田设备（上海）有限公司屋顶建设4604.04kWp分布式光伏项目</w:t>
      </w:r>
    </w:p>
    <w:p>
      <w:pPr>
        <w:jc w:val="center"/>
        <w:rPr>
          <w:rFonts w:hint="eastAsia" w:ascii="宋体" w:hAnsi="宋体" w:eastAsia="宋体" w:cs="宋体"/>
          <w:b/>
          <w:bCs/>
          <w:sz w:val="52"/>
          <w:szCs w:val="52"/>
        </w:rPr>
      </w:pPr>
      <w:r>
        <w:rPr>
          <w:rFonts w:hint="eastAsia" w:ascii="宋体" w:hAnsi="宋体" w:eastAsia="宋体" w:cs="宋体"/>
          <w:b/>
          <w:bCs/>
          <w:sz w:val="36"/>
          <w:szCs w:val="36"/>
          <w:lang w:val="en-US" w:eastAsia="zh-CN"/>
        </w:rPr>
        <w:t xml:space="preserve"> </w:t>
      </w:r>
    </w:p>
    <w:p>
      <w:pPr>
        <w:jc w:val="both"/>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sz w:val="30"/>
          <w:szCs w:val="30"/>
        </w:rPr>
      </w:pPr>
      <w:r>
        <w:rPr>
          <w:rFonts w:hint="eastAsia" w:ascii="宋体" w:hAnsi="宋体" w:eastAsia="宋体" w:cs="宋体"/>
          <w:b/>
          <w:sz w:val="30"/>
          <w:szCs w:val="30"/>
        </w:rPr>
        <w:t>电 气 监 理 实 施 细 则</w:t>
      </w:r>
    </w:p>
    <w:p>
      <w:pPr>
        <w:jc w:val="center"/>
        <w:rPr>
          <w:sz w:val="32"/>
          <w:szCs w:val="32"/>
        </w:rPr>
      </w:pPr>
    </w:p>
    <w:p>
      <w:pPr>
        <w:jc w:val="both"/>
        <w:rPr>
          <w:sz w:val="32"/>
          <w:szCs w:val="32"/>
        </w:rPr>
      </w:pPr>
    </w:p>
    <w:p>
      <w:pPr>
        <w:topLinePunct/>
        <w:snapToGrid w:val="0"/>
        <w:spacing w:before="60" w:after="60"/>
        <w:jc w:val="center"/>
        <w:rPr>
          <w:rFonts w:asciiTheme="majorEastAsia" w:hAnsiTheme="majorEastAsia" w:eastAsiaTheme="majorEastAsia" w:cstheme="majorEastAsia"/>
          <w:sz w:val="15"/>
          <w:szCs w:val="15"/>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批准：</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年   月   日</w:t>
      </w:r>
    </w:p>
    <w:p>
      <w:pPr>
        <w:topLinePunct/>
        <w:snapToGrid w:val="0"/>
        <w:spacing w:before="60" w:after="60"/>
        <w:ind w:left="454"/>
        <w:jc w:val="center"/>
        <w:rPr>
          <w:rFonts w:asciiTheme="majorEastAsia" w:hAnsiTheme="majorEastAsia" w:eastAsiaTheme="majorEastAsia" w:cstheme="majorEastAsia"/>
          <w:sz w:val="24"/>
          <w:szCs w:val="24"/>
        </w:rPr>
      </w:pPr>
    </w:p>
    <w:p>
      <w:pPr>
        <w:topLinePunct/>
        <w:snapToGrid w:val="0"/>
        <w:spacing w:before="60" w:after="60"/>
        <w:ind w:left="454"/>
        <w:jc w:val="center"/>
        <w:rPr>
          <w:rFonts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审核</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年   月   日</w:t>
      </w:r>
    </w:p>
    <w:p>
      <w:pPr>
        <w:topLinePunct/>
        <w:snapToGrid w:val="0"/>
        <w:spacing w:before="60" w:after="60"/>
        <w:ind w:left="454"/>
        <w:jc w:val="center"/>
        <w:rPr>
          <w:rFonts w:hint="eastAsia" w:asciiTheme="majorEastAsia" w:hAnsiTheme="majorEastAsia" w:eastAsiaTheme="majorEastAsia" w:cstheme="majorEastAsia"/>
          <w:sz w:val="24"/>
          <w:szCs w:val="24"/>
        </w:rPr>
      </w:pPr>
    </w:p>
    <w:p>
      <w:pPr>
        <w:topLinePunct/>
        <w:snapToGrid w:val="0"/>
        <w:spacing w:before="60" w:after="60"/>
        <w:ind w:left="454"/>
        <w:jc w:val="center"/>
        <w:rPr>
          <w:rFonts w:hint="eastAsia" w:asciiTheme="majorEastAsia" w:hAnsiTheme="majorEastAsia" w:eastAsiaTheme="majorEastAsia" w:cstheme="majorEastAsia"/>
          <w:sz w:val="24"/>
          <w:szCs w:val="24"/>
        </w:rPr>
      </w:pPr>
    </w:p>
    <w:p>
      <w:pPr>
        <w:topLinePunct/>
        <w:snapToGrid w:val="0"/>
        <w:spacing w:before="60" w:after="60"/>
        <w:ind w:left="454" w:firstLine="2640" w:firstLineChars="110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t>编制：</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年   月   日</w:t>
      </w:r>
    </w:p>
    <w:p>
      <w:pPr>
        <w:topLinePunct/>
        <w:snapToGrid w:val="0"/>
        <w:spacing w:before="60" w:after="60"/>
        <w:ind w:left="454"/>
        <w:rPr>
          <w:rFonts w:asciiTheme="majorEastAsia" w:hAnsiTheme="majorEastAsia" w:eastAsiaTheme="majorEastAsia" w:cstheme="majorEastAsia"/>
          <w:szCs w:val="21"/>
        </w:rPr>
      </w:pPr>
    </w:p>
    <w:p>
      <w:pPr>
        <w:topLinePunct/>
        <w:snapToGrid w:val="0"/>
        <w:spacing w:before="60" w:after="6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 xml:space="preserve">                       </w:t>
      </w:r>
    </w:p>
    <w:p>
      <w:pPr>
        <w:topLinePunct/>
        <w:snapToGrid w:val="0"/>
        <w:spacing w:before="60" w:after="60"/>
        <w:rPr>
          <w:rFonts w:asciiTheme="majorEastAsia" w:hAnsiTheme="majorEastAsia" w:eastAsiaTheme="majorEastAsia" w:cstheme="majorEastAsia"/>
          <w:szCs w:val="21"/>
        </w:rPr>
      </w:pPr>
    </w:p>
    <w:p>
      <w:pPr>
        <w:topLinePunct/>
        <w:snapToGrid w:val="0"/>
        <w:spacing w:before="60" w:after="60"/>
        <w:rPr>
          <w:rFonts w:asciiTheme="majorEastAsia" w:hAnsiTheme="majorEastAsia" w:eastAsiaTheme="majorEastAsia" w:cstheme="majorEastAsia"/>
          <w:szCs w:val="21"/>
        </w:rPr>
      </w:pPr>
    </w:p>
    <w:p>
      <w:pPr>
        <w:topLinePunct/>
        <w:snapToGrid w:val="0"/>
        <w:spacing w:before="60" w:after="60"/>
        <w:rPr>
          <w:rFonts w:asciiTheme="majorEastAsia" w:hAnsiTheme="majorEastAsia" w:eastAsiaTheme="majorEastAsia" w:cstheme="majorEastAsia"/>
          <w:szCs w:val="21"/>
        </w:rPr>
      </w:pPr>
    </w:p>
    <w:p>
      <w:pPr>
        <w:topLinePunct/>
        <w:snapToGrid w:val="0"/>
        <w:spacing w:before="60" w:after="60"/>
        <w:jc w:val="center"/>
        <w:rPr>
          <w:rFonts w:asciiTheme="majorEastAsia" w:hAnsiTheme="majorEastAsia" w:eastAsiaTheme="majorEastAsia" w:cstheme="majorEastAsia"/>
          <w:szCs w:val="21"/>
        </w:rPr>
      </w:pPr>
    </w:p>
    <w:p>
      <w:pPr>
        <w:spacing w:line="360" w:lineRule="auto"/>
        <w:jc w:val="center"/>
        <w:rPr>
          <w:rFonts w:hint="eastAsia" w:ascii="宋体" w:hAnsi="宋体"/>
          <w:color w:val="000000"/>
          <w:sz w:val="24"/>
          <w:szCs w:val="24"/>
          <w:lang w:val="en-US" w:eastAsia="zh-CN"/>
        </w:rPr>
      </w:pPr>
    </w:p>
    <w:p>
      <w:pPr>
        <w:spacing w:line="360" w:lineRule="auto"/>
        <w:jc w:val="center"/>
        <w:rPr>
          <w:rFonts w:hint="eastAsia" w:ascii="宋体" w:hAnsi="宋体"/>
          <w:color w:val="000000"/>
          <w:sz w:val="24"/>
          <w:szCs w:val="24"/>
          <w:lang w:val="en-US" w:eastAsia="zh-CN"/>
        </w:rPr>
      </w:pPr>
    </w:p>
    <w:p>
      <w:pPr>
        <w:spacing w:line="240" w:lineRule="auto"/>
        <w:jc w:val="center"/>
        <w:rPr>
          <w:rFonts w:asciiTheme="majorEastAsia" w:hAnsiTheme="majorEastAsia" w:eastAsiaTheme="majorEastAsia" w:cstheme="majorEastAsia"/>
          <w:color w:val="000000"/>
          <w:sz w:val="24"/>
          <w:szCs w:val="24"/>
          <w:shd w:val="clear" w:color="auto" w:fill="FFFFFF"/>
        </w:rPr>
      </w:pPr>
      <w:r>
        <w:rPr>
          <w:rFonts w:hint="eastAsia" w:ascii="宋体" w:hAnsi="宋体"/>
          <w:color w:val="000000"/>
          <w:sz w:val="24"/>
          <w:szCs w:val="24"/>
          <w:lang w:val="en-US" w:eastAsia="zh-CN"/>
        </w:rPr>
        <w:t>常州正衡电力工程监理有限公司</w:t>
      </w:r>
    </w:p>
    <w:p>
      <w:pPr>
        <w:pStyle w:val="4"/>
        <w:spacing w:line="360" w:lineRule="auto"/>
        <w:jc w:val="center"/>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b w:val="0"/>
          <w:color w:val="000000"/>
          <w:kern w:val="2"/>
          <w:sz w:val="24"/>
          <w:szCs w:val="24"/>
          <w:lang w:val="en-US" w:eastAsia="zh-CN" w:bidi="ar-SA"/>
        </w:rPr>
        <w:t>上海希遨光伏电力有限公司利用斯伦贝谢油田设备（上海）有限公司屋顶建设4604.04kWp分布式光伏项目监理项目部（章）</w:t>
      </w:r>
    </w:p>
    <w:p>
      <w:pPr>
        <w:tabs>
          <w:tab w:val="left" w:pos="3560"/>
        </w:tabs>
        <w:topLinePunct/>
        <w:snapToGrid w:val="0"/>
        <w:spacing w:line="360" w:lineRule="auto"/>
        <w:ind w:firstLine="4080" w:firstLineChars="1700"/>
        <w:jc w:val="both"/>
        <w:rPr>
          <w:rFonts w:hint="default" w:asciiTheme="majorEastAsia" w:hAnsiTheme="majorEastAsia" w:eastAsiaTheme="majorEastAsia" w:cstheme="majorEastAsia"/>
          <w:kern w:val="2"/>
          <w:sz w:val="24"/>
          <w:szCs w:val="24"/>
          <w:lang w:val="en-US" w:eastAsia="zh-CN" w:bidi="ar-SA"/>
        </w:rPr>
        <w:sectPr>
          <w:pgSz w:w="11906" w:h="16838"/>
          <w:pgMar w:top="1134" w:right="964" w:bottom="1134" w:left="1361" w:header="851" w:footer="992" w:gutter="0"/>
          <w:pgNumType w:start="1" w:chapStyle="1"/>
          <w:cols w:space="425" w:num="1"/>
          <w:docGrid w:type="lines" w:linePitch="312" w:charSpace="0"/>
        </w:sectPr>
      </w:pPr>
      <w:r>
        <w:rPr>
          <w:rFonts w:hint="eastAsia" w:ascii="宋体" w:hAnsi="宋体"/>
          <w:color w:val="000000"/>
          <w:sz w:val="24"/>
          <w:szCs w:val="24"/>
          <w:lang w:val="en-US" w:eastAsia="zh-CN"/>
        </w:rPr>
        <w:t>2023年11月</w:t>
      </w:r>
    </w:p>
    <w:p>
      <w:pPr>
        <w:pStyle w:val="8"/>
        <w:tabs>
          <w:tab w:val="right" w:leader="dot" w:pos="9571"/>
        </w:tabs>
        <w:jc w:val="center"/>
        <w:rPr>
          <w:rStyle w:val="12"/>
          <w:rFonts w:ascii="宋体" w:hAnsi="宋体" w:cs="宋体"/>
          <w:b/>
          <w:bCs/>
          <w:color w:val="000000" w:themeColor="text1"/>
          <w:sz w:val="52"/>
          <w:szCs w:val="52"/>
          <w:u w:val="none"/>
          <w14:textFill>
            <w14:solidFill>
              <w14:schemeClr w14:val="tx1"/>
            </w14:solidFill>
          </w14:textFill>
        </w:rPr>
      </w:pPr>
      <w:r>
        <w:rPr>
          <w:rStyle w:val="12"/>
          <w:rFonts w:hint="eastAsia" w:ascii="宋体" w:hAnsi="宋体" w:cs="宋体"/>
          <w:b/>
          <w:bCs/>
          <w:color w:val="000000" w:themeColor="text1"/>
          <w:sz w:val="52"/>
          <w:szCs w:val="52"/>
          <w:u w:val="none"/>
          <w14:textFill>
            <w14:solidFill>
              <w14:schemeClr w14:val="tx1"/>
            </w14:solidFill>
          </w14:textFill>
        </w:rPr>
        <w:t>目录</w:t>
      </w:r>
    </w:p>
    <w:p>
      <w:pPr>
        <w:pStyle w:val="8"/>
        <w:tabs>
          <w:tab w:val="right" w:leader="dot" w:pos="9571"/>
        </w:tabs>
        <w:rPr>
          <w:rStyle w:val="13"/>
          <w:sz w:val="24"/>
          <w:szCs w:val="24"/>
        </w:rPr>
      </w:pPr>
    </w:p>
    <w:p>
      <w:pPr>
        <w:pStyle w:val="8"/>
        <w:tabs>
          <w:tab w:val="right" w:leader="dot" w:pos="9571"/>
        </w:tabs>
        <w:spacing w:line="480" w:lineRule="auto"/>
        <w:rPr>
          <w:rFonts w:asciiTheme="minorEastAsia" w:hAnsiTheme="minorEastAsia" w:eastAsiaTheme="minorEastAsia" w:cstheme="minorBidi"/>
          <w:sz w:val="28"/>
          <w:szCs w:val="28"/>
        </w:rPr>
      </w:pPr>
      <w:r>
        <w:rPr>
          <w:rStyle w:val="13"/>
          <w:sz w:val="24"/>
          <w:szCs w:val="24"/>
        </w:rPr>
        <w:fldChar w:fldCharType="begin"/>
      </w:r>
      <w:r>
        <w:rPr>
          <w:rStyle w:val="13"/>
          <w:sz w:val="24"/>
          <w:szCs w:val="24"/>
        </w:rPr>
        <w:instrText xml:space="preserve"> TOC \o "1-2" \h \z \u </w:instrText>
      </w:r>
      <w:r>
        <w:rPr>
          <w:rStyle w:val="13"/>
          <w:sz w:val="24"/>
          <w:szCs w:val="24"/>
        </w:rPr>
        <w:fldChar w:fldCharType="separate"/>
      </w:r>
      <w:r>
        <w:fldChar w:fldCharType="begin"/>
      </w:r>
      <w:r>
        <w:instrText xml:space="preserve"> HYPERLINK \l "_Toc12100589" </w:instrText>
      </w:r>
      <w:r>
        <w:fldChar w:fldCharType="separate"/>
      </w:r>
      <w:r>
        <w:rPr>
          <w:rStyle w:val="12"/>
          <w:rFonts w:asciiTheme="minorEastAsia" w:hAnsiTheme="minorEastAsia" w:eastAsiaTheme="minorEastAsia"/>
          <w:sz w:val="28"/>
          <w:szCs w:val="28"/>
        </w:rPr>
        <w:t>1  监理实施细则编制的依据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_Toc12100589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"_Toc12100590" </w:instrText>
      </w:r>
      <w:r>
        <w:fldChar w:fldCharType="separate"/>
      </w:r>
      <w:r>
        <w:rPr>
          <w:rStyle w:val="12"/>
          <w:rFonts w:asciiTheme="minorEastAsia" w:hAnsiTheme="minorEastAsia" w:eastAsiaTheme="minorEastAsia"/>
          <w:sz w:val="28"/>
          <w:szCs w:val="28"/>
        </w:rPr>
        <w:t>2  本专业工程概况及特点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"_Toc12100591" </w:instrText>
      </w:r>
      <w:r>
        <w:fldChar w:fldCharType="separate"/>
      </w:r>
      <w:r>
        <w:rPr>
          <w:rStyle w:val="12"/>
          <w:rFonts w:asciiTheme="minorEastAsia" w:hAnsiTheme="minorEastAsia" w:eastAsiaTheme="minorEastAsia"/>
          <w:sz w:val="28"/>
          <w:szCs w:val="28"/>
        </w:rPr>
        <w:t>3  本专业工程监理范围</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"_Toc12100592" </w:instrText>
      </w:r>
      <w:r>
        <w:fldChar w:fldCharType="separate"/>
      </w:r>
      <w:r>
        <w:rPr>
          <w:rStyle w:val="12"/>
          <w:rFonts w:asciiTheme="minorEastAsia" w:hAnsiTheme="minorEastAsia" w:eastAsiaTheme="minorEastAsia"/>
          <w:sz w:val="28"/>
          <w:szCs w:val="28"/>
        </w:rPr>
        <w:t>4  监理工作主要内容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"_Toc12100593" </w:instrText>
      </w:r>
      <w:r>
        <w:fldChar w:fldCharType="separate"/>
      </w:r>
      <w:r>
        <w:rPr>
          <w:rStyle w:val="12"/>
          <w:rFonts w:asciiTheme="minorEastAsia" w:hAnsiTheme="minorEastAsia" w:eastAsiaTheme="minorEastAsia"/>
          <w:sz w:val="28"/>
          <w:szCs w:val="28"/>
        </w:rPr>
        <w:t>5  电气监理的质量控制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"_Toc12100594" </w:instrText>
      </w:r>
      <w:r>
        <w:fldChar w:fldCharType="separate"/>
      </w:r>
      <w:r>
        <w:rPr>
          <w:rStyle w:val="12"/>
          <w:rFonts w:asciiTheme="minorEastAsia" w:hAnsiTheme="minorEastAsia" w:eastAsiaTheme="minorEastAsia"/>
          <w:sz w:val="28"/>
          <w:szCs w:val="28"/>
        </w:rPr>
        <w:t>6  火灾报警系统</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"_Toc12100595" </w:instrText>
      </w:r>
      <w:r>
        <w:fldChar w:fldCharType="separate"/>
      </w:r>
      <w:r>
        <w:rPr>
          <w:rStyle w:val="12"/>
          <w:rFonts w:asciiTheme="minorEastAsia" w:hAnsiTheme="minorEastAsia" w:eastAsiaTheme="minorEastAsia"/>
          <w:sz w:val="28"/>
          <w:szCs w:val="28"/>
        </w:rPr>
        <w:t>7  旁站监理控制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EastAsia" w:hAnsiTheme="minorEastAsia" w:eastAsiaTheme="minorEastAsia" w:cstheme="minorBidi"/>
          <w:sz w:val="28"/>
          <w:szCs w:val="28"/>
        </w:rPr>
      </w:pPr>
      <w:r>
        <w:fldChar w:fldCharType="begin"/>
      </w:r>
      <w:r>
        <w:instrText xml:space="preserve"> HYPERLINK \l "_Toc12100596" </w:instrText>
      </w:r>
      <w:r>
        <w:fldChar w:fldCharType="separate"/>
      </w:r>
      <w:r>
        <w:rPr>
          <w:rStyle w:val="12"/>
          <w:rFonts w:asciiTheme="minorEastAsia" w:hAnsiTheme="minorEastAsia" w:eastAsiaTheme="minorEastAsia"/>
          <w:sz w:val="28"/>
          <w:szCs w:val="28"/>
        </w:rPr>
        <w:t>8  质量目标</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8"/>
        <w:tabs>
          <w:tab w:val="right" w:leader="dot" w:pos="9571"/>
        </w:tabs>
        <w:spacing w:line="480" w:lineRule="auto"/>
        <w:rPr>
          <w:rFonts w:asciiTheme="minorHAnsi" w:hAnsiTheme="minorHAnsi" w:eastAsiaTheme="minorEastAsia" w:cstheme="minorBidi"/>
          <w:szCs w:val="22"/>
        </w:rPr>
      </w:pPr>
      <w:r>
        <w:fldChar w:fldCharType="begin"/>
      </w:r>
      <w:r>
        <w:instrText xml:space="preserve"> HYPERLINK \l "_Toc12100597" </w:instrText>
      </w:r>
      <w:r>
        <w:fldChar w:fldCharType="separate"/>
      </w:r>
      <w:r>
        <w:rPr>
          <w:rStyle w:val="12"/>
          <w:rFonts w:asciiTheme="minorEastAsia" w:hAnsiTheme="minorEastAsia" w:eastAsiaTheme="minorEastAsia"/>
          <w:sz w:val="28"/>
          <w:szCs w:val="28"/>
        </w:rPr>
        <w:t>9  监理工作方法及程序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_Toc12100597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
        <w:rPr>
          <w:rStyle w:val="13"/>
          <w:sz w:val="24"/>
          <w:szCs w:val="24"/>
        </w:rPr>
      </w:pPr>
      <w:r>
        <w:rPr>
          <w:rStyle w:val="13"/>
          <w:sz w:val="24"/>
          <w:szCs w:val="24"/>
        </w:rPr>
        <w:fldChar w:fldCharType="end"/>
      </w: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pStyle w:val="3"/>
        <w:rPr>
          <w:rStyle w:val="13"/>
        </w:rPr>
      </w:pPr>
    </w:p>
    <w:p>
      <w:pPr>
        <w:rPr>
          <w:rStyle w:val="13"/>
        </w:rPr>
      </w:pPr>
    </w:p>
    <w:p>
      <w:pPr>
        <w:rPr>
          <w:rStyle w:val="13"/>
        </w:rPr>
      </w:pPr>
    </w:p>
    <w:p>
      <w:pPr>
        <w:rPr>
          <w:rStyle w:val="13"/>
        </w:rPr>
      </w:pPr>
    </w:p>
    <w:p>
      <w:pPr>
        <w:rPr>
          <w:rStyle w:val="13"/>
        </w:rPr>
      </w:pPr>
    </w:p>
    <w:p>
      <w:pPr>
        <w:rPr>
          <w:rStyle w:val="13"/>
        </w:rPr>
      </w:pPr>
    </w:p>
    <w:p>
      <w:pPr>
        <w:rPr>
          <w:rStyle w:val="13"/>
        </w:rPr>
      </w:pPr>
    </w:p>
    <w:p>
      <w:pPr>
        <w:pStyle w:val="3"/>
        <w:rPr>
          <w:rFonts w:ascii="宋体" w:hAnsi="宋体"/>
          <w:b w:val="0"/>
          <w:sz w:val="24"/>
          <w:szCs w:val="24"/>
        </w:rPr>
        <w:sectPr>
          <w:footerReference r:id="rId3" w:type="default"/>
          <w:pgSz w:w="11906" w:h="16838"/>
          <w:pgMar w:top="1134" w:right="964" w:bottom="1134" w:left="1361" w:header="851" w:footer="992" w:gutter="0"/>
          <w:pgNumType w:start="1" w:chapStyle="1"/>
          <w:cols w:space="425" w:num="1"/>
          <w:docGrid w:type="lines" w:linePitch="312" w:charSpace="0"/>
        </w:sectPr>
      </w:pPr>
    </w:p>
    <w:p>
      <w:pPr>
        <w:pStyle w:val="3"/>
      </w:pPr>
      <w:bookmarkStart w:id="1" w:name="_Toc12100589"/>
      <w:r>
        <w:t xml:space="preserve">1  </w:t>
      </w:r>
      <w:r>
        <w:rPr>
          <w:rFonts w:hint="eastAsia"/>
        </w:rPr>
        <w:t>监理实施细则编制的依据</w:t>
      </w:r>
      <w:bookmarkEnd w:id="0"/>
      <w:bookmarkEnd w:id="1"/>
    </w:p>
    <w:p>
      <w:pPr>
        <w:spacing w:line="360" w:lineRule="auto"/>
        <w:rPr>
          <w:rFonts w:ascii="宋体"/>
          <w:sz w:val="24"/>
          <w:szCs w:val="24"/>
        </w:rPr>
      </w:pPr>
      <w:bookmarkStart w:id="2" w:name="_Toc318380206"/>
      <w:r>
        <w:rPr>
          <w:rFonts w:ascii="宋体" w:hAnsi="宋体"/>
          <w:sz w:val="24"/>
          <w:szCs w:val="24"/>
        </w:rPr>
        <w:t xml:space="preserve">1.1  </w:t>
      </w:r>
      <w:r>
        <w:rPr>
          <w:rFonts w:hint="eastAsia" w:ascii="宋体" w:hAnsi="宋体"/>
          <w:sz w:val="24"/>
          <w:szCs w:val="24"/>
        </w:rPr>
        <w:t>《中华人民共和国建筑法》</w:t>
      </w:r>
    </w:p>
    <w:p>
      <w:pPr>
        <w:spacing w:line="360" w:lineRule="auto"/>
        <w:rPr>
          <w:rFonts w:ascii="宋体"/>
          <w:sz w:val="24"/>
          <w:szCs w:val="24"/>
        </w:rPr>
      </w:pPr>
      <w:r>
        <w:rPr>
          <w:rFonts w:ascii="宋体" w:hAnsi="宋体"/>
          <w:sz w:val="24"/>
          <w:szCs w:val="24"/>
        </w:rPr>
        <w:t xml:space="preserve">1.2  </w:t>
      </w:r>
      <w:r>
        <w:rPr>
          <w:rFonts w:hint="eastAsia" w:ascii="宋体" w:hAnsi="宋体"/>
          <w:sz w:val="24"/>
          <w:szCs w:val="24"/>
        </w:rPr>
        <w:t>《中华人民共和国合同法》</w:t>
      </w:r>
    </w:p>
    <w:p>
      <w:pPr>
        <w:spacing w:line="360" w:lineRule="auto"/>
        <w:rPr>
          <w:rFonts w:ascii="宋体"/>
          <w:sz w:val="24"/>
          <w:szCs w:val="24"/>
        </w:rPr>
      </w:pPr>
      <w:r>
        <w:rPr>
          <w:rFonts w:ascii="宋体" w:hAnsi="宋体"/>
          <w:sz w:val="24"/>
          <w:szCs w:val="24"/>
        </w:rPr>
        <w:t xml:space="preserve">1.3  </w:t>
      </w:r>
      <w:r>
        <w:rPr>
          <w:rFonts w:hint="eastAsia" w:ascii="宋体" w:hAnsi="宋体"/>
          <w:sz w:val="24"/>
          <w:szCs w:val="24"/>
        </w:rPr>
        <w:t>《中华人民共和国招标投标法》</w:t>
      </w:r>
    </w:p>
    <w:p>
      <w:pPr>
        <w:spacing w:line="360" w:lineRule="auto"/>
        <w:rPr>
          <w:rFonts w:hint="eastAsia" w:ascii="宋体" w:hAnsi="宋体"/>
          <w:sz w:val="24"/>
          <w:szCs w:val="24"/>
        </w:rPr>
      </w:pPr>
      <w:r>
        <w:rPr>
          <w:rFonts w:ascii="宋体" w:hAnsi="宋体"/>
          <w:sz w:val="24"/>
          <w:szCs w:val="24"/>
        </w:rPr>
        <w:t xml:space="preserve">1.4  </w:t>
      </w:r>
      <w:r>
        <w:rPr>
          <w:rFonts w:hint="eastAsia" w:ascii="宋体" w:hAnsi="宋体"/>
          <w:sz w:val="24"/>
          <w:szCs w:val="24"/>
        </w:rPr>
        <w:t>《建设工程质量管理条例》</w:t>
      </w:r>
    </w:p>
    <w:p>
      <w:pPr>
        <w:spacing w:line="360" w:lineRule="auto"/>
        <w:rPr>
          <w:rFonts w:ascii="宋体"/>
          <w:sz w:val="24"/>
          <w:szCs w:val="24"/>
        </w:rPr>
      </w:pPr>
      <w:r>
        <w:rPr>
          <w:rFonts w:ascii="宋体" w:hAnsi="宋体"/>
          <w:sz w:val="24"/>
          <w:szCs w:val="24"/>
        </w:rPr>
        <w:t xml:space="preserve">1.5  </w:t>
      </w:r>
      <w:r>
        <w:rPr>
          <w:rFonts w:hint="eastAsia" w:ascii="宋体" w:hAnsi="宋体"/>
          <w:sz w:val="24"/>
          <w:szCs w:val="24"/>
        </w:rPr>
        <w:t>《建设工程安全生产管理条例》</w:t>
      </w:r>
    </w:p>
    <w:p>
      <w:pPr>
        <w:spacing w:line="360" w:lineRule="auto"/>
        <w:rPr>
          <w:rFonts w:ascii="宋体" w:hAnsi="宋体"/>
          <w:sz w:val="24"/>
          <w:szCs w:val="24"/>
        </w:rPr>
      </w:pPr>
      <w:bookmarkStart w:id="3" w:name="_Toc1026885"/>
      <w:r>
        <w:rPr>
          <w:rFonts w:ascii="宋体" w:hAnsi="宋体"/>
          <w:sz w:val="24"/>
          <w:szCs w:val="24"/>
        </w:rPr>
        <w:t xml:space="preserve">1.6  </w:t>
      </w:r>
      <w:r>
        <w:rPr>
          <w:rFonts w:hint="eastAsia" w:ascii="宋体" w:hAnsi="宋体"/>
          <w:sz w:val="24"/>
          <w:szCs w:val="24"/>
        </w:rPr>
        <w:t>《建设工程监理规范》</w:t>
      </w:r>
      <w:r>
        <w:rPr>
          <w:rFonts w:ascii="宋体" w:hAnsi="宋体"/>
          <w:sz w:val="24"/>
          <w:szCs w:val="24"/>
        </w:rPr>
        <w:t>GBT50319</w:t>
      </w:r>
    </w:p>
    <w:p>
      <w:pPr>
        <w:spacing w:line="360" w:lineRule="auto"/>
        <w:rPr>
          <w:rFonts w:ascii="宋体" w:hAnsi="宋体"/>
          <w:sz w:val="24"/>
          <w:szCs w:val="24"/>
        </w:rPr>
      </w:pPr>
      <w:r>
        <w:rPr>
          <w:rFonts w:ascii="宋体" w:hAnsi="宋体"/>
          <w:sz w:val="24"/>
          <w:szCs w:val="24"/>
        </w:rPr>
        <w:t xml:space="preserve">1.7  </w:t>
      </w:r>
      <w:r>
        <w:rPr>
          <w:rFonts w:hint="eastAsia" w:ascii="宋体" w:hAnsi="宋体"/>
          <w:sz w:val="24"/>
          <w:szCs w:val="24"/>
        </w:rPr>
        <w:t>《光伏发电工程施工规范》</w:t>
      </w:r>
      <w:r>
        <w:rPr>
          <w:rFonts w:ascii="宋体" w:hAnsi="宋体"/>
          <w:sz w:val="24"/>
          <w:szCs w:val="24"/>
        </w:rPr>
        <w:t xml:space="preserve">GB50794      </w:t>
      </w:r>
    </w:p>
    <w:p>
      <w:pPr>
        <w:rPr>
          <w:rFonts w:ascii="宋体"/>
          <w:sz w:val="24"/>
          <w:szCs w:val="24"/>
        </w:rPr>
      </w:pPr>
      <w:r>
        <w:rPr>
          <w:rFonts w:ascii="宋体" w:hAnsi="宋体"/>
          <w:sz w:val="24"/>
          <w:szCs w:val="24"/>
        </w:rPr>
        <w:t xml:space="preserve">1.8  </w:t>
      </w:r>
      <w:r>
        <w:rPr>
          <w:rFonts w:hint="eastAsia" w:ascii="宋体" w:hAnsi="宋体"/>
          <w:sz w:val="24"/>
          <w:szCs w:val="24"/>
        </w:rPr>
        <w:t>《光伏发电工程验收规范》</w:t>
      </w:r>
      <w:r>
        <w:rPr>
          <w:rFonts w:ascii="宋体" w:hAnsi="宋体"/>
          <w:sz w:val="24"/>
          <w:szCs w:val="24"/>
        </w:rPr>
        <w:t xml:space="preserve">GB50796   </w:t>
      </w:r>
    </w:p>
    <w:p>
      <w:pPr>
        <w:spacing w:line="360" w:lineRule="auto"/>
        <w:rPr>
          <w:rFonts w:ascii="宋体" w:hAnsi="宋体"/>
          <w:sz w:val="24"/>
          <w:szCs w:val="24"/>
        </w:rPr>
      </w:pPr>
      <w:r>
        <w:rPr>
          <w:rFonts w:ascii="宋体" w:hAnsi="宋体"/>
          <w:sz w:val="24"/>
          <w:szCs w:val="24"/>
        </w:rPr>
        <w:t xml:space="preserve">1.9  </w:t>
      </w:r>
      <w:r>
        <w:rPr>
          <w:rFonts w:hint="eastAsia" w:ascii="宋体" w:hAnsi="宋体"/>
          <w:sz w:val="24"/>
          <w:szCs w:val="24"/>
        </w:rPr>
        <w:t>《电气设备交接试验标准》</w:t>
      </w:r>
      <w:r>
        <w:rPr>
          <w:rFonts w:ascii="宋体" w:hAnsi="宋体"/>
          <w:sz w:val="24"/>
          <w:szCs w:val="24"/>
        </w:rPr>
        <w:t xml:space="preserve">GB 50150  </w:t>
      </w:r>
    </w:p>
    <w:p>
      <w:pPr>
        <w:spacing w:line="360" w:lineRule="auto"/>
        <w:rPr>
          <w:rFonts w:ascii="宋体" w:hAnsi="宋体"/>
          <w:sz w:val="24"/>
          <w:szCs w:val="24"/>
        </w:rPr>
      </w:pPr>
      <w:r>
        <w:rPr>
          <w:rFonts w:ascii="宋体" w:hAnsi="宋体"/>
          <w:sz w:val="24"/>
          <w:szCs w:val="24"/>
        </w:rPr>
        <w:t xml:space="preserve">1.10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高压电器施工及验收规范》</w:t>
      </w:r>
      <w:r>
        <w:rPr>
          <w:rFonts w:ascii="宋体" w:hAnsi="宋体"/>
          <w:sz w:val="24"/>
          <w:szCs w:val="24"/>
        </w:rPr>
        <w:t>GB 50147</w:t>
      </w:r>
    </w:p>
    <w:p>
      <w:pPr>
        <w:spacing w:line="360" w:lineRule="auto"/>
        <w:rPr>
          <w:rFonts w:ascii="宋体" w:hAnsi="宋体"/>
          <w:sz w:val="24"/>
          <w:szCs w:val="24"/>
        </w:rPr>
      </w:pPr>
      <w:r>
        <w:rPr>
          <w:rFonts w:ascii="宋体" w:hAnsi="宋体"/>
          <w:sz w:val="24"/>
          <w:szCs w:val="24"/>
        </w:rPr>
        <w:t xml:space="preserve">1.11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母线装置施工及验收规范》</w:t>
      </w:r>
      <w:r>
        <w:rPr>
          <w:rFonts w:ascii="宋体" w:hAnsi="宋体"/>
          <w:sz w:val="24"/>
          <w:szCs w:val="24"/>
        </w:rPr>
        <w:t xml:space="preserve">GB 50149 </w:t>
      </w:r>
    </w:p>
    <w:p>
      <w:pPr>
        <w:spacing w:line="360" w:lineRule="auto"/>
        <w:rPr>
          <w:rFonts w:ascii="宋体" w:hAnsi="宋体"/>
          <w:sz w:val="24"/>
          <w:szCs w:val="24"/>
        </w:rPr>
      </w:pPr>
      <w:r>
        <w:rPr>
          <w:rFonts w:ascii="宋体" w:hAnsi="宋体"/>
          <w:sz w:val="24"/>
          <w:szCs w:val="24"/>
        </w:rPr>
        <w:t xml:space="preserve">1.12 </w:t>
      </w:r>
      <w:r>
        <w:rPr>
          <w:rFonts w:hint="eastAsia" w:ascii="宋体" w:hAnsi="宋体"/>
          <w:sz w:val="24"/>
          <w:szCs w:val="24"/>
        </w:rPr>
        <w:t>《电气装置盘、柜及二次回路施工及验收规范》</w:t>
      </w:r>
      <w:r>
        <w:rPr>
          <w:rFonts w:ascii="宋体" w:hAnsi="宋体"/>
          <w:sz w:val="24"/>
          <w:szCs w:val="24"/>
        </w:rPr>
        <w:t>GB 50171</w:t>
      </w:r>
    </w:p>
    <w:p>
      <w:pPr>
        <w:spacing w:line="360" w:lineRule="auto"/>
        <w:rPr>
          <w:rFonts w:ascii="宋体"/>
          <w:sz w:val="24"/>
          <w:szCs w:val="24"/>
        </w:rPr>
      </w:pPr>
      <w:r>
        <w:rPr>
          <w:rFonts w:ascii="宋体" w:hAnsi="宋体"/>
          <w:sz w:val="24"/>
          <w:szCs w:val="24"/>
        </w:rPr>
        <w:t xml:space="preserve">1.13 </w:t>
      </w:r>
      <w:r>
        <w:rPr>
          <w:rFonts w:hint="eastAsia" w:ascii="宋体" w:hAnsi="宋体"/>
          <w:sz w:val="24"/>
          <w:szCs w:val="24"/>
        </w:rPr>
        <w:t>《电气装置安装工程电缆线路施工及验收规范》</w:t>
      </w:r>
      <w:r>
        <w:rPr>
          <w:rFonts w:ascii="宋体" w:hAnsi="宋体"/>
          <w:sz w:val="24"/>
          <w:szCs w:val="24"/>
        </w:rPr>
        <w:t>GB50168</w:t>
      </w:r>
    </w:p>
    <w:p>
      <w:pPr>
        <w:spacing w:line="360" w:lineRule="auto"/>
        <w:rPr>
          <w:rFonts w:ascii="宋体"/>
          <w:sz w:val="24"/>
          <w:szCs w:val="24"/>
        </w:rPr>
      </w:pPr>
      <w:r>
        <w:rPr>
          <w:rFonts w:ascii="宋体" w:hAnsi="宋体"/>
          <w:sz w:val="24"/>
          <w:szCs w:val="24"/>
        </w:rPr>
        <w:t xml:space="preserve">1.14 </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接地装置施工及验收规范》</w:t>
      </w:r>
      <w:r>
        <w:rPr>
          <w:rFonts w:ascii="宋体" w:hAnsi="宋体"/>
          <w:sz w:val="24"/>
          <w:szCs w:val="24"/>
        </w:rPr>
        <w:t xml:space="preserve">GB 50169  </w:t>
      </w:r>
    </w:p>
    <w:p>
      <w:pPr>
        <w:spacing w:line="360" w:lineRule="auto"/>
        <w:rPr>
          <w:rFonts w:ascii="宋体"/>
          <w:sz w:val="24"/>
          <w:szCs w:val="24"/>
        </w:rPr>
      </w:pPr>
      <w:r>
        <w:rPr>
          <w:rFonts w:ascii="宋体" w:hAnsi="宋体"/>
          <w:sz w:val="24"/>
          <w:szCs w:val="24"/>
        </w:rPr>
        <w:t xml:space="preserve">1.15 </w:t>
      </w:r>
      <w:r>
        <w:rPr>
          <w:rFonts w:hint="eastAsia" w:ascii="宋体" w:hAnsi="宋体"/>
          <w:sz w:val="24"/>
          <w:szCs w:val="24"/>
        </w:rPr>
        <w:t>《建筑电气照明装置施工与验收规范》</w:t>
      </w:r>
      <w:r>
        <w:rPr>
          <w:rFonts w:ascii="宋体" w:hAnsi="宋体"/>
          <w:sz w:val="24"/>
          <w:szCs w:val="24"/>
        </w:rPr>
        <w:t xml:space="preserve">GB 50617 </w:t>
      </w:r>
    </w:p>
    <w:p>
      <w:pPr>
        <w:spacing w:line="360" w:lineRule="auto"/>
        <w:rPr>
          <w:rFonts w:ascii="宋体" w:hAnsi="宋体"/>
          <w:sz w:val="24"/>
          <w:szCs w:val="24"/>
        </w:rPr>
      </w:pPr>
      <w:r>
        <w:rPr>
          <w:rFonts w:ascii="宋体" w:hAnsi="宋体"/>
          <w:sz w:val="24"/>
          <w:szCs w:val="24"/>
        </w:rPr>
        <w:t xml:space="preserve">1.16 </w:t>
      </w:r>
      <w:r>
        <w:rPr>
          <w:rFonts w:hint="eastAsia" w:ascii="宋体" w:hAnsi="宋体"/>
          <w:sz w:val="24"/>
          <w:szCs w:val="24"/>
        </w:rPr>
        <w:t>《电力工程竣工图文件编制规定》</w:t>
      </w:r>
      <w:r>
        <w:rPr>
          <w:rFonts w:ascii="宋体" w:hAnsi="宋体"/>
          <w:sz w:val="24"/>
          <w:szCs w:val="24"/>
        </w:rPr>
        <w:t>DL/T5229</w:t>
      </w:r>
    </w:p>
    <w:p>
      <w:pPr>
        <w:spacing w:line="360" w:lineRule="auto"/>
        <w:rPr>
          <w:rFonts w:ascii="宋体"/>
          <w:sz w:val="24"/>
          <w:szCs w:val="24"/>
        </w:rPr>
      </w:pPr>
      <w:r>
        <w:rPr>
          <w:rFonts w:ascii="宋体" w:hAnsi="宋体"/>
          <w:sz w:val="24"/>
          <w:szCs w:val="24"/>
        </w:rPr>
        <w:t xml:space="preserve">1.17 </w:t>
      </w:r>
      <w:r>
        <w:rPr>
          <w:rFonts w:hint="eastAsia" w:ascii="宋体" w:hAnsi="宋体"/>
          <w:sz w:val="24"/>
          <w:szCs w:val="24"/>
        </w:rPr>
        <w:t>《工程建设标准强制性条文》</w:t>
      </w:r>
      <w:r>
        <w:rPr>
          <w:rFonts w:ascii="宋体" w:hAnsi="宋体"/>
          <w:sz w:val="24"/>
          <w:szCs w:val="24"/>
        </w:rPr>
        <w:t xml:space="preserve"> </w:t>
      </w:r>
      <w:r>
        <w:rPr>
          <w:rFonts w:hint="eastAsia" w:ascii="宋体" w:hAnsi="宋体"/>
          <w:sz w:val="24"/>
          <w:szCs w:val="24"/>
        </w:rPr>
        <w:t>电力工程部分</w:t>
      </w:r>
    </w:p>
    <w:p>
      <w:pPr>
        <w:spacing w:line="360" w:lineRule="auto"/>
        <w:rPr>
          <w:rFonts w:ascii="宋体"/>
          <w:sz w:val="24"/>
          <w:szCs w:val="24"/>
        </w:rPr>
      </w:pPr>
      <w:r>
        <w:rPr>
          <w:rFonts w:ascii="宋体" w:hAnsi="宋体"/>
          <w:sz w:val="24"/>
          <w:szCs w:val="24"/>
        </w:rPr>
        <w:t xml:space="preserve">1.18 </w:t>
      </w:r>
      <w:r>
        <w:rPr>
          <w:rFonts w:hint="eastAsia" w:ascii="宋体" w:hAnsi="宋体"/>
          <w:sz w:val="24"/>
          <w:szCs w:val="24"/>
        </w:rPr>
        <w:t>已批准的监理规划</w:t>
      </w:r>
    </w:p>
    <w:p>
      <w:pPr>
        <w:spacing w:line="360" w:lineRule="auto"/>
        <w:rPr>
          <w:rFonts w:ascii="宋体"/>
          <w:sz w:val="24"/>
          <w:szCs w:val="24"/>
        </w:rPr>
      </w:pPr>
      <w:r>
        <w:rPr>
          <w:rFonts w:ascii="宋体" w:hAnsi="宋体"/>
          <w:sz w:val="24"/>
          <w:szCs w:val="24"/>
        </w:rPr>
        <w:t xml:space="preserve">1.19 </w:t>
      </w:r>
      <w:r>
        <w:rPr>
          <w:rFonts w:hint="eastAsia" w:ascii="宋体" w:hAnsi="宋体"/>
          <w:sz w:val="24"/>
          <w:szCs w:val="24"/>
        </w:rPr>
        <w:t>本工程承包合同、监理合同</w:t>
      </w:r>
      <w:bookmarkEnd w:id="3"/>
    </w:p>
    <w:p>
      <w:pPr>
        <w:spacing w:line="360" w:lineRule="auto"/>
        <w:rPr>
          <w:rFonts w:ascii="宋体"/>
          <w:sz w:val="24"/>
          <w:szCs w:val="24"/>
        </w:rPr>
      </w:pPr>
      <w:r>
        <w:rPr>
          <w:rFonts w:ascii="宋体" w:hAnsi="宋体"/>
          <w:sz w:val="24"/>
          <w:szCs w:val="24"/>
        </w:rPr>
        <w:t xml:space="preserve">1.20 </w:t>
      </w:r>
      <w:r>
        <w:rPr>
          <w:rFonts w:hint="eastAsia" w:ascii="宋体" w:hAnsi="宋体"/>
          <w:sz w:val="24"/>
          <w:szCs w:val="24"/>
        </w:rPr>
        <w:t>本工程勘察、设计文件</w:t>
      </w:r>
    </w:p>
    <w:p>
      <w:pPr>
        <w:pStyle w:val="3"/>
        <w:rPr>
          <w:rFonts w:hint="eastAsia"/>
        </w:rPr>
      </w:pPr>
      <w:bookmarkStart w:id="4" w:name="_Toc12100590"/>
      <w:r>
        <w:t>2</w:t>
      </w:r>
      <w:r>
        <w:rPr>
          <w:rFonts w:hint="eastAsia"/>
        </w:rPr>
        <w:t>本专业工程概况及特点</w:t>
      </w:r>
      <w:bookmarkEnd w:id="2"/>
      <w:bookmarkEnd w:id="4"/>
      <w:bookmarkStart w:id="5" w:name="_Toc21511"/>
      <w:bookmarkStart w:id="6" w:name="_Toc12100591"/>
      <w:bookmarkStart w:id="7" w:name="_Toc318380207"/>
    </w:p>
    <w:bookmarkEnd w:id="5"/>
    <w:p>
      <w:pPr>
        <w:pStyle w:val="4"/>
        <w:jc w:val="both"/>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 xml:space="preserve">项目名称：上海希遨光伏电力有限公司利用斯伦贝谢油田设备（上海）有限公司屋顶建设4604.04kWp分布式光伏项目 </w:t>
      </w:r>
    </w:p>
    <w:p>
      <w:pPr>
        <w:keepNext w:val="0"/>
        <w:keepLines w:val="0"/>
        <w:widowControl/>
        <w:suppressLineNumbers w:val="0"/>
        <w:spacing w:line="360" w:lineRule="auto"/>
        <w:ind w:left="0" w:leftChars="0" w:firstLine="0" w:firstLineChars="0"/>
        <w:jc w:val="left"/>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 xml:space="preserve">工程地点：青浦区夏阳街道上海市青浦区北青公路8228号 </w:t>
      </w:r>
    </w:p>
    <w:p>
      <w:pPr>
        <w:keepNext w:val="0"/>
        <w:keepLines w:val="0"/>
        <w:widowControl/>
        <w:suppressLineNumbers w:val="0"/>
        <w:spacing w:line="360" w:lineRule="auto"/>
        <w:ind w:left="0" w:leftChars="0" w:firstLine="0" w:firstLineChars="0"/>
        <w:jc w:val="left"/>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建设单位：上海希遨光伏电力有限公司</w:t>
      </w:r>
    </w:p>
    <w:p>
      <w:pPr>
        <w:keepNext w:val="0"/>
        <w:keepLines w:val="0"/>
        <w:widowControl/>
        <w:suppressLineNumbers w:val="0"/>
        <w:spacing w:line="360" w:lineRule="auto"/>
        <w:ind w:left="0" w:leftChars="0" w:firstLine="0" w:firstLineChars="0"/>
        <w:jc w:val="left"/>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监理单位：常州正衡电力工程监理有限公司</w:t>
      </w:r>
    </w:p>
    <w:p>
      <w:pPr>
        <w:pStyle w:val="4"/>
        <w:spacing w:line="360" w:lineRule="auto"/>
        <w:jc w:val="both"/>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施工单位：浙江西子联合工程有限公司</w:t>
      </w:r>
    </w:p>
    <w:p>
      <w:pPr>
        <w:pStyle w:val="4"/>
        <w:spacing w:line="360" w:lineRule="auto"/>
        <w:jc w:val="both"/>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设计单位：</w:t>
      </w:r>
      <w:bookmarkStart w:id="8" w:name="_Toc5790"/>
      <w:r>
        <w:rPr>
          <w:rFonts w:hint="eastAsia" w:ascii="Times New Roman" w:hAnsi="Times New Roman" w:eastAsia="宋体" w:cs="Times New Roman"/>
          <w:b w:val="0"/>
          <w:color w:val="auto"/>
          <w:kern w:val="2"/>
          <w:sz w:val="24"/>
          <w:szCs w:val="24"/>
          <w:lang w:val="en-US" w:eastAsia="zh-CN" w:bidi="ar-SA"/>
        </w:rPr>
        <w:t>湖南富沃信息技术股份有限公司</w:t>
      </w:r>
    </w:p>
    <w:bookmarkEnd w:id="8"/>
    <w:p>
      <w:pPr>
        <w:spacing w:line="360" w:lineRule="auto"/>
        <w:ind w:firstLine="480" w:firstLineChars="200"/>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本项目拟利用斯伦贝谢油田设备（上海）有限公司屋顶面积共计约为48297平方米建设分布式光伏发电项目。项目装机容量4604.04kWp，自发自用比例为88%，主要购置安装580Wp光伏组件，光伏支架、光伏并网逆变器、交流（并网）配电装置、输电线路及相应配套装置等光伏发电设施 。项目采用自发自用、余电上网模式，预估年均发电量为450万度，预计年均二氧化碳年减排量为2567吨。</w:t>
      </w:r>
    </w:p>
    <w:p>
      <w:pPr>
        <w:pStyle w:val="3"/>
      </w:pPr>
      <w:r>
        <w:t>3</w:t>
      </w:r>
      <w:r>
        <w:rPr>
          <w:rFonts w:hint="eastAsia"/>
        </w:rPr>
        <w:t>本专业工程监理范围</w:t>
      </w:r>
      <w:bookmarkEnd w:id="6"/>
      <w:bookmarkEnd w:id="7"/>
    </w:p>
    <w:p>
      <w:pPr>
        <w:spacing w:line="360" w:lineRule="auto"/>
        <w:ind w:firstLine="480" w:firstLineChars="200"/>
        <w:rPr>
          <w:rFonts w:hint="eastAsia" w:cs="Times New Roman"/>
          <w:sz w:val="24"/>
          <w:szCs w:val="24"/>
          <w:lang w:val="en-US" w:eastAsia="zh-CN"/>
        </w:rPr>
      </w:pPr>
      <w:bookmarkStart w:id="9" w:name="_Toc318380208"/>
      <w:bookmarkStart w:id="10" w:name="_Toc12100592"/>
      <w:r>
        <w:rPr>
          <w:rFonts w:hint="eastAsia" w:cs="Times New Roman"/>
          <w:sz w:val="24"/>
          <w:szCs w:val="24"/>
          <w:lang w:val="en-US" w:eastAsia="zh-CN"/>
        </w:rPr>
        <w:t>监理人负责对本工程全部工作（包括但不限于光伏厂区土建工程建筑施工，屋面支架安装、屋面组件安装、电气设备安装、外线及光伏车棚等施工、调试直至竣工验收，资料收集、整理及移交，并网发电和完成试运行阶段及缺陷整改至移交等全过程监理工作）自施工准备期直至竣工验收及结算等实施全方位、全过程监理，包括但不限于工程质量控制、进度控制、造价控制、安全文明施工控制、现场环境控制及合同管理、信息管理及工作协调实施全面管理，对项目全过程监理及质保期服务等。</w:t>
      </w:r>
    </w:p>
    <w:p>
      <w:pPr>
        <w:pStyle w:val="3"/>
      </w:pPr>
      <w:r>
        <w:t>4</w:t>
      </w:r>
      <w:r>
        <w:rPr>
          <w:rFonts w:hint="eastAsia"/>
        </w:rPr>
        <w:t>监理工作主要内容</w:t>
      </w:r>
      <w:bookmarkEnd w:id="9"/>
      <w:bookmarkEnd w:id="10"/>
    </w:p>
    <w:p>
      <w:pPr>
        <w:tabs>
          <w:tab w:val="left" w:pos="720"/>
        </w:tabs>
        <w:spacing w:line="360" w:lineRule="auto"/>
        <w:rPr>
          <w:rFonts w:ascii="宋体"/>
          <w:sz w:val="24"/>
          <w:szCs w:val="24"/>
        </w:rPr>
      </w:pPr>
      <w:r>
        <w:rPr>
          <w:rFonts w:ascii="宋体" w:hAnsi="宋体"/>
          <w:sz w:val="24"/>
          <w:szCs w:val="24"/>
        </w:rPr>
        <w:t>4.1</w:t>
      </w:r>
      <w:r>
        <w:rPr>
          <w:rFonts w:hint="eastAsia" w:ascii="宋体" w:hAnsi="宋体"/>
          <w:sz w:val="24"/>
          <w:szCs w:val="24"/>
        </w:rPr>
        <w:t>参与本专业施工图设计交底和图纸会审，提出修改和审查意见。</w:t>
      </w:r>
    </w:p>
    <w:p>
      <w:pPr>
        <w:tabs>
          <w:tab w:val="left" w:pos="720"/>
        </w:tabs>
        <w:spacing w:line="360" w:lineRule="auto"/>
        <w:rPr>
          <w:rFonts w:ascii="宋体"/>
          <w:sz w:val="24"/>
          <w:szCs w:val="24"/>
        </w:rPr>
      </w:pPr>
      <w:r>
        <w:rPr>
          <w:rFonts w:ascii="宋体" w:hAnsi="宋体"/>
          <w:sz w:val="24"/>
          <w:szCs w:val="24"/>
        </w:rPr>
        <w:t>4.2</w:t>
      </w:r>
      <w:r>
        <w:rPr>
          <w:rFonts w:hint="eastAsia" w:ascii="宋体" w:hAnsi="宋体"/>
          <w:sz w:val="24"/>
          <w:szCs w:val="24"/>
        </w:rPr>
        <w:t>审核施工单位提交的《施工组织设计》有关章节、《一般</w:t>
      </w:r>
      <w:r>
        <w:rPr>
          <w:rFonts w:ascii="宋体" w:hAnsi="宋体"/>
          <w:sz w:val="24"/>
          <w:szCs w:val="24"/>
        </w:rPr>
        <w:t>/</w:t>
      </w:r>
      <w:r>
        <w:rPr>
          <w:rFonts w:hint="eastAsia" w:ascii="宋体" w:hAnsi="宋体"/>
          <w:sz w:val="24"/>
          <w:szCs w:val="24"/>
        </w:rPr>
        <w:t>专项施工方案》、《作业指导书》等，并督促其贯彻执行。</w:t>
      </w:r>
    </w:p>
    <w:p>
      <w:pPr>
        <w:tabs>
          <w:tab w:val="left" w:pos="720"/>
        </w:tabs>
        <w:spacing w:line="360" w:lineRule="auto"/>
        <w:rPr>
          <w:rFonts w:ascii="宋体"/>
          <w:sz w:val="24"/>
          <w:szCs w:val="24"/>
        </w:rPr>
      </w:pPr>
      <w:r>
        <w:rPr>
          <w:rFonts w:ascii="宋体" w:hAnsi="宋体"/>
          <w:sz w:val="24"/>
          <w:szCs w:val="24"/>
        </w:rPr>
        <w:t>4.3</w:t>
      </w:r>
      <w:r>
        <w:rPr>
          <w:rFonts w:hint="eastAsia" w:ascii="宋体" w:hAnsi="宋体"/>
          <w:sz w:val="24"/>
          <w:szCs w:val="24"/>
        </w:rPr>
        <w:t>审定电气专业开工报告。</w:t>
      </w:r>
    </w:p>
    <w:p>
      <w:pPr>
        <w:tabs>
          <w:tab w:val="left" w:pos="720"/>
        </w:tabs>
        <w:spacing w:line="360" w:lineRule="auto"/>
        <w:rPr>
          <w:rFonts w:ascii="宋体"/>
          <w:sz w:val="24"/>
          <w:szCs w:val="24"/>
        </w:rPr>
      </w:pPr>
      <w:r>
        <w:rPr>
          <w:rFonts w:ascii="宋体" w:hAnsi="宋体"/>
          <w:sz w:val="24"/>
          <w:szCs w:val="24"/>
        </w:rPr>
        <w:t>4.4</w:t>
      </w:r>
      <w:r>
        <w:rPr>
          <w:rFonts w:hint="eastAsia" w:ascii="宋体" w:hAnsi="宋体"/>
          <w:sz w:val="24"/>
          <w:szCs w:val="24"/>
        </w:rPr>
        <w:t>审查施工单位的“资质”，特别是施工单位的质量体系和安全管理体系。</w:t>
      </w:r>
    </w:p>
    <w:p>
      <w:pPr>
        <w:tabs>
          <w:tab w:val="left" w:pos="720"/>
        </w:tabs>
        <w:spacing w:line="360" w:lineRule="auto"/>
        <w:rPr>
          <w:rFonts w:ascii="宋体"/>
          <w:sz w:val="24"/>
          <w:szCs w:val="24"/>
        </w:rPr>
      </w:pPr>
      <w:r>
        <w:rPr>
          <w:rFonts w:ascii="宋体" w:hAnsi="宋体"/>
          <w:sz w:val="24"/>
          <w:szCs w:val="24"/>
        </w:rPr>
        <w:t>4.5</w:t>
      </w:r>
      <w:r>
        <w:rPr>
          <w:rFonts w:hint="eastAsia" w:ascii="宋体" w:hAnsi="宋体"/>
          <w:sz w:val="24"/>
          <w:szCs w:val="24"/>
        </w:rPr>
        <w:t>严格按业主与施工承包商合同规定的《验规》、《验标》、《规程》及厂家设计单位的图纸，对施工质量、工期、安全进行认真检查和有效控制。</w:t>
      </w:r>
    </w:p>
    <w:p>
      <w:pPr>
        <w:tabs>
          <w:tab w:val="left" w:pos="720"/>
        </w:tabs>
        <w:spacing w:line="360" w:lineRule="auto"/>
        <w:rPr>
          <w:rFonts w:ascii="宋体"/>
          <w:sz w:val="24"/>
          <w:szCs w:val="24"/>
        </w:rPr>
      </w:pPr>
      <w:r>
        <w:rPr>
          <w:rFonts w:ascii="宋体" w:hAnsi="宋体"/>
          <w:sz w:val="24"/>
          <w:szCs w:val="24"/>
        </w:rPr>
        <w:t>4.6</w:t>
      </w:r>
      <w:r>
        <w:rPr>
          <w:rFonts w:hint="eastAsia" w:ascii="宋体" w:hAnsi="宋体"/>
          <w:sz w:val="24"/>
          <w:szCs w:val="24"/>
        </w:rPr>
        <w:t>审查施工单位报审的《电气专业项目验收划分表》，并在具体实施中进行监督检查。</w:t>
      </w:r>
    </w:p>
    <w:p>
      <w:pPr>
        <w:tabs>
          <w:tab w:val="left" w:pos="720"/>
        </w:tabs>
        <w:spacing w:line="360" w:lineRule="auto"/>
        <w:rPr>
          <w:rFonts w:ascii="宋体"/>
          <w:sz w:val="24"/>
          <w:szCs w:val="24"/>
        </w:rPr>
      </w:pPr>
      <w:r>
        <w:rPr>
          <w:rFonts w:ascii="宋体" w:hAnsi="宋体"/>
          <w:sz w:val="24"/>
          <w:szCs w:val="24"/>
        </w:rPr>
        <w:t>4.7</w:t>
      </w:r>
      <w:r>
        <w:rPr>
          <w:rFonts w:hint="eastAsia" w:ascii="宋体" w:hAnsi="宋体"/>
          <w:sz w:val="24"/>
          <w:szCs w:val="24"/>
        </w:rPr>
        <w:t>核查施工单位的施工质量，对关键工序、隐蔽工程进行旁站，检查分部工程、单位工程和施工技术记录（一、二、三级验收记录），参加阶段性工程和隐蔽工程的质量检验及签证。</w:t>
      </w:r>
    </w:p>
    <w:p>
      <w:pPr>
        <w:tabs>
          <w:tab w:val="left" w:pos="720"/>
        </w:tabs>
        <w:spacing w:line="360" w:lineRule="auto"/>
        <w:rPr>
          <w:rFonts w:ascii="宋体"/>
          <w:sz w:val="24"/>
          <w:szCs w:val="24"/>
        </w:rPr>
      </w:pPr>
      <w:r>
        <w:rPr>
          <w:rFonts w:ascii="宋体" w:hAnsi="宋体"/>
          <w:sz w:val="24"/>
          <w:szCs w:val="24"/>
        </w:rPr>
        <w:t>4.8</w:t>
      </w:r>
      <w:r>
        <w:rPr>
          <w:rFonts w:hint="eastAsia" w:ascii="宋体" w:hAnsi="宋体"/>
          <w:sz w:val="24"/>
          <w:szCs w:val="24"/>
        </w:rPr>
        <w:t>根据本专业监理工程实施情况做好监理日记，协助编制监理月报。</w:t>
      </w:r>
    </w:p>
    <w:p>
      <w:pPr>
        <w:tabs>
          <w:tab w:val="left" w:pos="720"/>
        </w:tabs>
        <w:spacing w:line="360" w:lineRule="auto"/>
        <w:rPr>
          <w:rFonts w:ascii="宋体"/>
          <w:sz w:val="24"/>
          <w:szCs w:val="24"/>
        </w:rPr>
      </w:pPr>
      <w:r>
        <w:rPr>
          <w:rFonts w:ascii="宋体" w:hAnsi="宋体"/>
          <w:sz w:val="24"/>
          <w:szCs w:val="24"/>
        </w:rPr>
        <w:t>4.9</w:t>
      </w:r>
      <w:r>
        <w:rPr>
          <w:rFonts w:hint="eastAsia" w:ascii="宋体" w:hAnsi="宋体"/>
          <w:sz w:val="24"/>
          <w:szCs w:val="24"/>
        </w:rPr>
        <w:t>认真检查进场设备、材料、构配件的原始凭证，出厂质保书、检测报告。认真做好本专业监理资料的收集、汇总及整理。</w:t>
      </w:r>
    </w:p>
    <w:p>
      <w:pPr>
        <w:tabs>
          <w:tab w:val="left" w:pos="720"/>
        </w:tabs>
        <w:spacing w:line="360" w:lineRule="auto"/>
        <w:rPr>
          <w:rFonts w:ascii="宋体"/>
          <w:sz w:val="24"/>
          <w:szCs w:val="24"/>
        </w:rPr>
      </w:pPr>
      <w:r>
        <w:rPr>
          <w:rFonts w:ascii="宋体" w:hAnsi="宋体"/>
          <w:sz w:val="24"/>
          <w:szCs w:val="24"/>
        </w:rPr>
        <w:t>4.10</w:t>
      </w:r>
      <w:r>
        <w:rPr>
          <w:rFonts w:hint="eastAsia" w:ascii="宋体" w:hAnsi="宋体"/>
          <w:sz w:val="24"/>
          <w:szCs w:val="24"/>
        </w:rPr>
        <w:t>对工程质量进行抽检或平行检验，合格时予以验收和签证。</w:t>
      </w:r>
    </w:p>
    <w:p>
      <w:pPr>
        <w:tabs>
          <w:tab w:val="left" w:pos="720"/>
        </w:tabs>
        <w:spacing w:line="360" w:lineRule="auto"/>
        <w:rPr>
          <w:rFonts w:ascii="宋体"/>
          <w:sz w:val="24"/>
          <w:szCs w:val="24"/>
        </w:rPr>
      </w:pPr>
      <w:r>
        <w:rPr>
          <w:rFonts w:ascii="宋体" w:hAnsi="宋体"/>
          <w:sz w:val="24"/>
          <w:szCs w:val="24"/>
        </w:rPr>
        <w:t>4.11</w:t>
      </w:r>
      <w:r>
        <w:rPr>
          <w:rFonts w:hint="eastAsia" w:ascii="宋体" w:hAnsi="宋体"/>
          <w:sz w:val="24"/>
          <w:szCs w:val="24"/>
        </w:rPr>
        <w:t>审核施工单位本专业的工程计量和原始凭证。</w:t>
      </w:r>
    </w:p>
    <w:p>
      <w:pPr>
        <w:tabs>
          <w:tab w:val="left" w:pos="720"/>
        </w:tabs>
        <w:spacing w:line="360" w:lineRule="auto"/>
        <w:rPr>
          <w:rFonts w:ascii="宋体"/>
          <w:sz w:val="24"/>
          <w:szCs w:val="24"/>
        </w:rPr>
      </w:pPr>
      <w:r>
        <w:rPr>
          <w:rFonts w:ascii="宋体" w:hAnsi="宋体"/>
          <w:sz w:val="24"/>
          <w:szCs w:val="24"/>
        </w:rPr>
        <w:t>4.12</w:t>
      </w:r>
      <w:r>
        <w:rPr>
          <w:rFonts w:hint="eastAsia" w:ascii="宋体" w:hAnsi="宋体"/>
          <w:sz w:val="24"/>
          <w:szCs w:val="24"/>
        </w:rPr>
        <w:t>参与工程建设中重大技术质量、安全事故和处理。</w:t>
      </w:r>
    </w:p>
    <w:p>
      <w:pPr>
        <w:tabs>
          <w:tab w:val="left" w:pos="720"/>
        </w:tabs>
        <w:spacing w:line="360" w:lineRule="auto"/>
        <w:rPr>
          <w:rFonts w:ascii="宋体"/>
          <w:sz w:val="24"/>
          <w:szCs w:val="24"/>
        </w:rPr>
      </w:pPr>
      <w:r>
        <w:rPr>
          <w:rFonts w:ascii="宋体" w:hAnsi="宋体"/>
          <w:sz w:val="24"/>
          <w:szCs w:val="24"/>
        </w:rPr>
        <w:t>4.13</w:t>
      </w:r>
      <w:r>
        <w:rPr>
          <w:rFonts w:hint="eastAsia" w:ascii="宋体" w:hAnsi="宋体"/>
          <w:sz w:val="24"/>
          <w:szCs w:val="24"/>
        </w:rPr>
        <w:t>完成总监（代表）临时交办的工作。</w:t>
      </w:r>
      <w:bookmarkStart w:id="11" w:name="_Toc318380210"/>
    </w:p>
    <w:p>
      <w:pPr>
        <w:pStyle w:val="3"/>
      </w:pPr>
      <w:bookmarkStart w:id="12" w:name="_Toc12100593"/>
      <w:r>
        <w:t>5</w:t>
      </w:r>
      <w:r>
        <w:rPr>
          <w:rFonts w:hint="eastAsia"/>
        </w:rPr>
        <w:t>电气监理的质量控制</w:t>
      </w:r>
      <w:bookmarkEnd w:id="11"/>
      <w:bookmarkEnd w:id="12"/>
    </w:p>
    <w:p>
      <w:pPr>
        <w:tabs>
          <w:tab w:val="left" w:pos="0"/>
          <w:tab w:val="left" w:pos="1080"/>
        </w:tabs>
        <w:spacing w:line="360" w:lineRule="auto"/>
        <w:rPr>
          <w:rFonts w:ascii="宋体"/>
          <w:sz w:val="24"/>
          <w:szCs w:val="24"/>
        </w:rPr>
      </w:pPr>
      <w:r>
        <w:rPr>
          <w:rFonts w:ascii="宋体" w:hAnsi="宋体"/>
          <w:sz w:val="24"/>
          <w:szCs w:val="24"/>
        </w:rPr>
        <w:t>5.1</w:t>
      </w:r>
      <w:r>
        <w:rPr>
          <w:rFonts w:hint="eastAsia" w:ascii="宋体" w:hAnsi="宋体"/>
          <w:sz w:val="24"/>
          <w:szCs w:val="24"/>
        </w:rPr>
        <w:t>方阵支架安装验收。</w:t>
      </w:r>
    </w:p>
    <w:p>
      <w:pPr>
        <w:tabs>
          <w:tab w:val="left" w:pos="0"/>
          <w:tab w:val="left" w:pos="1080"/>
        </w:tabs>
        <w:spacing w:line="360" w:lineRule="auto"/>
        <w:rPr>
          <w:rFonts w:ascii="宋体"/>
          <w:sz w:val="24"/>
          <w:szCs w:val="24"/>
        </w:rPr>
      </w:pPr>
      <w:r>
        <w:rPr>
          <w:rFonts w:ascii="宋体" w:hAnsi="宋体"/>
          <w:sz w:val="24"/>
          <w:szCs w:val="24"/>
        </w:rPr>
        <w:t>5.2</w:t>
      </w:r>
      <w:r>
        <w:rPr>
          <w:rFonts w:hint="eastAsia" w:ascii="宋体" w:hAnsi="宋体"/>
          <w:sz w:val="24"/>
          <w:szCs w:val="24"/>
        </w:rPr>
        <w:t>电气设备基础验收。</w:t>
      </w:r>
    </w:p>
    <w:p>
      <w:pPr>
        <w:tabs>
          <w:tab w:val="left" w:pos="0"/>
          <w:tab w:val="left" w:pos="1080"/>
        </w:tabs>
        <w:spacing w:line="360" w:lineRule="auto"/>
        <w:rPr>
          <w:rFonts w:ascii="宋体"/>
          <w:sz w:val="24"/>
          <w:szCs w:val="24"/>
        </w:rPr>
      </w:pPr>
      <w:bookmarkStart w:id="13" w:name="_Toc11428"/>
      <w:bookmarkStart w:id="14" w:name="_Toc19841"/>
      <w:bookmarkStart w:id="15" w:name="_Toc24212"/>
      <w:r>
        <w:rPr>
          <w:rFonts w:ascii="宋体" w:hAnsi="宋体"/>
          <w:sz w:val="24"/>
          <w:szCs w:val="24"/>
        </w:rPr>
        <w:t>5</w:t>
      </w:r>
      <w:r>
        <w:rPr>
          <w:rFonts w:ascii="宋体"/>
          <w:sz w:val="24"/>
          <w:szCs w:val="24"/>
        </w:rPr>
        <w:t>.</w:t>
      </w:r>
      <w:r>
        <w:rPr>
          <w:rFonts w:ascii="宋体" w:hAnsi="宋体"/>
          <w:sz w:val="24"/>
          <w:szCs w:val="24"/>
        </w:rPr>
        <w:t>3</w:t>
      </w:r>
      <w:r>
        <w:rPr>
          <w:rFonts w:hint="eastAsia" w:ascii="宋体" w:hAnsi="宋体"/>
          <w:sz w:val="24"/>
          <w:szCs w:val="24"/>
        </w:rPr>
        <w:t>组件安装</w:t>
      </w:r>
      <w:bookmarkEnd w:id="13"/>
      <w:bookmarkEnd w:id="14"/>
      <w:bookmarkEnd w:id="15"/>
      <w:r>
        <w:rPr>
          <w:rFonts w:hint="eastAsia" w:ascii="宋体" w:hAnsi="宋体"/>
          <w:sz w:val="24"/>
          <w:szCs w:val="24"/>
        </w:rPr>
        <w:t>质量控制</w:t>
      </w:r>
    </w:p>
    <w:p>
      <w:pPr>
        <w:tabs>
          <w:tab w:val="left" w:pos="0"/>
          <w:tab w:val="left" w:pos="1080"/>
        </w:tabs>
        <w:spacing w:line="360" w:lineRule="auto"/>
        <w:rPr>
          <w:rFonts w:hint="eastAsia" w:ascii="宋体" w:eastAsia="宋体"/>
          <w:sz w:val="24"/>
          <w:szCs w:val="24"/>
          <w:lang w:eastAsia="zh-CN"/>
        </w:rPr>
      </w:pPr>
      <w:r>
        <w:rPr>
          <w:rFonts w:ascii="宋体" w:hAnsi="宋体"/>
          <w:sz w:val="24"/>
          <w:szCs w:val="24"/>
        </w:rPr>
        <w:t>5.3.1</w:t>
      </w:r>
      <w:r>
        <w:rPr>
          <w:rFonts w:hint="eastAsia" w:ascii="宋体" w:hAnsi="宋体"/>
          <w:sz w:val="24"/>
          <w:szCs w:val="24"/>
        </w:rPr>
        <w:t>安装工艺流程：</w:t>
      </w:r>
      <w:r>
        <w:rPr>
          <w:rFonts w:hint="eastAsia" w:ascii="宋体" w:hAnsi="宋体"/>
          <w:sz w:val="24"/>
          <w:szCs w:val="24"/>
          <w:lang w:val="en-US" w:eastAsia="zh-CN"/>
        </w:rPr>
        <w:t>支架基础预制完成吊装屋面-排放完成-支架安装-</w:t>
      </w:r>
      <w:r>
        <w:rPr>
          <w:rFonts w:hint="eastAsia" w:ascii="宋体" w:hAnsi="宋体"/>
          <w:sz w:val="24"/>
          <w:szCs w:val="24"/>
        </w:rPr>
        <w:t>组件运至施工现场</w:t>
      </w:r>
      <w:r>
        <w:rPr>
          <w:rFonts w:ascii="宋体" w:hAnsi="宋体"/>
          <w:sz w:val="24"/>
          <w:szCs w:val="24"/>
        </w:rPr>
        <w:t xml:space="preserve">       </w:t>
      </w:r>
      <w:r>
        <w:rPr>
          <w:rFonts w:hint="eastAsia" w:ascii="宋体" w:hAnsi="宋体"/>
          <w:sz w:val="24"/>
          <w:szCs w:val="24"/>
        </w:rPr>
        <w:t>组件调平</w:t>
      </w:r>
      <w:r>
        <w:rPr>
          <w:rFonts w:hint="eastAsia" w:ascii="宋体" w:hAnsi="宋体"/>
          <w:sz w:val="24"/>
          <w:szCs w:val="24"/>
          <w:lang w:val="en-US" w:eastAsia="zh-CN"/>
        </w:rPr>
        <w:t>-</w:t>
      </w:r>
      <w:r>
        <w:rPr>
          <w:rFonts w:hint="eastAsia" w:ascii="宋体" w:hAnsi="宋体"/>
          <w:sz w:val="24"/>
          <w:szCs w:val="24"/>
        </w:rPr>
        <w:t>组件螺栓复紧</w:t>
      </w:r>
      <w:r>
        <w:rPr>
          <w:rFonts w:hint="eastAsia" w:ascii="宋体" w:hAnsi="宋体"/>
          <w:sz w:val="24"/>
          <w:szCs w:val="24"/>
          <w:lang w:eastAsia="zh-CN"/>
        </w:rPr>
        <w:t>。</w:t>
      </w:r>
    </w:p>
    <w:p>
      <w:pPr>
        <w:tabs>
          <w:tab w:val="left" w:pos="0"/>
          <w:tab w:val="left" w:pos="1080"/>
        </w:tabs>
        <w:spacing w:line="360" w:lineRule="auto"/>
        <w:rPr>
          <w:rFonts w:ascii="宋体"/>
          <w:sz w:val="24"/>
          <w:szCs w:val="24"/>
        </w:rPr>
      </w:pPr>
      <w:r>
        <w:rPr>
          <w:rFonts w:ascii="宋体" w:hAnsi="宋体"/>
          <w:sz w:val="24"/>
          <w:szCs w:val="24"/>
        </w:rPr>
        <w:t>5.3.2</w:t>
      </w:r>
      <w:r>
        <w:rPr>
          <w:rFonts w:hint="eastAsia" w:ascii="宋体" w:hAnsi="宋体"/>
          <w:sz w:val="24"/>
          <w:szCs w:val="24"/>
        </w:rPr>
        <w:t>组件在存放、搬运、吊装等过程中不得碰撞受损。光伏组件吊装时，其底部要衬垫木，背板面不得受到任何碰撞和重压</w:t>
      </w:r>
      <w:r>
        <w:rPr>
          <w:rFonts w:ascii="宋体"/>
          <w:sz w:val="24"/>
          <w:szCs w:val="24"/>
        </w:rPr>
        <w:t>,</w:t>
      </w:r>
      <w:r>
        <w:rPr>
          <w:rFonts w:hint="eastAsia" w:ascii="宋体" w:hAnsi="宋体"/>
          <w:sz w:val="24"/>
          <w:szCs w:val="24"/>
        </w:rPr>
        <w:t>严禁踩踏和挤压组件。</w:t>
      </w:r>
    </w:p>
    <w:p>
      <w:pPr>
        <w:tabs>
          <w:tab w:val="left" w:pos="0"/>
          <w:tab w:val="left" w:pos="1080"/>
        </w:tabs>
        <w:spacing w:line="360" w:lineRule="auto"/>
        <w:rPr>
          <w:rFonts w:ascii="宋体"/>
          <w:sz w:val="24"/>
          <w:szCs w:val="24"/>
        </w:rPr>
      </w:pPr>
      <w:r>
        <w:rPr>
          <w:rFonts w:ascii="宋体" w:hAnsi="宋体"/>
          <w:sz w:val="24"/>
          <w:szCs w:val="24"/>
        </w:rPr>
        <w:t>5.3.3</w:t>
      </w:r>
      <w:r>
        <w:rPr>
          <w:rFonts w:hint="eastAsia" w:ascii="宋体" w:hAnsi="宋体"/>
          <w:sz w:val="24"/>
          <w:szCs w:val="24"/>
        </w:rPr>
        <w:t>光伏组件横向间隙和纵向间隙满足设计要求，相邻组件间高低差小于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5.3.4</w:t>
      </w:r>
      <w:r>
        <w:rPr>
          <w:rFonts w:hint="eastAsia" w:ascii="宋体" w:hAnsi="宋体"/>
          <w:sz w:val="24"/>
          <w:szCs w:val="24"/>
        </w:rPr>
        <w:t>光伏组件在安装时表面应铺有效遮光物，防止电击危险。光伏组件的输出电缆不得发生短路。</w:t>
      </w:r>
    </w:p>
    <w:p>
      <w:pPr>
        <w:tabs>
          <w:tab w:val="left" w:pos="0"/>
          <w:tab w:val="left" w:pos="1080"/>
        </w:tabs>
        <w:spacing w:line="360" w:lineRule="auto"/>
        <w:rPr>
          <w:rFonts w:ascii="宋体"/>
          <w:sz w:val="24"/>
          <w:szCs w:val="24"/>
        </w:rPr>
      </w:pPr>
      <w:r>
        <w:rPr>
          <w:rFonts w:ascii="宋体" w:hAnsi="宋体"/>
          <w:sz w:val="24"/>
          <w:szCs w:val="24"/>
        </w:rPr>
        <w:t>5.3.5</w:t>
      </w:r>
      <w:r>
        <w:rPr>
          <w:rFonts w:hint="eastAsia" w:ascii="宋体" w:hAnsi="宋体"/>
          <w:sz w:val="24"/>
          <w:szCs w:val="24"/>
        </w:rPr>
        <w:t>光伏组件与</w:t>
      </w:r>
      <w:r>
        <w:rPr>
          <w:rFonts w:ascii="宋体" w:hAnsi="宋体"/>
          <w:sz w:val="24"/>
          <w:szCs w:val="24"/>
        </w:rPr>
        <w:t>C</w:t>
      </w:r>
      <w:r>
        <w:rPr>
          <w:rFonts w:hint="eastAsia" w:ascii="宋体" w:hAnsi="宋体"/>
          <w:sz w:val="24"/>
          <w:szCs w:val="24"/>
        </w:rPr>
        <w:t>型钢接触面不吻合时，应用金属片调整垫平，方可紧固，严禁强行压紧。</w:t>
      </w:r>
    </w:p>
    <w:p>
      <w:pPr>
        <w:tabs>
          <w:tab w:val="left" w:pos="0"/>
          <w:tab w:val="left" w:pos="1080"/>
        </w:tabs>
        <w:spacing w:line="360" w:lineRule="auto"/>
        <w:rPr>
          <w:rFonts w:ascii="宋体"/>
          <w:sz w:val="24"/>
          <w:szCs w:val="24"/>
        </w:rPr>
      </w:pPr>
      <w:r>
        <w:rPr>
          <w:rFonts w:ascii="宋体" w:hAnsi="宋体"/>
          <w:sz w:val="24"/>
          <w:szCs w:val="24"/>
        </w:rPr>
        <w:t>5.3.6</w:t>
      </w:r>
      <w:r>
        <w:rPr>
          <w:rFonts w:hint="eastAsia" w:ascii="宋体" w:hAnsi="宋体"/>
          <w:sz w:val="24"/>
          <w:szCs w:val="24"/>
        </w:rPr>
        <w:t>连接完成或部分连接完成的光伏组件，遇有光伏组件破裂的情况应及时设置限制接近的措施，并由专业人员处置。</w:t>
      </w:r>
    </w:p>
    <w:p>
      <w:pPr>
        <w:tabs>
          <w:tab w:val="left" w:pos="0"/>
          <w:tab w:val="left" w:pos="1080"/>
        </w:tabs>
        <w:spacing w:line="360" w:lineRule="auto"/>
        <w:rPr>
          <w:rFonts w:ascii="宋体"/>
          <w:sz w:val="24"/>
          <w:szCs w:val="24"/>
        </w:rPr>
      </w:pPr>
      <w:r>
        <w:rPr>
          <w:rFonts w:ascii="宋体" w:hAnsi="宋体"/>
          <w:sz w:val="24"/>
          <w:szCs w:val="24"/>
        </w:rPr>
        <w:t>5.3.7</w:t>
      </w:r>
      <w:r>
        <w:rPr>
          <w:rFonts w:hint="eastAsia" w:ascii="宋体" w:hAnsi="宋体"/>
          <w:sz w:val="24"/>
          <w:szCs w:val="24"/>
        </w:rPr>
        <w:t>接通光伏组件电路后，应注意热斑效应的影响，不得局部遮挡光伏组件。</w:t>
      </w:r>
    </w:p>
    <w:p>
      <w:pPr>
        <w:tabs>
          <w:tab w:val="left" w:pos="0"/>
          <w:tab w:val="left" w:pos="1080"/>
        </w:tabs>
        <w:spacing w:line="360" w:lineRule="auto"/>
        <w:rPr>
          <w:rFonts w:hint="default" w:ascii="宋体" w:eastAsia="宋体"/>
          <w:sz w:val="24"/>
          <w:szCs w:val="24"/>
          <w:lang w:val="en-US" w:eastAsia="zh-CN"/>
        </w:rPr>
      </w:pPr>
      <w:r>
        <w:rPr>
          <w:rFonts w:ascii="宋体" w:hAnsi="宋体"/>
          <w:sz w:val="24"/>
          <w:szCs w:val="24"/>
        </w:rPr>
        <w:t xml:space="preserve">5.3.8 </w:t>
      </w:r>
      <w:r>
        <w:rPr>
          <w:rFonts w:hint="eastAsia" w:ascii="宋体" w:hAnsi="宋体"/>
          <w:sz w:val="24"/>
          <w:szCs w:val="24"/>
        </w:rPr>
        <w:t>光伏组件：</w:t>
      </w:r>
      <w:r>
        <w:rPr>
          <w:rFonts w:hint="eastAsia" w:ascii="宋体" w:hAnsi="宋体"/>
          <w:sz w:val="24"/>
          <w:szCs w:val="24"/>
          <w:lang w:val="en-US" w:eastAsia="zh-CN"/>
        </w:rPr>
        <w:t>580WP高效组件。</w:t>
      </w:r>
      <w:bookmarkStart w:id="52" w:name="_GoBack"/>
      <w:bookmarkEnd w:id="52"/>
    </w:p>
    <w:p>
      <w:pPr>
        <w:tabs>
          <w:tab w:val="left" w:pos="0"/>
          <w:tab w:val="left" w:pos="1080"/>
        </w:tabs>
        <w:spacing w:line="360" w:lineRule="auto"/>
        <w:rPr>
          <w:rFonts w:ascii="宋体"/>
          <w:sz w:val="24"/>
          <w:szCs w:val="24"/>
        </w:rPr>
      </w:pPr>
      <w:bookmarkStart w:id="16" w:name="_Toc23303"/>
      <w:bookmarkStart w:id="17" w:name="_Toc19083"/>
      <w:bookmarkStart w:id="18" w:name="_Toc18760"/>
      <w:bookmarkStart w:id="19" w:name="_Toc16095"/>
      <w:bookmarkStart w:id="20" w:name="_Toc6451"/>
      <w:bookmarkStart w:id="21" w:name="_Toc557"/>
      <w:bookmarkStart w:id="22" w:name="_Toc3378"/>
      <w:bookmarkStart w:id="23" w:name="_Toc12142"/>
      <w:bookmarkStart w:id="24" w:name="_Toc24822"/>
      <w:bookmarkStart w:id="25" w:name="_Toc31821"/>
      <w:bookmarkStart w:id="26" w:name="_Toc22529"/>
      <w:bookmarkStart w:id="27" w:name="_Toc6916"/>
      <w:bookmarkStart w:id="28" w:name="_Toc8378"/>
      <w:bookmarkStart w:id="29" w:name="_Toc32162"/>
      <w:r>
        <w:rPr>
          <w:rFonts w:ascii="宋体" w:hAnsi="宋体"/>
          <w:sz w:val="24"/>
          <w:szCs w:val="24"/>
        </w:rPr>
        <w:t xml:space="preserve">5.4 </w:t>
      </w:r>
      <w:r>
        <w:rPr>
          <w:rFonts w:hint="eastAsia" w:ascii="宋体" w:hAnsi="宋体"/>
          <w:sz w:val="24"/>
          <w:szCs w:val="24"/>
        </w:rPr>
        <w:t>电缆</w:t>
      </w:r>
      <w:bookmarkEnd w:id="16"/>
      <w:bookmarkEnd w:id="17"/>
      <w:bookmarkEnd w:id="18"/>
      <w:bookmarkEnd w:id="19"/>
      <w:bookmarkEnd w:id="20"/>
      <w:bookmarkEnd w:id="21"/>
      <w:bookmarkEnd w:id="22"/>
      <w:bookmarkEnd w:id="23"/>
      <w:r>
        <w:rPr>
          <w:rFonts w:hint="eastAsia" w:ascii="宋体" w:hAnsi="宋体"/>
          <w:sz w:val="24"/>
          <w:szCs w:val="24"/>
        </w:rPr>
        <w:t>施工质量控制</w:t>
      </w:r>
    </w:p>
    <w:p>
      <w:pPr>
        <w:tabs>
          <w:tab w:val="left" w:pos="0"/>
          <w:tab w:val="left" w:pos="1080"/>
        </w:tabs>
        <w:spacing w:line="360" w:lineRule="auto"/>
        <w:rPr>
          <w:rFonts w:ascii="宋体"/>
          <w:sz w:val="24"/>
          <w:szCs w:val="24"/>
        </w:rPr>
      </w:pPr>
      <w:r>
        <w:rPr>
          <w:rFonts w:ascii="宋体" w:hAnsi="宋体"/>
          <w:sz w:val="24"/>
          <w:szCs w:val="24"/>
        </w:rPr>
        <w:t>5.4.1</w:t>
      </w:r>
      <w:r>
        <w:rPr>
          <w:rFonts w:hint="eastAsia" w:ascii="宋体" w:hAnsi="宋体"/>
          <w:sz w:val="24"/>
          <w:szCs w:val="24"/>
        </w:rPr>
        <w:t>电缆桥架安装</w:t>
      </w:r>
    </w:p>
    <w:p>
      <w:pPr>
        <w:tabs>
          <w:tab w:val="left" w:pos="0"/>
          <w:tab w:val="left" w:pos="1080"/>
        </w:tabs>
        <w:spacing w:line="360" w:lineRule="auto"/>
        <w:rPr>
          <w:rFonts w:ascii="宋体"/>
          <w:sz w:val="24"/>
          <w:szCs w:val="24"/>
        </w:rPr>
      </w:pPr>
      <w:r>
        <w:rPr>
          <w:rFonts w:ascii="宋体" w:hAnsi="宋体"/>
          <w:sz w:val="24"/>
          <w:szCs w:val="24"/>
        </w:rPr>
        <w:t>5.4.1.1</w:t>
      </w:r>
      <w:r>
        <w:rPr>
          <w:rFonts w:hint="eastAsia" w:ascii="宋体" w:hAnsi="宋体"/>
          <w:sz w:val="24"/>
          <w:szCs w:val="24"/>
        </w:rPr>
        <w:t>电缆桥架安装前</w:t>
      </w:r>
      <w:r>
        <w:rPr>
          <w:rFonts w:ascii="宋体"/>
          <w:sz w:val="24"/>
          <w:szCs w:val="24"/>
        </w:rPr>
        <w:t>,</w:t>
      </w:r>
      <w:r>
        <w:rPr>
          <w:rFonts w:hint="eastAsia" w:ascii="宋体" w:hAnsi="宋体"/>
          <w:sz w:val="24"/>
          <w:szCs w:val="24"/>
        </w:rPr>
        <w:t>应详细核对电缆桥架的型号、数量是否符合设计要求。检查有无变形，如有变形应做校正处理。桥架安装前应按照图纸要求距离摆放到位。</w:t>
      </w:r>
    </w:p>
    <w:p>
      <w:pPr>
        <w:tabs>
          <w:tab w:val="left" w:pos="0"/>
          <w:tab w:val="left" w:pos="1080"/>
        </w:tabs>
        <w:spacing w:line="360" w:lineRule="auto"/>
        <w:rPr>
          <w:rFonts w:ascii="宋体"/>
          <w:sz w:val="24"/>
          <w:szCs w:val="24"/>
        </w:rPr>
      </w:pPr>
      <w:r>
        <w:rPr>
          <w:rFonts w:ascii="宋体" w:hAnsi="宋体"/>
          <w:sz w:val="24"/>
          <w:szCs w:val="24"/>
        </w:rPr>
        <w:t>5.4.1.2</w:t>
      </w:r>
      <w:r>
        <w:rPr>
          <w:rFonts w:hint="eastAsia" w:ascii="宋体" w:hAnsi="宋体"/>
          <w:sz w:val="24"/>
          <w:szCs w:val="24"/>
        </w:rPr>
        <w:t>按照设计长度、高度、走向将基础槽钢焊接或用螺栓固定在预埋件上，然后连接直线段两端电缆桥架支吊架，使用水平尺检测支吊架的水平度及垂直度，合格后焊接或固定牢固。</w:t>
      </w:r>
    </w:p>
    <w:p>
      <w:pPr>
        <w:tabs>
          <w:tab w:val="left" w:pos="0"/>
          <w:tab w:val="left" w:pos="1080"/>
        </w:tabs>
        <w:spacing w:line="360" w:lineRule="auto"/>
        <w:rPr>
          <w:rFonts w:ascii="宋体"/>
          <w:sz w:val="24"/>
          <w:szCs w:val="24"/>
        </w:rPr>
      </w:pPr>
      <w:r>
        <w:rPr>
          <w:rFonts w:ascii="宋体" w:hAnsi="宋体"/>
          <w:sz w:val="24"/>
          <w:szCs w:val="24"/>
        </w:rPr>
        <w:t>5.4.1.3</w:t>
      </w:r>
      <w:r>
        <w:rPr>
          <w:rFonts w:hint="eastAsia" w:ascii="宋体" w:hAnsi="宋体"/>
          <w:sz w:val="24"/>
          <w:szCs w:val="24"/>
        </w:rPr>
        <w:t>在两端电缆桥架支吊架的上下两平面挂好粉线，以其两点为标准点进行中间电缆桥架支吊架的安装。</w:t>
      </w:r>
    </w:p>
    <w:p>
      <w:pPr>
        <w:tabs>
          <w:tab w:val="left" w:pos="0"/>
          <w:tab w:val="left" w:pos="1080"/>
        </w:tabs>
        <w:spacing w:line="360" w:lineRule="auto"/>
        <w:rPr>
          <w:rFonts w:ascii="宋体"/>
          <w:sz w:val="24"/>
          <w:szCs w:val="24"/>
        </w:rPr>
      </w:pPr>
      <w:r>
        <w:rPr>
          <w:rFonts w:ascii="宋体" w:hAnsi="宋体"/>
          <w:sz w:val="24"/>
          <w:szCs w:val="24"/>
        </w:rPr>
        <w:t>5.4.1.4</w:t>
      </w:r>
      <w:r>
        <w:rPr>
          <w:rFonts w:hint="eastAsia" w:ascii="宋体" w:hAnsi="宋体"/>
          <w:sz w:val="24"/>
          <w:szCs w:val="24"/>
        </w:rPr>
        <w:t>按照设计将梯形、槽式电缆桥架放置在支吊架上，接口处用连板连接，连接螺栓紧固。转弯处使用弯通、三通、四通进行连接。</w:t>
      </w:r>
    </w:p>
    <w:p>
      <w:pPr>
        <w:tabs>
          <w:tab w:val="left" w:pos="0"/>
          <w:tab w:val="left" w:pos="1080"/>
        </w:tabs>
        <w:spacing w:line="360" w:lineRule="auto"/>
        <w:rPr>
          <w:rFonts w:ascii="宋体"/>
          <w:sz w:val="24"/>
          <w:szCs w:val="24"/>
        </w:rPr>
      </w:pPr>
      <w:r>
        <w:rPr>
          <w:rFonts w:ascii="宋体" w:hAnsi="宋体"/>
          <w:sz w:val="24"/>
          <w:szCs w:val="24"/>
        </w:rPr>
        <w:t>5.4.1.5</w:t>
      </w:r>
      <w:r>
        <w:rPr>
          <w:rFonts w:hint="eastAsia" w:ascii="宋体" w:hAnsi="宋体"/>
          <w:sz w:val="24"/>
          <w:szCs w:val="24"/>
        </w:rPr>
        <w:t>其它直线段电缆桥架支吊架以此方法焊接，保证同一设计标高的各层支吊架高度一致。电缆桥架连接完毕后进行桥架接地线的焊接。对所有焊接部位进行防腐处理。</w:t>
      </w:r>
    </w:p>
    <w:p>
      <w:pPr>
        <w:tabs>
          <w:tab w:val="left" w:pos="0"/>
          <w:tab w:val="left" w:pos="1080"/>
        </w:tabs>
        <w:spacing w:line="360" w:lineRule="auto"/>
        <w:rPr>
          <w:rFonts w:ascii="宋体"/>
          <w:sz w:val="24"/>
          <w:szCs w:val="24"/>
        </w:rPr>
      </w:pPr>
      <w:r>
        <w:rPr>
          <w:rFonts w:ascii="宋体" w:hAnsi="宋体"/>
          <w:sz w:val="24"/>
          <w:szCs w:val="24"/>
        </w:rPr>
        <w:t>5.4.2</w:t>
      </w:r>
      <w:r>
        <w:rPr>
          <w:rFonts w:hint="eastAsia" w:ascii="宋体" w:hAnsi="宋体"/>
          <w:sz w:val="24"/>
          <w:szCs w:val="24"/>
        </w:rPr>
        <w:t>电缆管安装</w:t>
      </w:r>
    </w:p>
    <w:p>
      <w:pPr>
        <w:tabs>
          <w:tab w:val="left" w:pos="0"/>
          <w:tab w:val="left" w:pos="600"/>
        </w:tabs>
        <w:spacing w:line="360" w:lineRule="auto"/>
        <w:rPr>
          <w:rFonts w:ascii="宋体"/>
          <w:sz w:val="24"/>
          <w:szCs w:val="24"/>
        </w:rPr>
      </w:pPr>
      <w:r>
        <w:rPr>
          <w:rFonts w:ascii="宋体" w:hAnsi="宋体"/>
          <w:sz w:val="24"/>
          <w:szCs w:val="24"/>
        </w:rPr>
        <w:t>5.4.2.1</w:t>
      </w:r>
      <w:r>
        <w:rPr>
          <w:rFonts w:hint="eastAsia" w:ascii="宋体" w:hAnsi="宋体"/>
          <w:sz w:val="24"/>
          <w:szCs w:val="24"/>
        </w:rPr>
        <w:t>按照设计要求切割电缆管，切割后的电缆管，应用锉刀把管口打磨干净，管口应无毛刺和尖锐棱角。</w:t>
      </w:r>
    </w:p>
    <w:p>
      <w:pPr>
        <w:tabs>
          <w:tab w:val="left" w:pos="0"/>
          <w:tab w:val="left" w:pos="1080"/>
        </w:tabs>
        <w:spacing w:line="360" w:lineRule="auto"/>
        <w:rPr>
          <w:rFonts w:ascii="宋体"/>
          <w:sz w:val="24"/>
          <w:szCs w:val="24"/>
        </w:rPr>
      </w:pPr>
      <w:r>
        <w:rPr>
          <w:rFonts w:ascii="宋体" w:hAnsi="宋体"/>
          <w:sz w:val="24"/>
          <w:szCs w:val="24"/>
        </w:rPr>
        <w:t>5.4.2.2</w:t>
      </w:r>
      <w:r>
        <w:rPr>
          <w:rFonts w:hint="eastAsia" w:ascii="宋体" w:hAnsi="宋体"/>
          <w:sz w:val="24"/>
          <w:szCs w:val="24"/>
        </w:rPr>
        <w:t>管材弯制前需按图量好尺寸，然后进行弯制。管材的弯曲半径不应小于管外径的</w:t>
      </w:r>
      <w:r>
        <w:rPr>
          <w:rFonts w:ascii="宋体" w:hAnsi="宋体"/>
          <w:sz w:val="24"/>
          <w:szCs w:val="24"/>
        </w:rPr>
        <w:t>6</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5.4.2.3</w:t>
      </w:r>
      <w:r>
        <w:rPr>
          <w:rFonts w:hint="eastAsia" w:ascii="宋体" w:hAnsi="宋体"/>
          <w:sz w:val="24"/>
          <w:szCs w:val="24"/>
        </w:rPr>
        <w:t>将弯制好的电缆管与直管或弯管按照施工图纸连接好。电缆管连接应牢固，密封应良好。套接的套管长度应大于电缆管外径的</w:t>
      </w:r>
      <w:r>
        <w:rPr>
          <w:rFonts w:ascii="宋体" w:hAnsi="宋体"/>
          <w:sz w:val="24"/>
          <w:szCs w:val="24"/>
        </w:rPr>
        <w:t>2.2</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5.4.2.4</w:t>
      </w:r>
      <w:r>
        <w:rPr>
          <w:rFonts w:hint="eastAsia" w:ascii="宋体" w:hAnsi="宋体"/>
          <w:sz w:val="24"/>
          <w:szCs w:val="24"/>
        </w:rPr>
        <w:t>按照设计位置，电缆管固定牢固。电缆管应横平竖直，间距均匀一致，排管排列整齐，弯管弯度一致，固定牢固，附件齐全，接地可靠。</w:t>
      </w:r>
    </w:p>
    <w:p>
      <w:pPr>
        <w:tabs>
          <w:tab w:val="left" w:pos="0"/>
          <w:tab w:val="left" w:pos="1080"/>
        </w:tabs>
        <w:spacing w:line="360" w:lineRule="auto"/>
        <w:rPr>
          <w:rFonts w:ascii="宋体"/>
          <w:sz w:val="24"/>
          <w:szCs w:val="24"/>
        </w:rPr>
      </w:pPr>
      <w:r>
        <w:rPr>
          <w:rFonts w:ascii="宋体" w:hAnsi="宋体"/>
          <w:sz w:val="24"/>
          <w:szCs w:val="24"/>
        </w:rPr>
        <w:t>5.4.2.5</w:t>
      </w:r>
      <w:r>
        <w:rPr>
          <w:rFonts w:hint="eastAsia" w:ascii="宋体" w:hAnsi="宋体"/>
          <w:sz w:val="24"/>
          <w:szCs w:val="24"/>
        </w:rPr>
        <w:t>敷设完毕的电缆管，管口应密封好，防止掉进杂物堵塞电缆管。</w:t>
      </w:r>
    </w:p>
    <w:p>
      <w:pPr>
        <w:tabs>
          <w:tab w:val="left" w:pos="0"/>
          <w:tab w:val="left" w:pos="600"/>
        </w:tabs>
        <w:spacing w:line="360" w:lineRule="auto"/>
        <w:rPr>
          <w:rFonts w:ascii="宋体"/>
          <w:sz w:val="24"/>
          <w:szCs w:val="24"/>
        </w:rPr>
      </w:pPr>
      <w:r>
        <w:rPr>
          <w:rFonts w:ascii="宋体" w:hAnsi="宋体"/>
          <w:sz w:val="24"/>
          <w:szCs w:val="24"/>
        </w:rPr>
        <w:t>5.4.3</w:t>
      </w:r>
      <w:r>
        <w:rPr>
          <w:rFonts w:hint="eastAsia" w:ascii="宋体" w:hAnsi="宋体"/>
          <w:sz w:val="24"/>
          <w:szCs w:val="24"/>
        </w:rPr>
        <w:t>电缆敷设</w:t>
      </w:r>
    </w:p>
    <w:p>
      <w:pPr>
        <w:tabs>
          <w:tab w:val="left" w:pos="0"/>
          <w:tab w:val="left" w:pos="1080"/>
        </w:tabs>
        <w:spacing w:line="360" w:lineRule="auto"/>
        <w:rPr>
          <w:rFonts w:ascii="宋体"/>
          <w:sz w:val="24"/>
          <w:szCs w:val="24"/>
        </w:rPr>
      </w:pPr>
      <w:r>
        <w:rPr>
          <w:rFonts w:ascii="宋体" w:hAnsi="宋体"/>
          <w:sz w:val="24"/>
          <w:szCs w:val="24"/>
        </w:rPr>
        <w:t>5.4.3.1</w:t>
      </w:r>
      <w:r>
        <w:rPr>
          <w:rFonts w:hint="eastAsia" w:ascii="宋体" w:hAnsi="宋体"/>
          <w:sz w:val="24"/>
          <w:szCs w:val="24"/>
        </w:rPr>
        <w:t>电缆盘应提前运至现场。应详细核对电缆的型号、数量是否符合设计要求。电缆外观应无损伤，绝缘良好。当对电缆的密封有怀疑时，应进行潮湿判断。</w:t>
      </w:r>
    </w:p>
    <w:p>
      <w:pPr>
        <w:tabs>
          <w:tab w:val="left" w:pos="0"/>
          <w:tab w:val="left" w:pos="600"/>
        </w:tabs>
        <w:spacing w:line="360" w:lineRule="auto"/>
        <w:rPr>
          <w:rFonts w:ascii="宋体"/>
          <w:sz w:val="24"/>
          <w:szCs w:val="24"/>
        </w:rPr>
      </w:pPr>
      <w:r>
        <w:rPr>
          <w:rFonts w:ascii="宋体" w:hAnsi="宋体"/>
          <w:sz w:val="24"/>
          <w:szCs w:val="24"/>
        </w:rPr>
        <w:t>5.4.3.2</w:t>
      </w:r>
      <w:r>
        <w:rPr>
          <w:rFonts w:hint="eastAsia" w:ascii="宋体" w:hAnsi="宋体"/>
          <w:sz w:val="24"/>
          <w:szCs w:val="24"/>
        </w:rPr>
        <w:t>将电缆盘放在平稳坚实的盘架上，钢轴的强度应能承载电缆盘的重量。电缆要从盘的上端引出且不能与支架及地面有摩擦，不能有铠装压扁，电缆，光缆绞拧，护层折裂等机械损伤。电缆敷设通道畅通，排水良好。电缆支架的防腐层完整符合要求。电缆敷设前应按照设计和实际路径计算每根电缆的长度，合理安排每盘电缆，减少电缆的中间接头。</w:t>
      </w:r>
    </w:p>
    <w:p>
      <w:pPr>
        <w:tabs>
          <w:tab w:val="left" w:pos="0"/>
          <w:tab w:val="left" w:pos="1080"/>
        </w:tabs>
        <w:spacing w:line="360" w:lineRule="auto"/>
        <w:rPr>
          <w:rFonts w:ascii="宋体"/>
          <w:sz w:val="24"/>
          <w:szCs w:val="24"/>
        </w:rPr>
      </w:pPr>
      <w:r>
        <w:rPr>
          <w:rFonts w:ascii="宋体" w:hAnsi="宋体"/>
          <w:sz w:val="24"/>
          <w:szCs w:val="24"/>
        </w:rPr>
        <w:t>5.4.3.3</w:t>
      </w:r>
      <w:r>
        <w:rPr>
          <w:rFonts w:hint="eastAsia" w:ascii="宋体" w:hAnsi="宋体"/>
          <w:sz w:val="24"/>
          <w:szCs w:val="24"/>
        </w:rPr>
        <w:t>电缆的敷设要有专人负责，并在专人统一指挥下有序的进行。合理安排敷设人员，人员站位不应过密或过疏。</w:t>
      </w:r>
    </w:p>
    <w:p>
      <w:pPr>
        <w:tabs>
          <w:tab w:val="left" w:pos="0"/>
          <w:tab w:val="left" w:pos="600"/>
        </w:tabs>
        <w:spacing w:line="360" w:lineRule="auto"/>
        <w:rPr>
          <w:rFonts w:ascii="宋体"/>
          <w:sz w:val="24"/>
          <w:szCs w:val="24"/>
        </w:rPr>
      </w:pPr>
      <w:r>
        <w:rPr>
          <w:rFonts w:ascii="宋体" w:hAnsi="宋体"/>
          <w:sz w:val="24"/>
          <w:szCs w:val="24"/>
        </w:rPr>
        <w:t>5.4.3.4</w:t>
      </w:r>
      <w:r>
        <w:rPr>
          <w:rFonts w:hint="eastAsia" w:ascii="宋体" w:hAnsi="宋体"/>
          <w:sz w:val="24"/>
          <w:szCs w:val="24"/>
        </w:rPr>
        <w:t>按设计要求分层敷设电缆，电缆在电缆架内摆放整齐，转角处留有裕度且电缆不得交叉，转角处两侧用卡带将电缆固定牢固，电缆弯曲半径符合规范要求。电缆敷设到终端留有备用长度切断后应立即封好。</w:t>
      </w:r>
    </w:p>
    <w:p>
      <w:pPr>
        <w:tabs>
          <w:tab w:val="left" w:pos="0"/>
          <w:tab w:val="left" w:pos="600"/>
        </w:tabs>
        <w:spacing w:line="360" w:lineRule="auto"/>
        <w:rPr>
          <w:rFonts w:ascii="宋体"/>
          <w:sz w:val="24"/>
          <w:szCs w:val="24"/>
        </w:rPr>
      </w:pPr>
      <w:r>
        <w:rPr>
          <w:rFonts w:ascii="宋体" w:hAnsi="宋体"/>
          <w:sz w:val="24"/>
          <w:szCs w:val="24"/>
        </w:rPr>
        <w:t>5.4.3.5</w:t>
      </w:r>
      <w:r>
        <w:rPr>
          <w:rFonts w:hint="eastAsia" w:ascii="宋体" w:hAnsi="宋体"/>
          <w:sz w:val="24"/>
          <w:szCs w:val="24"/>
        </w:rPr>
        <w:t>每一根电缆挂标识牌，电缆标识牌必需标注电缆起止点，电缆型号及电缆标号，电缆牌要经久耐用，设备移交时所有电缆牌不得用临时电缆牌，需为永久电缆牌且所有电缆牌一致。同一盘内的电缆排挂设高度相同，且电缆排均应挂设在电缆束的外围，便于查找。电缆牌上的字体规整，不得手写。</w:t>
      </w:r>
    </w:p>
    <w:p>
      <w:pPr>
        <w:tabs>
          <w:tab w:val="left" w:pos="0"/>
          <w:tab w:val="left" w:pos="600"/>
        </w:tabs>
        <w:spacing w:line="360" w:lineRule="auto"/>
        <w:rPr>
          <w:rFonts w:ascii="宋体"/>
          <w:sz w:val="24"/>
          <w:szCs w:val="24"/>
        </w:rPr>
      </w:pPr>
      <w:r>
        <w:rPr>
          <w:rFonts w:ascii="宋体" w:hAnsi="宋体"/>
          <w:sz w:val="24"/>
          <w:szCs w:val="24"/>
        </w:rPr>
        <w:t>5.4.3.6</w:t>
      </w:r>
      <w:r>
        <w:rPr>
          <w:rFonts w:hint="eastAsia" w:ascii="宋体" w:hAnsi="宋体"/>
          <w:sz w:val="24"/>
          <w:szCs w:val="24"/>
        </w:rPr>
        <w:t>直埋电缆敷设，电缆沟深度符合规范或设计要求，电缆下方应铺填</w:t>
      </w:r>
      <w:r>
        <w:rPr>
          <w:rFonts w:ascii="宋体" w:hAnsi="宋体"/>
          <w:sz w:val="24"/>
          <w:szCs w:val="24"/>
        </w:rPr>
        <w:t>10cm</w:t>
      </w:r>
      <w:r>
        <w:rPr>
          <w:rFonts w:hint="eastAsia" w:ascii="宋体" w:hAnsi="宋体"/>
          <w:sz w:val="24"/>
          <w:szCs w:val="24"/>
        </w:rPr>
        <w:t>的细沙，上方铺填</w:t>
      </w:r>
      <w:r>
        <w:rPr>
          <w:rFonts w:ascii="宋体" w:hAnsi="宋体"/>
          <w:sz w:val="24"/>
          <w:szCs w:val="24"/>
        </w:rPr>
        <w:t>20cm</w:t>
      </w:r>
      <w:r>
        <w:rPr>
          <w:rFonts w:hint="eastAsia" w:ascii="宋体" w:hAnsi="宋体"/>
          <w:sz w:val="24"/>
          <w:szCs w:val="24"/>
        </w:rPr>
        <w:t>的细沙，并有防止挖掘的措施。</w:t>
      </w:r>
    </w:p>
    <w:p>
      <w:pPr>
        <w:tabs>
          <w:tab w:val="left" w:pos="0"/>
          <w:tab w:val="left" w:pos="600"/>
        </w:tabs>
        <w:spacing w:line="360" w:lineRule="auto"/>
        <w:rPr>
          <w:rFonts w:ascii="宋体"/>
          <w:sz w:val="24"/>
          <w:szCs w:val="24"/>
        </w:rPr>
      </w:pPr>
      <w:r>
        <w:rPr>
          <w:rFonts w:ascii="宋体"/>
          <w:sz w:val="24"/>
          <w:szCs w:val="24"/>
        </w:rPr>
        <w:t xml:space="preserve">5.4.3.7 </w:t>
      </w:r>
      <w:r>
        <w:rPr>
          <w:rFonts w:hint="eastAsia" w:ascii="宋体" w:hAnsi="宋体"/>
          <w:sz w:val="24"/>
          <w:szCs w:val="24"/>
        </w:rPr>
        <w:t>电缆接引时在接触面涂抹导电膏，且接线牢固可靠，相序正确。线芯间应有空气间隙或增加绝缘隔离措施。</w:t>
      </w:r>
    </w:p>
    <w:p>
      <w:pPr>
        <w:tabs>
          <w:tab w:val="left" w:pos="0"/>
          <w:tab w:val="left" w:pos="1080"/>
        </w:tabs>
        <w:spacing w:line="360" w:lineRule="auto"/>
        <w:rPr>
          <w:rFonts w:ascii="宋体"/>
          <w:sz w:val="24"/>
          <w:szCs w:val="24"/>
        </w:rPr>
      </w:pPr>
      <w:r>
        <w:rPr>
          <w:rFonts w:ascii="宋体" w:hAnsi="宋体"/>
          <w:sz w:val="24"/>
          <w:szCs w:val="24"/>
        </w:rPr>
        <w:t>5.4.3.8</w:t>
      </w:r>
      <w:r>
        <w:rPr>
          <w:rFonts w:hint="eastAsia" w:ascii="宋体" w:hAnsi="宋体"/>
          <w:sz w:val="24"/>
          <w:szCs w:val="24"/>
        </w:rPr>
        <w:t>所有保护系统控制电缆屏蔽层两侧均应可靠接地。</w:t>
      </w:r>
    </w:p>
    <w:p>
      <w:pPr>
        <w:tabs>
          <w:tab w:val="left" w:pos="0"/>
          <w:tab w:val="left" w:pos="600"/>
        </w:tabs>
        <w:spacing w:line="360" w:lineRule="auto"/>
        <w:rPr>
          <w:rFonts w:ascii="宋体" w:hAnsi="宋体"/>
          <w:sz w:val="24"/>
          <w:szCs w:val="24"/>
        </w:rPr>
      </w:pPr>
      <w:r>
        <w:rPr>
          <w:rFonts w:ascii="宋体" w:hAnsi="宋体"/>
          <w:sz w:val="24"/>
          <w:szCs w:val="24"/>
        </w:rPr>
        <w:t>5.4.3.9</w:t>
      </w:r>
      <w:r>
        <w:rPr>
          <w:rFonts w:hint="eastAsia" w:ascii="宋体" w:hAnsi="宋体"/>
          <w:sz w:val="24"/>
          <w:szCs w:val="24"/>
        </w:rPr>
        <w:t>电缆按照消防要求进行防火处理，盘柜接线完毕后，用专用封堵材料对电缆孔洞进行封堵。</w:t>
      </w:r>
    </w:p>
    <w:p>
      <w:pPr>
        <w:tabs>
          <w:tab w:val="left" w:pos="0"/>
          <w:tab w:val="left" w:pos="1080"/>
        </w:tabs>
        <w:spacing w:line="360" w:lineRule="auto"/>
        <w:rPr>
          <w:rFonts w:ascii="宋体"/>
          <w:sz w:val="24"/>
          <w:szCs w:val="24"/>
        </w:rPr>
      </w:pPr>
      <w:r>
        <w:rPr>
          <w:rFonts w:hint="eastAsia" w:ascii="宋体" w:hAnsi="宋体"/>
          <w:sz w:val="24"/>
          <w:szCs w:val="24"/>
        </w:rPr>
        <w:t>电缆平行、交叉时的最小净距（</w:t>
      </w:r>
      <w:r>
        <w:rPr>
          <w:rFonts w:ascii="宋体" w:hAnsi="宋体"/>
          <w:sz w:val="24"/>
          <w:szCs w:val="24"/>
        </w:rPr>
        <w:t>mm</w:t>
      </w:r>
      <w:r>
        <w:rPr>
          <w:rFonts w:hint="eastAsia" w:ascii="宋体" w:hAnsi="宋体"/>
          <w:sz w:val="24"/>
          <w:szCs w:val="24"/>
        </w:rPr>
        <w:t>）</w:t>
      </w:r>
    </w:p>
    <w:tbl>
      <w:tblPr>
        <w:tblStyle w:val="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162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8" w:type="dxa"/>
            <w:gridSpan w:val="2"/>
            <w:vMerge w:val="restart"/>
            <w:vAlign w:val="center"/>
          </w:tcPr>
          <w:p>
            <w:pPr>
              <w:tabs>
                <w:tab w:val="left" w:pos="0"/>
                <w:tab w:val="left" w:pos="1080"/>
              </w:tabs>
              <w:spacing w:line="360" w:lineRule="auto"/>
              <w:jc w:val="center"/>
              <w:rPr>
                <w:rFonts w:ascii="宋体"/>
                <w:sz w:val="24"/>
                <w:szCs w:val="24"/>
              </w:rPr>
            </w:pPr>
            <w:r>
              <w:rPr>
                <w:rFonts w:hint="eastAsia" w:ascii="宋体"/>
                <w:sz w:val="24"/>
                <w:szCs w:val="24"/>
              </w:rPr>
              <w:t>项</w:t>
            </w:r>
            <w:r>
              <w:rPr>
                <w:rFonts w:ascii="宋体"/>
                <w:sz w:val="24"/>
                <w:szCs w:val="24"/>
              </w:rPr>
              <w:t xml:space="preserve">     </w:t>
            </w:r>
            <w:r>
              <w:rPr>
                <w:rFonts w:hint="eastAsia" w:ascii="宋体"/>
                <w:sz w:val="24"/>
                <w:szCs w:val="24"/>
              </w:rPr>
              <w:t>目</w:t>
            </w:r>
          </w:p>
        </w:tc>
        <w:tc>
          <w:tcPr>
            <w:tcW w:w="3060" w:type="dxa"/>
            <w:gridSpan w:val="2"/>
            <w:vAlign w:val="center"/>
          </w:tcPr>
          <w:p>
            <w:pPr>
              <w:tabs>
                <w:tab w:val="left" w:pos="0"/>
                <w:tab w:val="left" w:pos="1080"/>
              </w:tabs>
              <w:spacing w:line="360" w:lineRule="auto"/>
              <w:jc w:val="center"/>
              <w:rPr>
                <w:rFonts w:ascii="宋体"/>
                <w:sz w:val="24"/>
                <w:szCs w:val="24"/>
              </w:rPr>
            </w:pPr>
            <w:r>
              <w:rPr>
                <w:rFonts w:hint="eastAsia" w:ascii="宋体"/>
                <w:sz w:val="24"/>
                <w:szCs w:val="24"/>
              </w:rPr>
              <w:t>最小净距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8" w:type="dxa"/>
            <w:gridSpan w:val="2"/>
            <w:vMerge w:val="continue"/>
            <w:vAlign w:val="center"/>
          </w:tcPr>
          <w:p>
            <w:pPr>
              <w:tabs>
                <w:tab w:val="left" w:pos="0"/>
                <w:tab w:val="left" w:pos="1080"/>
              </w:tabs>
              <w:spacing w:line="360" w:lineRule="auto"/>
              <w:jc w:val="center"/>
              <w:rPr>
                <w:rFonts w:ascii="宋体"/>
                <w:sz w:val="24"/>
                <w:szCs w:val="24"/>
              </w:rPr>
            </w:pPr>
          </w:p>
        </w:tc>
        <w:tc>
          <w:tcPr>
            <w:tcW w:w="1440" w:type="dxa"/>
            <w:vAlign w:val="center"/>
          </w:tcPr>
          <w:p>
            <w:pPr>
              <w:tabs>
                <w:tab w:val="left" w:pos="0"/>
                <w:tab w:val="left" w:pos="1080"/>
              </w:tabs>
              <w:spacing w:line="360" w:lineRule="auto"/>
              <w:jc w:val="center"/>
              <w:rPr>
                <w:rFonts w:ascii="宋体"/>
                <w:sz w:val="24"/>
                <w:szCs w:val="24"/>
              </w:rPr>
            </w:pPr>
            <w:r>
              <w:rPr>
                <w:rFonts w:hint="eastAsia" w:ascii="宋体"/>
                <w:sz w:val="24"/>
                <w:szCs w:val="24"/>
              </w:rPr>
              <w:t>平行</w:t>
            </w:r>
          </w:p>
        </w:tc>
        <w:tc>
          <w:tcPr>
            <w:tcW w:w="1620" w:type="dxa"/>
            <w:vAlign w:val="center"/>
          </w:tcPr>
          <w:p>
            <w:pPr>
              <w:tabs>
                <w:tab w:val="left" w:pos="0"/>
                <w:tab w:val="left" w:pos="1080"/>
              </w:tabs>
              <w:spacing w:line="360" w:lineRule="auto"/>
              <w:jc w:val="center"/>
              <w:rPr>
                <w:rFonts w:ascii="宋体"/>
                <w:sz w:val="24"/>
                <w:szCs w:val="24"/>
              </w:rPr>
            </w:pPr>
            <w:r>
              <w:rPr>
                <w:rFonts w:hint="eastAsia" w:ascii="宋体"/>
                <w:sz w:val="24"/>
                <w:szCs w:val="24"/>
              </w:rPr>
              <w:t>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Merge w:val="restart"/>
            <w:vAlign w:val="center"/>
          </w:tcPr>
          <w:p>
            <w:pPr>
              <w:tabs>
                <w:tab w:val="left" w:pos="0"/>
                <w:tab w:val="left" w:pos="1080"/>
              </w:tabs>
              <w:spacing w:line="360" w:lineRule="auto"/>
              <w:jc w:val="center"/>
              <w:rPr>
                <w:rFonts w:ascii="宋体"/>
                <w:sz w:val="24"/>
                <w:szCs w:val="24"/>
              </w:rPr>
            </w:pPr>
            <w:r>
              <w:rPr>
                <w:rFonts w:hint="eastAsia" w:ascii="宋体"/>
                <w:sz w:val="24"/>
                <w:szCs w:val="24"/>
              </w:rPr>
              <w:t>电力电缆间及控制电缆间</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及以下</w:t>
            </w: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0.10</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Merge w:val="continue"/>
            <w:vAlign w:val="center"/>
          </w:tcPr>
          <w:p>
            <w:pPr>
              <w:tabs>
                <w:tab w:val="left" w:pos="0"/>
                <w:tab w:val="left" w:pos="1080"/>
              </w:tabs>
              <w:spacing w:line="360" w:lineRule="auto"/>
              <w:jc w:val="center"/>
              <w:rPr>
                <w:rFonts w:ascii="宋体"/>
                <w:sz w:val="24"/>
                <w:szCs w:val="24"/>
              </w:rPr>
            </w:pP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以上</w:t>
            </w: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0.25</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tabs>
                <w:tab w:val="left" w:pos="0"/>
                <w:tab w:val="left" w:pos="1080"/>
              </w:tabs>
              <w:spacing w:line="360" w:lineRule="auto"/>
              <w:jc w:val="center"/>
              <w:rPr>
                <w:rFonts w:ascii="宋体"/>
                <w:sz w:val="24"/>
                <w:szCs w:val="24"/>
              </w:rPr>
            </w:pPr>
            <w:r>
              <w:rPr>
                <w:rFonts w:hint="eastAsia" w:ascii="宋体"/>
                <w:sz w:val="24"/>
                <w:szCs w:val="24"/>
              </w:rPr>
              <w:t>控制电缆间</w:t>
            </w:r>
          </w:p>
        </w:tc>
        <w:tc>
          <w:tcPr>
            <w:tcW w:w="1620" w:type="dxa"/>
            <w:vAlign w:val="center"/>
          </w:tcPr>
          <w:p>
            <w:pPr>
              <w:tabs>
                <w:tab w:val="left" w:pos="0"/>
                <w:tab w:val="left" w:pos="1080"/>
              </w:tabs>
              <w:spacing w:line="360" w:lineRule="auto"/>
              <w:jc w:val="center"/>
              <w:rPr>
                <w:rFonts w:ascii="宋体"/>
                <w:sz w:val="24"/>
                <w:szCs w:val="24"/>
              </w:rPr>
            </w:pP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tabs>
                <w:tab w:val="left" w:pos="0"/>
                <w:tab w:val="left" w:pos="1080"/>
              </w:tabs>
              <w:spacing w:line="360" w:lineRule="auto"/>
              <w:jc w:val="center"/>
              <w:rPr>
                <w:rFonts w:ascii="宋体"/>
                <w:sz w:val="24"/>
                <w:szCs w:val="24"/>
              </w:rPr>
            </w:pPr>
            <w:r>
              <w:rPr>
                <w:rFonts w:hint="eastAsia" w:ascii="宋体"/>
                <w:sz w:val="24"/>
                <w:szCs w:val="24"/>
              </w:rPr>
              <w:t>不同使用部门电缆间</w:t>
            </w:r>
          </w:p>
        </w:tc>
        <w:tc>
          <w:tcPr>
            <w:tcW w:w="1620" w:type="dxa"/>
            <w:vAlign w:val="center"/>
          </w:tcPr>
          <w:p>
            <w:pPr>
              <w:tabs>
                <w:tab w:val="left" w:pos="0"/>
                <w:tab w:val="left" w:pos="1080"/>
              </w:tabs>
              <w:spacing w:line="360" w:lineRule="auto"/>
              <w:jc w:val="center"/>
              <w:rPr>
                <w:rFonts w:ascii="宋体"/>
                <w:sz w:val="24"/>
                <w:szCs w:val="24"/>
              </w:rPr>
            </w:pPr>
          </w:p>
        </w:tc>
        <w:tc>
          <w:tcPr>
            <w:tcW w:w="144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c>
          <w:tcPr>
            <w:tcW w:w="1620"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bl>
    <w:p>
      <w:pPr>
        <w:tabs>
          <w:tab w:val="left" w:pos="0"/>
          <w:tab w:val="left" w:pos="1080"/>
        </w:tabs>
        <w:spacing w:line="360" w:lineRule="auto"/>
        <w:rPr>
          <w:rFonts w:ascii="宋体"/>
          <w:sz w:val="24"/>
          <w:szCs w:val="24"/>
        </w:rPr>
      </w:pPr>
      <w:r>
        <w:rPr>
          <w:rFonts w:ascii="宋体" w:hAnsi="宋体"/>
          <w:sz w:val="24"/>
          <w:szCs w:val="24"/>
        </w:rPr>
        <w:t>5.4.4</w:t>
      </w:r>
      <w:r>
        <w:rPr>
          <w:rFonts w:hint="eastAsia" w:ascii="宋体" w:hAnsi="宋体"/>
          <w:sz w:val="24"/>
          <w:szCs w:val="24"/>
        </w:rPr>
        <w:t>电缆防火与阻燃</w:t>
      </w:r>
    </w:p>
    <w:p>
      <w:pPr>
        <w:tabs>
          <w:tab w:val="left" w:pos="0"/>
          <w:tab w:val="left" w:pos="1080"/>
        </w:tabs>
        <w:spacing w:line="360" w:lineRule="auto"/>
        <w:rPr>
          <w:rFonts w:ascii="宋体"/>
          <w:sz w:val="24"/>
          <w:szCs w:val="24"/>
        </w:rPr>
      </w:pPr>
      <w:r>
        <w:rPr>
          <w:rFonts w:ascii="宋体" w:hAnsi="宋体"/>
          <w:sz w:val="24"/>
          <w:szCs w:val="24"/>
        </w:rPr>
        <w:t>5.4.4.1</w:t>
      </w:r>
      <w:r>
        <w:rPr>
          <w:rFonts w:hint="eastAsia" w:ascii="宋体" w:hAnsi="宋体"/>
          <w:sz w:val="24"/>
          <w:szCs w:val="24"/>
        </w:rPr>
        <w:t>在电缆穿过竖井、墙壁、楼梯或进入电气盘柜的孔洞处，按设计要求用防火堵料密实封堵。</w:t>
      </w:r>
    </w:p>
    <w:p>
      <w:pPr>
        <w:tabs>
          <w:tab w:val="left" w:pos="0"/>
          <w:tab w:val="left" w:pos="1080"/>
        </w:tabs>
        <w:spacing w:line="360" w:lineRule="auto"/>
        <w:rPr>
          <w:rFonts w:ascii="宋体" w:hAnsi="宋体"/>
          <w:sz w:val="24"/>
          <w:szCs w:val="24"/>
        </w:rPr>
      </w:pPr>
      <w:r>
        <w:rPr>
          <w:rFonts w:ascii="宋体" w:hAnsi="宋体"/>
          <w:sz w:val="24"/>
          <w:szCs w:val="24"/>
        </w:rPr>
        <w:t>5.4.4.2</w:t>
      </w:r>
      <w:r>
        <w:rPr>
          <w:rFonts w:hint="eastAsia" w:ascii="宋体" w:hAnsi="宋体"/>
          <w:sz w:val="24"/>
          <w:szCs w:val="24"/>
        </w:rPr>
        <w:t>在电缆沟、桥架中，按设计要求分段用软质耐火材料设置防火墙封堵。</w:t>
      </w:r>
      <w:r>
        <w:rPr>
          <w:rFonts w:ascii="宋体" w:hAnsi="宋体"/>
          <w:sz w:val="24"/>
          <w:szCs w:val="24"/>
        </w:rPr>
        <w:t xml:space="preserve"> </w:t>
      </w:r>
      <w:bookmarkEnd w:id="24"/>
      <w:bookmarkEnd w:id="25"/>
      <w:bookmarkEnd w:id="26"/>
      <w:bookmarkEnd w:id="27"/>
      <w:bookmarkEnd w:id="28"/>
      <w:bookmarkEnd w:id="29"/>
      <w:bookmarkStart w:id="30" w:name="_Toc12318"/>
      <w:bookmarkStart w:id="31" w:name="_Toc11149"/>
      <w:bookmarkStart w:id="32" w:name="_Toc7271"/>
      <w:bookmarkStart w:id="33" w:name="_Toc13015"/>
      <w:bookmarkStart w:id="34" w:name="_Toc6379"/>
      <w:bookmarkStart w:id="35" w:name="_Toc18218"/>
    </w:p>
    <w:p>
      <w:pPr>
        <w:tabs>
          <w:tab w:val="left" w:pos="0"/>
          <w:tab w:val="left" w:pos="1080"/>
        </w:tabs>
        <w:spacing w:line="360" w:lineRule="auto"/>
        <w:rPr>
          <w:rFonts w:ascii="宋体"/>
          <w:sz w:val="24"/>
          <w:szCs w:val="24"/>
        </w:rPr>
      </w:pPr>
      <w:r>
        <w:rPr>
          <w:rFonts w:ascii="宋体" w:hAnsi="宋体"/>
          <w:sz w:val="24"/>
          <w:szCs w:val="24"/>
        </w:rPr>
        <w:t>5.4.5</w:t>
      </w:r>
      <w:r>
        <w:rPr>
          <w:rFonts w:hint="eastAsia" w:ascii="宋体" w:hAnsi="宋体"/>
          <w:sz w:val="24"/>
          <w:szCs w:val="24"/>
        </w:rPr>
        <w:t>电缆头与电缆接头制作质量标准检验要求</w:t>
      </w:r>
    </w:p>
    <w:p>
      <w:pPr>
        <w:tabs>
          <w:tab w:val="left" w:pos="0"/>
          <w:tab w:val="left" w:pos="1080"/>
        </w:tabs>
        <w:spacing w:line="360" w:lineRule="auto"/>
        <w:rPr>
          <w:rFonts w:ascii="宋体"/>
          <w:sz w:val="24"/>
          <w:szCs w:val="24"/>
        </w:rPr>
      </w:pPr>
    </w:p>
    <w:tbl>
      <w:tblPr>
        <w:tblStyle w:val="9"/>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8"/>
        <w:gridCol w:w="2312"/>
        <w:gridCol w:w="720"/>
        <w:gridCol w:w="30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gridSpan w:val="3"/>
            <w:vAlign w:val="center"/>
          </w:tcPr>
          <w:p>
            <w:pPr>
              <w:jc w:val="center"/>
              <w:rPr>
                <w:rFonts w:ascii="宋体"/>
                <w:b/>
                <w:bCs/>
                <w:szCs w:val="21"/>
              </w:rPr>
            </w:pPr>
            <w:r>
              <w:rPr>
                <w:rFonts w:hint="eastAsia" w:ascii="宋体" w:hAnsi="宋体"/>
                <w:b/>
                <w:bCs/>
                <w:szCs w:val="21"/>
              </w:rPr>
              <w:t>检验项目</w:t>
            </w:r>
          </w:p>
        </w:tc>
        <w:tc>
          <w:tcPr>
            <w:tcW w:w="720" w:type="dxa"/>
            <w:vAlign w:val="center"/>
          </w:tcPr>
          <w:p>
            <w:pPr>
              <w:jc w:val="center"/>
              <w:rPr>
                <w:rFonts w:ascii="宋体"/>
                <w:b/>
                <w:bCs/>
                <w:szCs w:val="21"/>
              </w:rPr>
            </w:pPr>
            <w:r>
              <w:rPr>
                <w:rFonts w:hint="eastAsia" w:ascii="宋体" w:hAnsi="宋体"/>
                <w:b/>
                <w:bCs/>
                <w:szCs w:val="21"/>
              </w:rPr>
              <w:t>性</w:t>
            </w:r>
          </w:p>
          <w:p>
            <w:pPr>
              <w:jc w:val="center"/>
              <w:rPr>
                <w:rFonts w:ascii="宋体"/>
                <w:b/>
                <w:bCs/>
                <w:szCs w:val="21"/>
              </w:rPr>
            </w:pPr>
            <w:r>
              <w:rPr>
                <w:rFonts w:hint="eastAsia" w:ascii="宋体" w:hAnsi="宋体"/>
                <w:b/>
                <w:bCs/>
                <w:szCs w:val="21"/>
              </w:rPr>
              <w:t>质</w:t>
            </w:r>
          </w:p>
        </w:tc>
        <w:tc>
          <w:tcPr>
            <w:tcW w:w="3060" w:type="dxa"/>
            <w:vAlign w:val="center"/>
          </w:tcPr>
          <w:p>
            <w:pPr>
              <w:jc w:val="center"/>
              <w:rPr>
                <w:rFonts w:ascii="宋体"/>
                <w:b/>
                <w:bCs/>
                <w:szCs w:val="21"/>
              </w:rPr>
            </w:pPr>
            <w:r>
              <w:rPr>
                <w:rFonts w:hint="eastAsia" w:ascii="宋体" w:hAnsi="宋体"/>
                <w:b/>
                <w:bCs/>
                <w:szCs w:val="21"/>
              </w:rPr>
              <w:t>质量标准</w:t>
            </w:r>
          </w:p>
        </w:tc>
        <w:tc>
          <w:tcPr>
            <w:tcW w:w="2520" w:type="dxa"/>
            <w:vAlign w:val="center"/>
          </w:tcPr>
          <w:p>
            <w:pPr>
              <w:jc w:val="center"/>
              <w:rPr>
                <w:rFonts w:ascii="宋体"/>
                <w:b/>
                <w:bCs/>
                <w:szCs w:val="21"/>
              </w:rPr>
            </w:pPr>
            <w:r>
              <w:rPr>
                <w:rFonts w:hint="eastAsia" w:ascii="宋体" w:hAnsi="宋体"/>
                <w:b/>
                <w:bCs/>
                <w:szCs w:val="21"/>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3060" w:type="dxa"/>
            <w:gridSpan w:val="3"/>
            <w:vAlign w:val="center"/>
          </w:tcPr>
          <w:p>
            <w:pPr>
              <w:jc w:val="center"/>
              <w:rPr>
                <w:rFonts w:ascii="宋体"/>
                <w:szCs w:val="21"/>
              </w:rPr>
            </w:pPr>
            <w:r>
              <w:rPr>
                <w:rFonts w:hint="eastAsia" w:ascii="宋体" w:hAnsi="宋体"/>
                <w:szCs w:val="21"/>
              </w:rPr>
              <w:t>绝缘电阻</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p>
          <w:p>
            <w:pPr>
              <w:rPr>
                <w:rFonts w:ascii="宋体"/>
                <w:szCs w:val="21"/>
              </w:rPr>
            </w:pPr>
            <w:r>
              <w:rPr>
                <w:rFonts w:hint="eastAsia" w:ascii="宋体" w:hAnsi="宋体"/>
                <w:szCs w:val="21"/>
              </w:rPr>
              <w:t>比较电缆敷设前无显著降低</w:t>
            </w:r>
          </w:p>
          <w:p>
            <w:pPr>
              <w:rPr>
                <w:rFonts w:ascii="宋体"/>
                <w:szCs w:val="21"/>
              </w:rPr>
            </w:pPr>
          </w:p>
        </w:tc>
        <w:tc>
          <w:tcPr>
            <w:tcW w:w="2520" w:type="dxa"/>
            <w:vAlign w:val="center"/>
          </w:tcPr>
          <w:p>
            <w:pPr>
              <w:jc w:val="center"/>
              <w:rPr>
                <w:rFonts w:ascii="宋体"/>
                <w:szCs w:val="21"/>
              </w:rPr>
            </w:pPr>
            <w:r>
              <w:rPr>
                <w:rFonts w:ascii="宋体" w:hAnsi="宋体"/>
                <w:szCs w:val="21"/>
              </w:rPr>
              <w:t>1</w:t>
            </w:r>
            <w:r>
              <w:rPr>
                <w:rFonts w:hint="eastAsia" w:ascii="宋体" w:hAnsi="宋体"/>
                <w:szCs w:val="21"/>
              </w:rPr>
              <w:t>千伏以下的电缆用</w:t>
            </w:r>
            <w:r>
              <w:rPr>
                <w:rFonts w:ascii="宋体" w:hAnsi="宋体"/>
                <w:szCs w:val="21"/>
              </w:rPr>
              <w:t>500</w:t>
            </w:r>
            <w:r>
              <w:rPr>
                <w:rFonts w:hint="eastAsia" w:ascii="宋体" w:hAnsi="宋体"/>
                <w:szCs w:val="21"/>
              </w:rPr>
              <w:t>或</w:t>
            </w:r>
            <w:r>
              <w:rPr>
                <w:rFonts w:ascii="宋体" w:hAnsi="宋体"/>
                <w:szCs w:val="21"/>
              </w:rPr>
              <w:t>1000</w:t>
            </w:r>
            <w:r>
              <w:rPr>
                <w:rFonts w:hint="eastAsia" w:ascii="宋体" w:hAnsi="宋体"/>
                <w:szCs w:val="21"/>
              </w:rPr>
              <w:t>伏兆欧表，</w:t>
            </w:r>
          </w:p>
          <w:p>
            <w:pPr>
              <w:jc w:val="center"/>
              <w:rPr>
                <w:rFonts w:ascii="宋体"/>
                <w:szCs w:val="21"/>
              </w:rPr>
            </w:pPr>
            <w:r>
              <w:rPr>
                <w:rFonts w:ascii="宋体" w:hAnsi="宋体"/>
                <w:szCs w:val="21"/>
              </w:rPr>
              <w:t>1</w:t>
            </w:r>
            <w:r>
              <w:rPr>
                <w:rFonts w:hint="eastAsia" w:ascii="宋体" w:hAnsi="宋体"/>
                <w:szCs w:val="21"/>
              </w:rPr>
              <w:t>千伏以上电缆用</w:t>
            </w:r>
            <w:r>
              <w:rPr>
                <w:rFonts w:ascii="宋体" w:hAnsi="宋体"/>
                <w:szCs w:val="21"/>
              </w:rPr>
              <w:t>2500</w:t>
            </w:r>
            <w:r>
              <w:rPr>
                <w:rFonts w:hint="eastAsia" w:ascii="宋体" w:hAnsi="宋体"/>
                <w:szCs w:val="21"/>
              </w:rPr>
              <w:t>伏兆欧表检查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gridSpan w:val="3"/>
            <w:vAlign w:val="center"/>
          </w:tcPr>
          <w:p>
            <w:pPr>
              <w:jc w:val="center"/>
              <w:rPr>
                <w:rFonts w:ascii="宋体"/>
                <w:szCs w:val="21"/>
              </w:rPr>
            </w:pPr>
            <w:r>
              <w:rPr>
                <w:rFonts w:hint="eastAsia" w:ascii="宋体" w:hAnsi="宋体"/>
                <w:szCs w:val="21"/>
              </w:rPr>
              <w:t>电缆头附件</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齐全、无损伤、符合工艺规程规定</w:t>
            </w:r>
          </w:p>
        </w:tc>
        <w:tc>
          <w:tcPr>
            <w:tcW w:w="2520" w:type="dxa"/>
            <w:vAlign w:val="center"/>
          </w:tcPr>
          <w:p>
            <w:pPr>
              <w:jc w:val="center"/>
              <w:rPr>
                <w:rFonts w:ascii="宋体"/>
                <w:szCs w:val="21"/>
              </w:rPr>
            </w:pPr>
            <w:r>
              <w:rPr>
                <w:rFonts w:hint="eastAsia" w:ascii="宋体" w:hAnsi="宋体"/>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电缆头制作工艺</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符合工艺规程规定</w:t>
            </w:r>
          </w:p>
        </w:tc>
        <w:tc>
          <w:tcPr>
            <w:tcW w:w="2520" w:type="dxa"/>
            <w:vAlign w:val="center"/>
          </w:tcPr>
          <w:p>
            <w:pPr>
              <w:jc w:val="center"/>
              <w:rPr>
                <w:rFonts w:ascii="宋体"/>
                <w:szCs w:val="21"/>
              </w:rPr>
            </w:pPr>
            <w:r>
              <w:rPr>
                <w:rFonts w:hint="eastAsia" w:ascii="宋体" w:hAnsi="宋体"/>
                <w:szCs w:val="21"/>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restart"/>
            <w:vAlign w:val="center"/>
          </w:tcPr>
          <w:p>
            <w:pPr>
              <w:jc w:val="center"/>
              <w:rPr>
                <w:rFonts w:ascii="宋体"/>
                <w:szCs w:val="21"/>
              </w:rPr>
            </w:pPr>
            <w:r>
              <w:rPr>
                <w:rFonts w:hint="eastAsia" w:ascii="宋体" w:hAnsi="宋体"/>
                <w:szCs w:val="21"/>
              </w:rPr>
              <w:t>接地</w:t>
            </w:r>
          </w:p>
        </w:tc>
        <w:tc>
          <w:tcPr>
            <w:tcW w:w="2520" w:type="dxa"/>
            <w:gridSpan w:val="2"/>
            <w:vAlign w:val="center"/>
          </w:tcPr>
          <w:p>
            <w:pPr>
              <w:jc w:val="center"/>
              <w:rPr>
                <w:rFonts w:ascii="宋体"/>
                <w:szCs w:val="21"/>
              </w:rPr>
            </w:pPr>
            <w:r>
              <w:rPr>
                <w:rFonts w:hint="eastAsia" w:ascii="宋体" w:hAnsi="宋体"/>
                <w:szCs w:val="21"/>
              </w:rPr>
              <w:t>塑料绝缘电缆焊接位置</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电缆屏蔽层和金属护层</w:t>
            </w:r>
          </w:p>
        </w:tc>
        <w:tc>
          <w:tcPr>
            <w:tcW w:w="2520" w:type="dxa"/>
            <w:vMerge w:val="restart"/>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40" w:type="dxa"/>
            <w:vMerge w:val="continue"/>
            <w:vAlign w:val="center"/>
          </w:tcPr>
          <w:p>
            <w:pPr>
              <w:jc w:val="center"/>
              <w:rPr>
                <w:rFonts w:ascii="宋体"/>
                <w:szCs w:val="21"/>
              </w:rPr>
            </w:pPr>
          </w:p>
        </w:tc>
        <w:tc>
          <w:tcPr>
            <w:tcW w:w="2520" w:type="dxa"/>
            <w:gridSpan w:val="2"/>
            <w:vAlign w:val="center"/>
          </w:tcPr>
          <w:p>
            <w:pPr>
              <w:jc w:val="center"/>
              <w:rPr>
                <w:rFonts w:ascii="宋体"/>
                <w:szCs w:val="21"/>
              </w:rPr>
            </w:pPr>
            <w:r>
              <w:rPr>
                <w:rFonts w:hint="eastAsia" w:ascii="宋体" w:hAnsi="宋体"/>
                <w:szCs w:val="21"/>
              </w:rPr>
              <w:t>接地线规格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铜绞线截面大于</w:t>
            </w:r>
            <w:r>
              <w:rPr>
                <w:rFonts w:ascii="宋体" w:hAnsi="宋体"/>
                <w:szCs w:val="21"/>
              </w:rPr>
              <w:t>10</w:t>
            </w:r>
            <w:r>
              <w:rPr>
                <w:rFonts w:hint="eastAsia" w:ascii="宋体" w:hAnsi="宋体"/>
                <w:szCs w:val="21"/>
              </w:rPr>
              <w:t>平方毫米</w:t>
            </w:r>
          </w:p>
        </w:tc>
        <w:tc>
          <w:tcPr>
            <w:tcW w:w="252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40" w:type="dxa"/>
            <w:vMerge w:val="continue"/>
            <w:vAlign w:val="center"/>
          </w:tcPr>
          <w:p>
            <w:pPr>
              <w:jc w:val="center"/>
              <w:rPr>
                <w:rFonts w:ascii="宋体"/>
                <w:szCs w:val="21"/>
              </w:rPr>
            </w:pPr>
          </w:p>
        </w:tc>
        <w:tc>
          <w:tcPr>
            <w:tcW w:w="2520" w:type="dxa"/>
            <w:gridSpan w:val="2"/>
            <w:vAlign w:val="center"/>
          </w:tcPr>
          <w:p>
            <w:pPr>
              <w:jc w:val="center"/>
              <w:rPr>
                <w:rFonts w:ascii="宋体"/>
                <w:szCs w:val="21"/>
              </w:rPr>
            </w:pPr>
            <w:r>
              <w:rPr>
                <w:rFonts w:hint="eastAsia" w:ascii="宋体" w:hAnsi="宋体"/>
                <w:szCs w:val="21"/>
              </w:rPr>
              <w:t>锡焊外观检查</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焊接平整，无毛刺，接地线各段接触良好，牢固</w:t>
            </w:r>
          </w:p>
        </w:tc>
        <w:tc>
          <w:tcPr>
            <w:tcW w:w="252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电缆头热（冷）收缩管规格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符合厂家规定</w:t>
            </w:r>
          </w:p>
        </w:tc>
        <w:tc>
          <w:tcPr>
            <w:tcW w:w="2520" w:type="dxa"/>
            <w:vAlign w:val="center"/>
          </w:tcPr>
          <w:p>
            <w:pPr>
              <w:jc w:val="center"/>
              <w:rPr>
                <w:rFonts w:ascii="宋体"/>
                <w:szCs w:val="21"/>
              </w:rPr>
            </w:pPr>
            <w:r>
              <w:rPr>
                <w:rFonts w:hint="eastAsia" w:ascii="宋体" w:hAnsi="宋体"/>
                <w:szCs w:val="21"/>
              </w:rPr>
              <w:t>对照厂家说明书检查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3060" w:type="dxa"/>
            <w:gridSpan w:val="3"/>
            <w:vAlign w:val="center"/>
          </w:tcPr>
          <w:p>
            <w:pPr>
              <w:jc w:val="center"/>
              <w:rPr>
                <w:rFonts w:ascii="宋体"/>
                <w:szCs w:val="21"/>
              </w:rPr>
            </w:pPr>
            <w:r>
              <w:rPr>
                <w:rFonts w:hint="eastAsia" w:ascii="宋体" w:hAnsi="宋体"/>
                <w:szCs w:val="21"/>
              </w:rPr>
              <w:t>塑料电缆芯线弯曲半径</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大于或等于</w:t>
            </w:r>
            <w:r>
              <w:rPr>
                <w:rFonts w:ascii="宋体" w:hAnsi="宋体"/>
                <w:szCs w:val="21"/>
              </w:rPr>
              <w:t>3</w:t>
            </w:r>
            <w:r>
              <w:rPr>
                <w:rFonts w:hint="eastAsia" w:ascii="宋体" w:hAnsi="宋体"/>
                <w:szCs w:val="21"/>
              </w:rPr>
              <w:t>倍芯线绝缘层直径</w:t>
            </w:r>
          </w:p>
        </w:tc>
        <w:tc>
          <w:tcPr>
            <w:tcW w:w="2520" w:type="dxa"/>
            <w:vAlign w:val="center"/>
          </w:tcPr>
          <w:p>
            <w:pPr>
              <w:jc w:val="center"/>
              <w:rPr>
                <w:rFonts w:ascii="宋体"/>
                <w:szCs w:val="21"/>
              </w:rPr>
            </w:pPr>
            <w:r>
              <w:rPr>
                <w:rFonts w:hint="eastAsia" w:ascii="宋体" w:hAnsi="宋体"/>
                <w:szCs w:val="21"/>
              </w:rPr>
              <w:t>用样板检查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0" w:type="dxa"/>
            <w:gridSpan w:val="3"/>
            <w:vAlign w:val="center"/>
          </w:tcPr>
          <w:p>
            <w:pPr>
              <w:jc w:val="center"/>
              <w:rPr>
                <w:rFonts w:ascii="宋体"/>
                <w:szCs w:val="21"/>
              </w:rPr>
            </w:pPr>
            <w:r>
              <w:rPr>
                <w:rFonts w:hint="eastAsia" w:ascii="宋体" w:hAnsi="宋体"/>
                <w:szCs w:val="21"/>
              </w:rPr>
              <w:t>线鼻子规格</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与线芯相符</w:t>
            </w:r>
          </w:p>
        </w:tc>
        <w:tc>
          <w:tcPr>
            <w:tcW w:w="25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060" w:type="dxa"/>
            <w:gridSpan w:val="3"/>
            <w:vAlign w:val="center"/>
          </w:tcPr>
          <w:p>
            <w:pPr>
              <w:jc w:val="center"/>
              <w:rPr>
                <w:rFonts w:ascii="宋体"/>
                <w:szCs w:val="21"/>
              </w:rPr>
            </w:pPr>
            <w:r>
              <w:rPr>
                <w:rFonts w:hint="eastAsia" w:ascii="宋体" w:hAnsi="宋体"/>
                <w:szCs w:val="21"/>
              </w:rPr>
              <w:t>铜线鼻子镀锡</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表面光滑，干净</w:t>
            </w:r>
          </w:p>
        </w:tc>
        <w:tc>
          <w:tcPr>
            <w:tcW w:w="2520" w:type="dxa"/>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48" w:type="dxa"/>
            <w:gridSpan w:val="2"/>
            <w:vMerge w:val="restart"/>
            <w:vAlign w:val="center"/>
          </w:tcPr>
          <w:p>
            <w:pPr>
              <w:jc w:val="center"/>
              <w:rPr>
                <w:rFonts w:ascii="宋体"/>
                <w:szCs w:val="21"/>
              </w:rPr>
            </w:pPr>
            <w:r>
              <w:rPr>
                <w:rFonts w:hint="eastAsia" w:ascii="宋体" w:hAnsi="宋体"/>
                <w:szCs w:val="21"/>
              </w:rPr>
              <w:t>线鼻子与芯线连接锡焊</w:t>
            </w:r>
          </w:p>
        </w:tc>
        <w:tc>
          <w:tcPr>
            <w:tcW w:w="2312" w:type="dxa"/>
            <w:vAlign w:val="center"/>
          </w:tcPr>
          <w:p>
            <w:pPr>
              <w:jc w:val="center"/>
              <w:rPr>
                <w:rFonts w:ascii="宋体"/>
                <w:szCs w:val="21"/>
              </w:rPr>
            </w:pPr>
            <w:r>
              <w:rPr>
                <w:rFonts w:hint="eastAsia" w:ascii="宋体" w:hAnsi="宋体"/>
                <w:szCs w:val="21"/>
              </w:rPr>
              <w:t>焊锡膏检查</w:t>
            </w:r>
          </w:p>
        </w:tc>
        <w:tc>
          <w:tcPr>
            <w:tcW w:w="720" w:type="dxa"/>
            <w:vAlign w:val="center"/>
          </w:tcPr>
          <w:p>
            <w:pPr>
              <w:jc w:val="center"/>
              <w:rPr>
                <w:rFonts w:ascii="宋体"/>
                <w:szCs w:val="21"/>
              </w:rPr>
            </w:pPr>
          </w:p>
        </w:tc>
        <w:tc>
          <w:tcPr>
            <w:tcW w:w="3060" w:type="dxa"/>
            <w:vAlign w:val="center"/>
          </w:tcPr>
          <w:p>
            <w:pPr>
              <w:jc w:val="center"/>
              <w:rPr>
                <w:rFonts w:ascii="宋体"/>
                <w:szCs w:val="21"/>
              </w:rPr>
            </w:pPr>
            <w:r>
              <w:rPr>
                <w:rFonts w:hint="eastAsia" w:ascii="宋体" w:hAnsi="宋体"/>
                <w:szCs w:val="21"/>
              </w:rPr>
              <w:t>无腐蚀</w:t>
            </w:r>
          </w:p>
        </w:tc>
        <w:tc>
          <w:tcPr>
            <w:tcW w:w="252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48" w:type="dxa"/>
            <w:gridSpan w:val="2"/>
            <w:vMerge w:val="continue"/>
            <w:vAlign w:val="center"/>
          </w:tcPr>
          <w:p>
            <w:pPr>
              <w:jc w:val="center"/>
              <w:rPr>
                <w:rFonts w:ascii="宋体"/>
                <w:szCs w:val="21"/>
              </w:rPr>
            </w:pPr>
          </w:p>
        </w:tc>
        <w:tc>
          <w:tcPr>
            <w:tcW w:w="2312" w:type="dxa"/>
            <w:vAlign w:val="center"/>
          </w:tcPr>
          <w:p>
            <w:pPr>
              <w:jc w:val="center"/>
              <w:rPr>
                <w:rFonts w:ascii="宋体"/>
                <w:szCs w:val="21"/>
              </w:rPr>
            </w:pPr>
            <w:r>
              <w:rPr>
                <w:rFonts w:hint="eastAsia" w:ascii="宋体" w:hAnsi="宋体"/>
                <w:szCs w:val="21"/>
              </w:rPr>
              <w:t>焊锡饱满凸出光滑无毛刺</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r>
              <w:rPr>
                <w:rFonts w:hint="eastAsia" w:ascii="宋体" w:hAnsi="宋体"/>
                <w:szCs w:val="21"/>
              </w:rPr>
              <w:t>焊接牢固、接触良好</w:t>
            </w:r>
          </w:p>
        </w:tc>
        <w:tc>
          <w:tcPr>
            <w:tcW w:w="2520" w:type="dxa"/>
            <w:vAlign w:val="center"/>
          </w:tcPr>
          <w:p>
            <w:pPr>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748" w:type="dxa"/>
            <w:gridSpan w:val="2"/>
            <w:vAlign w:val="center"/>
          </w:tcPr>
          <w:p>
            <w:pPr>
              <w:jc w:val="center"/>
              <w:rPr>
                <w:rFonts w:ascii="宋体"/>
                <w:szCs w:val="21"/>
              </w:rPr>
            </w:pPr>
            <w:r>
              <w:rPr>
                <w:rFonts w:hint="eastAsia" w:ascii="宋体" w:hAnsi="宋体"/>
                <w:szCs w:val="21"/>
              </w:rPr>
              <w:t>线鼻子与芯线压接连接</w:t>
            </w:r>
          </w:p>
        </w:tc>
        <w:tc>
          <w:tcPr>
            <w:tcW w:w="2312" w:type="dxa"/>
            <w:vAlign w:val="center"/>
          </w:tcPr>
          <w:p>
            <w:pPr>
              <w:jc w:val="center"/>
              <w:rPr>
                <w:rFonts w:ascii="宋体"/>
                <w:szCs w:val="21"/>
              </w:rPr>
            </w:pPr>
            <w:r>
              <w:rPr>
                <w:rFonts w:hint="eastAsia" w:ascii="宋体" w:hAnsi="宋体"/>
                <w:szCs w:val="21"/>
              </w:rPr>
              <w:t>压入深度，压接位置及坑间排列</w:t>
            </w:r>
          </w:p>
        </w:tc>
        <w:tc>
          <w:tcPr>
            <w:tcW w:w="720" w:type="dxa"/>
            <w:vAlign w:val="center"/>
          </w:tcPr>
          <w:p>
            <w:pPr>
              <w:jc w:val="center"/>
              <w:rPr>
                <w:rFonts w:ascii="宋体"/>
                <w:szCs w:val="21"/>
              </w:rPr>
            </w:pPr>
            <w:r>
              <w:rPr>
                <w:rFonts w:hint="eastAsia" w:ascii="宋体" w:hAnsi="宋体"/>
                <w:szCs w:val="21"/>
              </w:rPr>
              <w:t>主要</w:t>
            </w:r>
          </w:p>
        </w:tc>
        <w:tc>
          <w:tcPr>
            <w:tcW w:w="3060" w:type="dxa"/>
            <w:vAlign w:val="center"/>
          </w:tcPr>
          <w:p>
            <w:pPr>
              <w:jc w:val="center"/>
              <w:rPr>
                <w:rFonts w:ascii="宋体"/>
                <w:szCs w:val="21"/>
              </w:rPr>
            </w:pPr>
            <w:r>
              <w:rPr>
                <w:rFonts w:hint="eastAsia" w:ascii="宋体" w:hAnsi="宋体"/>
                <w:szCs w:val="21"/>
              </w:rPr>
              <w:t>符合工艺规程规定，线鼻子与芯线接触良好，无裂纹断线</w:t>
            </w:r>
          </w:p>
        </w:tc>
        <w:tc>
          <w:tcPr>
            <w:tcW w:w="2520" w:type="dxa"/>
            <w:vAlign w:val="center"/>
          </w:tcPr>
          <w:p>
            <w:pPr>
              <w:jc w:val="center"/>
              <w:rPr>
                <w:rFonts w:ascii="宋体"/>
                <w:szCs w:val="21"/>
              </w:rPr>
            </w:pPr>
            <w:r>
              <w:rPr>
                <w:rFonts w:hint="eastAsia" w:ascii="宋体" w:hAnsi="宋体"/>
                <w:szCs w:val="21"/>
              </w:rPr>
              <w:t>对照工艺观察检查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3060" w:type="dxa"/>
            <w:gridSpan w:val="3"/>
            <w:vAlign w:val="center"/>
          </w:tcPr>
          <w:p>
            <w:pPr>
              <w:spacing w:line="360" w:lineRule="auto"/>
              <w:jc w:val="center"/>
              <w:rPr>
                <w:rFonts w:ascii="宋体"/>
                <w:szCs w:val="21"/>
              </w:rPr>
            </w:pPr>
            <w:r>
              <w:rPr>
                <w:rFonts w:hint="eastAsia" w:ascii="宋体" w:hAnsi="宋体"/>
                <w:szCs w:val="21"/>
              </w:rPr>
              <w:t>相色标志</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正确</w:t>
            </w:r>
          </w:p>
        </w:tc>
        <w:tc>
          <w:tcPr>
            <w:tcW w:w="2520" w:type="dxa"/>
            <w:vAlign w:val="center"/>
          </w:tcPr>
          <w:p>
            <w:pPr>
              <w:spacing w:line="360" w:lineRule="auto"/>
              <w:jc w:val="center"/>
              <w:rPr>
                <w:rFonts w:ascii="宋体"/>
                <w:szCs w:val="21"/>
              </w:rPr>
            </w:pPr>
            <w:r>
              <w:rPr>
                <w:rFonts w:hint="eastAsia" w:ascii="宋体" w:hAnsi="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控缆盘下入口处电缆排列</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整齐、少交叉</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3060" w:type="dxa"/>
            <w:gridSpan w:val="3"/>
            <w:vAlign w:val="center"/>
          </w:tcPr>
          <w:p>
            <w:pPr>
              <w:spacing w:line="360" w:lineRule="auto"/>
              <w:jc w:val="center"/>
              <w:rPr>
                <w:rFonts w:ascii="宋体"/>
                <w:szCs w:val="21"/>
              </w:rPr>
            </w:pPr>
            <w:r>
              <w:rPr>
                <w:rFonts w:hint="eastAsia" w:ascii="宋体" w:hAnsi="宋体"/>
                <w:szCs w:val="21"/>
              </w:rPr>
              <w:t>控缆上盘时弯度</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3060" w:type="dxa"/>
            <w:gridSpan w:val="3"/>
            <w:vAlign w:val="center"/>
          </w:tcPr>
          <w:p>
            <w:pPr>
              <w:spacing w:line="360" w:lineRule="auto"/>
              <w:jc w:val="center"/>
              <w:rPr>
                <w:rFonts w:ascii="宋体"/>
                <w:szCs w:val="21"/>
              </w:rPr>
            </w:pPr>
            <w:r>
              <w:rPr>
                <w:rFonts w:hint="eastAsia" w:ascii="宋体" w:hAnsi="宋体"/>
                <w:szCs w:val="21"/>
              </w:rPr>
              <w:t>铠装剥切位置</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在盘下侧，且一致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控缆电缆牌规格</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060" w:type="dxa"/>
            <w:gridSpan w:val="3"/>
            <w:vAlign w:val="center"/>
          </w:tcPr>
          <w:p>
            <w:pPr>
              <w:spacing w:line="360" w:lineRule="auto"/>
              <w:jc w:val="center"/>
              <w:rPr>
                <w:rFonts w:ascii="宋体"/>
                <w:szCs w:val="21"/>
              </w:rPr>
            </w:pPr>
            <w:r>
              <w:rPr>
                <w:rFonts w:hint="eastAsia" w:ascii="宋体" w:hAnsi="宋体"/>
                <w:szCs w:val="21"/>
              </w:rPr>
              <w:t>控缆电缆牌标志内容</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齐全正确</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3060" w:type="dxa"/>
            <w:gridSpan w:val="3"/>
            <w:vAlign w:val="center"/>
          </w:tcPr>
          <w:p>
            <w:pPr>
              <w:spacing w:line="360" w:lineRule="auto"/>
              <w:jc w:val="center"/>
              <w:rPr>
                <w:rFonts w:ascii="宋体"/>
                <w:szCs w:val="21"/>
              </w:rPr>
            </w:pPr>
            <w:r>
              <w:rPr>
                <w:rFonts w:hint="eastAsia" w:ascii="宋体" w:hAnsi="宋体"/>
                <w:szCs w:val="21"/>
              </w:rPr>
              <w:t>控缆挂牌位置</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每个电缆头下</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控缆标志牌固定</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整齐牢固</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控缆头制作用塑料带</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同盘内应一致</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控缆芯线绝缘层外观检查</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完好无损伤</w:t>
            </w:r>
          </w:p>
        </w:tc>
        <w:tc>
          <w:tcPr>
            <w:tcW w:w="2520" w:type="dxa"/>
            <w:vAlign w:val="center"/>
          </w:tcPr>
          <w:p>
            <w:pPr>
              <w:spacing w:line="360" w:lineRule="auto"/>
              <w:jc w:val="center"/>
              <w:rPr>
                <w:rFonts w:ascii="宋体"/>
                <w:szCs w:val="21"/>
              </w:rPr>
            </w:pPr>
            <w:r>
              <w:rPr>
                <w:rFonts w:hint="eastAsia" w:ascii="宋体" w:hAnsi="宋体"/>
                <w:szCs w:val="21"/>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060" w:type="dxa"/>
            <w:gridSpan w:val="3"/>
            <w:vAlign w:val="center"/>
          </w:tcPr>
          <w:p>
            <w:pPr>
              <w:spacing w:line="360" w:lineRule="auto"/>
              <w:jc w:val="center"/>
              <w:rPr>
                <w:rFonts w:ascii="宋体"/>
                <w:szCs w:val="21"/>
              </w:rPr>
            </w:pPr>
            <w:r>
              <w:rPr>
                <w:rFonts w:hint="eastAsia" w:ascii="宋体" w:hAnsi="宋体"/>
                <w:szCs w:val="21"/>
              </w:rPr>
              <w:t>控缆屏蔽层接地</w:t>
            </w:r>
          </w:p>
        </w:tc>
        <w:tc>
          <w:tcPr>
            <w:tcW w:w="720" w:type="dxa"/>
            <w:vAlign w:val="center"/>
          </w:tcPr>
          <w:p>
            <w:pPr>
              <w:spacing w:line="360" w:lineRule="auto"/>
              <w:jc w:val="center"/>
              <w:rPr>
                <w:rFonts w:ascii="宋体"/>
                <w:szCs w:val="21"/>
              </w:rPr>
            </w:pPr>
          </w:p>
        </w:tc>
        <w:tc>
          <w:tcPr>
            <w:tcW w:w="3060" w:type="dxa"/>
            <w:vAlign w:val="center"/>
          </w:tcPr>
          <w:p>
            <w:pPr>
              <w:spacing w:line="360" w:lineRule="auto"/>
              <w:jc w:val="center"/>
              <w:rPr>
                <w:rFonts w:ascii="宋体"/>
                <w:szCs w:val="21"/>
              </w:rPr>
            </w:pPr>
            <w:r>
              <w:rPr>
                <w:rFonts w:hint="eastAsia" w:ascii="宋体" w:hAnsi="宋体"/>
                <w:szCs w:val="21"/>
              </w:rPr>
              <w:t>可靠</w:t>
            </w:r>
          </w:p>
        </w:tc>
        <w:tc>
          <w:tcPr>
            <w:tcW w:w="2520" w:type="dxa"/>
            <w:vAlign w:val="center"/>
          </w:tcPr>
          <w:p>
            <w:pPr>
              <w:spacing w:line="360" w:lineRule="auto"/>
              <w:jc w:val="center"/>
              <w:rPr>
                <w:rFonts w:ascii="宋体"/>
                <w:szCs w:val="21"/>
              </w:rPr>
            </w:pPr>
            <w:r>
              <w:rPr>
                <w:rFonts w:hint="eastAsia" w:ascii="宋体" w:hAnsi="宋体"/>
                <w:szCs w:val="21"/>
              </w:rPr>
              <w:t>观察</w:t>
            </w:r>
          </w:p>
        </w:tc>
      </w:tr>
      <w:bookmarkEnd w:id="30"/>
      <w:bookmarkEnd w:id="31"/>
      <w:bookmarkEnd w:id="32"/>
      <w:bookmarkEnd w:id="33"/>
      <w:bookmarkEnd w:id="34"/>
      <w:bookmarkEnd w:id="35"/>
    </w:tbl>
    <w:p>
      <w:pPr>
        <w:tabs>
          <w:tab w:val="left" w:pos="0"/>
          <w:tab w:val="left" w:pos="600"/>
        </w:tabs>
        <w:spacing w:line="360" w:lineRule="auto"/>
        <w:rPr>
          <w:rFonts w:ascii="宋体"/>
          <w:sz w:val="24"/>
          <w:szCs w:val="24"/>
        </w:rPr>
      </w:pPr>
      <w:bookmarkStart w:id="36" w:name="_Toc19738"/>
      <w:bookmarkStart w:id="37" w:name="_Toc25176"/>
      <w:bookmarkStart w:id="38" w:name="_Toc25735"/>
      <w:bookmarkStart w:id="39" w:name="_Toc685"/>
      <w:bookmarkStart w:id="40" w:name="_Toc24291"/>
      <w:bookmarkStart w:id="41" w:name="_Toc18225"/>
      <w:bookmarkStart w:id="42" w:name="_Toc7226"/>
      <w:bookmarkStart w:id="43" w:name="_Toc4704"/>
      <w:bookmarkStart w:id="44" w:name="_Toc12002"/>
      <w:bookmarkStart w:id="45" w:name="_Toc26878"/>
      <w:r>
        <w:rPr>
          <w:rFonts w:ascii="宋体" w:hAnsi="宋体"/>
          <w:sz w:val="24"/>
          <w:szCs w:val="24"/>
        </w:rPr>
        <w:t>5.4.6</w:t>
      </w:r>
      <w:r>
        <w:rPr>
          <w:rFonts w:hint="eastAsia" w:ascii="宋体" w:hAnsi="宋体"/>
          <w:sz w:val="24"/>
          <w:szCs w:val="24"/>
        </w:rPr>
        <w:t>二次配线</w:t>
      </w:r>
    </w:p>
    <w:p>
      <w:pPr>
        <w:tabs>
          <w:tab w:val="left" w:pos="0"/>
          <w:tab w:val="left" w:pos="600"/>
        </w:tabs>
        <w:spacing w:line="360" w:lineRule="auto"/>
        <w:rPr>
          <w:rFonts w:ascii="宋体"/>
          <w:b/>
          <w:sz w:val="24"/>
          <w:szCs w:val="24"/>
        </w:rPr>
      </w:pPr>
      <w:r>
        <w:rPr>
          <w:rFonts w:ascii="宋体" w:hAnsi="宋体"/>
          <w:sz w:val="24"/>
          <w:szCs w:val="24"/>
        </w:rPr>
        <w:t>5.4.6.1</w:t>
      </w:r>
      <w:r>
        <w:rPr>
          <w:rFonts w:hint="eastAsia" w:ascii="宋体" w:hAnsi="宋体"/>
          <w:sz w:val="24"/>
          <w:szCs w:val="24"/>
        </w:rPr>
        <w:t>整理电缆，困扎成把，固定在盘柜框架上，电缆那固定良好可靠，避免电缆芯处于受力状态，导致拉扯芯线及端子，给电站运行留下隐患。</w:t>
      </w:r>
    </w:p>
    <w:p>
      <w:pPr>
        <w:tabs>
          <w:tab w:val="left" w:pos="0"/>
          <w:tab w:val="left" w:pos="600"/>
        </w:tabs>
        <w:spacing w:line="360" w:lineRule="auto"/>
        <w:rPr>
          <w:rFonts w:ascii="宋体"/>
          <w:sz w:val="24"/>
          <w:szCs w:val="24"/>
        </w:rPr>
      </w:pPr>
      <w:r>
        <w:rPr>
          <w:rFonts w:ascii="宋体" w:hAnsi="宋体"/>
          <w:sz w:val="24"/>
          <w:szCs w:val="24"/>
        </w:rPr>
        <w:t>5.4.6.2</w:t>
      </w:r>
      <w:r>
        <w:rPr>
          <w:rFonts w:hint="eastAsia" w:ascii="宋体" w:hAnsi="宋体"/>
          <w:sz w:val="24"/>
          <w:szCs w:val="24"/>
        </w:rPr>
        <w:t>电缆进出盘柜要排列整齐，编号清晰固定牢靠。铠装电缆要在进盘柜后切断钢带，电缆头制作高度统一且电缆头制作美观。电缆剖头深浅长短要把握好，避免伤及芯线绝缘。要在断口处扎紧且钢带要引出接地线可靠接地，无明确要求时，计算机系统电缆统一单端在计算机控制柜内接地可靠。</w:t>
      </w:r>
    </w:p>
    <w:p>
      <w:pPr>
        <w:tabs>
          <w:tab w:val="left" w:pos="0"/>
          <w:tab w:val="left" w:pos="600"/>
        </w:tabs>
        <w:spacing w:line="360" w:lineRule="auto"/>
        <w:rPr>
          <w:rFonts w:ascii="宋体"/>
          <w:sz w:val="24"/>
          <w:szCs w:val="24"/>
        </w:rPr>
      </w:pPr>
      <w:r>
        <w:rPr>
          <w:rFonts w:ascii="宋体" w:hAnsi="宋体"/>
          <w:sz w:val="24"/>
          <w:szCs w:val="24"/>
        </w:rPr>
        <w:t>5.4.6.3</w:t>
      </w:r>
      <w:r>
        <w:rPr>
          <w:rFonts w:hint="eastAsia" w:ascii="宋体" w:hAnsi="宋体"/>
          <w:sz w:val="24"/>
          <w:szCs w:val="24"/>
        </w:rPr>
        <w:t>电缆插接位置正确，接触紧密牢靠，插接端子完好无损。</w:t>
      </w:r>
    </w:p>
    <w:p>
      <w:pPr>
        <w:tabs>
          <w:tab w:val="left" w:pos="0"/>
          <w:tab w:val="left" w:pos="600"/>
        </w:tabs>
        <w:spacing w:line="360" w:lineRule="auto"/>
        <w:rPr>
          <w:rFonts w:ascii="宋体"/>
          <w:sz w:val="24"/>
          <w:szCs w:val="24"/>
        </w:rPr>
      </w:pPr>
      <w:r>
        <w:rPr>
          <w:rFonts w:ascii="宋体" w:hAnsi="宋体"/>
          <w:sz w:val="24"/>
          <w:szCs w:val="24"/>
        </w:rPr>
        <w:t>5.4.6.4</w:t>
      </w:r>
      <w:r>
        <w:rPr>
          <w:rFonts w:hint="eastAsia" w:ascii="宋体" w:hAnsi="宋体"/>
          <w:sz w:val="24"/>
          <w:szCs w:val="24"/>
        </w:rPr>
        <w:t>电缆芯线要标明电缆编号，回路号，端子号，字迹清晰，不褪色。芯线标示管与电缆芯线大小相对应，长度一致，标识内容同设计图纸一致。电缆备用芯也应有标识，方便查找。电缆芯线用接线鼻子必需压接牢固紧密。</w:t>
      </w:r>
    </w:p>
    <w:p>
      <w:pPr>
        <w:tabs>
          <w:tab w:val="left" w:pos="0"/>
          <w:tab w:val="left" w:pos="600"/>
        </w:tabs>
        <w:spacing w:line="360" w:lineRule="auto"/>
        <w:rPr>
          <w:rFonts w:ascii="宋体"/>
          <w:sz w:val="24"/>
          <w:szCs w:val="24"/>
        </w:rPr>
      </w:pPr>
      <w:r>
        <w:rPr>
          <w:rFonts w:ascii="宋体" w:hAnsi="宋体"/>
          <w:sz w:val="24"/>
          <w:szCs w:val="24"/>
        </w:rPr>
        <w:t>5.4.6.5</w:t>
      </w:r>
      <w:r>
        <w:rPr>
          <w:rFonts w:hint="eastAsia" w:ascii="宋体" w:hAnsi="宋体"/>
          <w:sz w:val="24"/>
          <w:szCs w:val="24"/>
        </w:rPr>
        <w:t>盘内导线不得有接头。盘柜内设备间连线不允许“</w:t>
      </w:r>
      <w:r>
        <w:rPr>
          <w:rFonts w:ascii="宋体" w:hAnsi="宋体"/>
          <w:sz w:val="24"/>
          <w:szCs w:val="24"/>
        </w:rPr>
        <w:t>T</w:t>
      </w:r>
      <w:r>
        <w:rPr>
          <w:rFonts w:hint="eastAsia" w:ascii="宋体" w:hAnsi="宋体"/>
          <w:sz w:val="24"/>
          <w:szCs w:val="24"/>
        </w:rPr>
        <w:t>“接。电缆接线时，其芯线应留有适当的裕度。</w:t>
      </w:r>
    </w:p>
    <w:p>
      <w:pPr>
        <w:tabs>
          <w:tab w:val="left" w:pos="0"/>
          <w:tab w:val="left" w:pos="600"/>
        </w:tabs>
        <w:spacing w:line="360" w:lineRule="auto"/>
        <w:rPr>
          <w:rFonts w:ascii="宋体"/>
          <w:sz w:val="24"/>
          <w:szCs w:val="24"/>
        </w:rPr>
      </w:pPr>
      <w:r>
        <w:rPr>
          <w:rFonts w:ascii="宋体" w:hAnsi="宋体"/>
          <w:sz w:val="24"/>
          <w:szCs w:val="24"/>
        </w:rPr>
        <w:t>5.4.6.6</w:t>
      </w:r>
      <w:r>
        <w:rPr>
          <w:rFonts w:hint="eastAsia" w:ascii="宋体" w:hAnsi="宋体"/>
          <w:sz w:val="24"/>
          <w:szCs w:val="24"/>
        </w:rPr>
        <w:t>电流回路应采用电压不低于</w:t>
      </w:r>
      <w:r>
        <w:rPr>
          <w:rFonts w:ascii="宋体" w:hAnsi="宋体"/>
          <w:sz w:val="24"/>
          <w:szCs w:val="24"/>
        </w:rPr>
        <w:t>500V</w:t>
      </w:r>
      <w:r>
        <w:rPr>
          <w:rFonts w:hint="eastAsia" w:ascii="宋体" w:hAnsi="宋体"/>
          <w:sz w:val="24"/>
          <w:szCs w:val="24"/>
        </w:rPr>
        <w:t>的铜芯绝缘导线，其截面大于或等于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；其它回路截面大于或等于</w:t>
      </w:r>
      <w:r>
        <w:rPr>
          <w:rFonts w:ascii="宋体" w:hAnsi="宋体"/>
          <w:sz w:val="24"/>
          <w:szCs w:val="24"/>
        </w:rPr>
        <w:t>1.5mm</w:t>
      </w:r>
      <w:r>
        <w:rPr>
          <w:rFonts w:ascii="宋体" w:hAnsi="宋体"/>
          <w:sz w:val="24"/>
          <w:szCs w:val="24"/>
          <w:vertAlign w:val="superscript"/>
        </w:rPr>
        <w:t>2</w:t>
      </w:r>
      <w:r>
        <w:rPr>
          <w:rFonts w:hint="eastAsia" w:ascii="宋体" w:hAnsi="宋体"/>
          <w:sz w:val="24"/>
          <w:szCs w:val="24"/>
        </w:rPr>
        <w:t>；弱电回路导线截面大于或等于</w:t>
      </w:r>
      <w:r>
        <w:rPr>
          <w:rFonts w:ascii="宋体" w:hAnsi="宋体"/>
          <w:sz w:val="24"/>
          <w:szCs w:val="24"/>
        </w:rPr>
        <w:t>0.75mm</w:t>
      </w:r>
      <w:r>
        <w:rPr>
          <w:rFonts w:ascii="宋体" w:hAnsi="宋体"/>
          <w:sz w:val="24"/>
          <w:szCs w:val="24"/>
          <w:vertAlign w:val="superscript"/>
        </w:rPr>
        <w:t>2</w:t>
      </w:r>
      <w:r>
        <w:rPr>
          <w:rFonts w:hint="eastAsia" w:ascii="宋体" w:hAnsi="宋体"/>
          <w:sz w:val="24"/>
          <w:szCs w:val="24"/>
        </w:rPr>
        <w:t>。靠近高温元件的导线要采用阻燃热绝缘导线。</w:t>
      </w:r>
    </w:p>
    <w:p>
      <w:pPr>
        <w:tabs>
          <w:tab w:val="left" w:pos="0"/>
          <w:tab w:val="left" w:pos="600"/>
        </w:tabs>
        <w:spacing w:line="360" w:lineRule="auto"/>
        <w:rPr>
          <w:rFonts w:ascii="宋体"/>
          <w:sz w:val="24"/>
          <w:szCs w:val="24"/>
        </w:rPr>
      </w:pPr>
      <w:r>
        <w:rPr>
          <w:rFonts w:ascii="宋体" w:hAnsi="宋体"/>
          <w:sz w:val="24"/>
          <w:szCs w:val="24"/>
        </w:rPr>
        <w:t>5.4.6.7</w:t>
      </w:r>
      <w:r>
        <w:rPr>
          <w:rFonts w:hint="eastAsia" w:ascii="宋体" w:hAnsi="宋体"/>
          <w:sz w:val="24"/>
          <w:szCs w:val="24"/>
        </w:rPr>
        <w:t>强弱电端子要分开布置；正负电源之间以及经常带电的正电源与合闸或跳闸回路之间要用空端子隔开。每个端子原则上每侧只接一根导线，端子接线应压接牢固紧密，若接线鼻子带有护套，严禁端子压接在护套上。</w:t>
      </w:r>
    </w:p>
    <w:p>
      <w:pPr>
        <w:spacing w:line="360" w:lineRule="auto"/>
        <w:rPr>
          <w:rFonts w:ascii="宋体"/>
          <w:b/>
          <w:bCs/>
          <w:sz w:val="24"/>
          <w:szCs w:val="24"/>
        </w:rPr>
      </w:pPr>
      <w:r>
        <w:rPr>
          <w:rFonts w:ascii="宋体" w:hAnsi="宋体"/>
          <w:sz w:val="24"/>
          <w:szCs w:val="24"/>
        </w:rPr>
        <w:t>5.4.6.8</w:t>
      </w:r>
      <w:r>
        <w:rPr>
          <w:rFonts w:hint="eastAsia" w:ascii="宋体" w:hAnsi="宋体"/>
          <w:sz w:val="24"/>
          <w:szCs w:val="24"/>
        </w:rPr>
        <w:t>依据设计图纸查核配线的准确性，检查各设备间的连接是否正确，测试二次回路绝缘电阻不低于</w:t>
      </w:r>
      <w:r>
        <w:rPr>
          <w:rFonts w:ascii="宋体" w:hAnsi="宋体"/>
          <w:sz w:val="24"/>
          <w:szCs w:val="24"/>
        </w:rPr>
        <w:t>1</w:t>
      </w:r>
      <w:r>
        <w:rPr>
          <w:rFonts w:hint="eastAsia" w:ascii="宋体" w:hAnsi="宋体"/>
          <w:sz w:val="24"/>
          <w:szCs w:val="24"/>
        </w:rPr>
        <w:t>兆欧。交流回路外部端子对地</w:t>
      </w:r>
      <w:r>
        <w:rPr>
          <w:rFonts w:ascii="宋体" w:hAnsi="宋体"/>
          <w:sz w:val="24"/>
          <w:szCs w:val="24"/>
        </w:rPr>
        <w:t>10</w:t>
      </w:r>
      <w:r>
        <w:rPr>
          <w:rFonts w:hint="eastAsia" w:ascii="宋体" w:hAnsi="宋体"/>
          <w:sz w:val="24"/>
          <w:szCs w:val="24"/>
        </w:rPr>
        <w:t>兆欧以上。不接地直流回路对地电阻大于</w:t>
      </w:r>
      <w:r>
        <w:rPr>
          <w:rFonts w:ascii="宋体" w:hAnsi="宋体"/>
          <w:sz w:val="24"/>
          <w:szCs w:val="24"/>
        </w:rPr>
        <w:t>1</w:t>
      </w:r>
      <w:r>
        <w:rPr>
          <w:rFonts w:hint="eastAsia" w:ascii="宋体" w:hAnsi="宋体"/>
          <w:sz w:val="24"/>
          <w:szCs w:val="24"/>
        </w:rPr>
        <w:t>兆欧。</w:t>
      </w:r>
    </w:p>
    <w:p>
      <w:pPr>
        <w:spacing w:line="360" w:lineRule="auto"/>
        <w:rPr>
          <w:rFonts w:ascii="宋体"/>
          <w:bCs/>
          <w:sz w:val="24"/>
          <w:szCs w:val="24"/>
        </w:rPr>
      </w:pPr>
      <w:r>
        <w:rPr>
          <w:rFonts w:ascii="宋体" w:hAnsi="宋体"/>
          <w:bCs/>
          <w:sz w:val="24"/>
          <w:szCs w:val="24"/>
        </w:rPr>
        <w:t>5.5</w:t>
      </w:r>
      <w:r>
        <w:rPr>
          <w:rFonts w:hint="eastAsia" w:ascii="宋体" w:hAnsi="宋体"/>
          <w:bCs/>
          <w:sz w:val="24"/>
          <w:szCs w:val="24"/>
        </w:rPr>
        <w:t>防雷接地制作安装质量控制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w:t>
      </w:r>
      <w:r>
        <w:rPr>
          <w:rFonts w:hint="eastAsia" w:ascii="宋体" w:hAnsi="宋体"/>
          <w:sz w:val="24"/>
          <w:szCs w:val="24"/>
        </w:rPr>
        <w:t>接地极的制作</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5.1.1</w:t>
      </w:r>
      <w:r>
        <w:rPr>
          <w:rFonts w:hint="eastAsia" w:ascii="宋体" w:hAnsi="宋体"/>
          <w:sz w:val="24"/>
          <w:szCs w:val="24"/>
        </w:rPr>
        <w:t>按照设计要求选取∠</w:t>
      </w:r>
      <w:r>
        <w:rPr>
          <w:rFonts w:ascii="宋体" w:hAnsi="宋体"/>
          <w:sz w:val="24"/>
          <w:szCs w:val="24"/>
        </w:rPr>
        <w:t>50*50</w:t>
      </w:r>
      <w:r>
        <w:rPr>
          <w:rFonts w:hint="eastAsia" w:ascii="宋体" w:hAnsi="宋体"/>
          <w:sz w:val="24"/>
          <w:szCs w:val="24"/>
        </w:rPr>
        <w:t>镀锌角钢，长</w:t>
      </w:r>
      <w:r>
        <w:rPr>
          <w:rFonts w:ascii="宋体" w:hAnsi="宋体"/>
          <w:sz w:val="24"/>
          <w:szCs w:val="24"/>
        </w:rPr>
        <w:t>2.5</w:t>
      </w:r>
      <w:r>
        <w:rPr>
          <w:rFonts w:hint="eastAsia" w:ascii="宋体" w:hAnsi="宋体"/>
          <w:sz w:val="24"/>
          <w:szCs w:val="24"/>
        </w:rPr>
        <w:t>米，加工成易打入地下的尖形状，尖部的垂直距离为</w:t>
      </w:r>
      <w:r>
        <w:rPr>
          <w:rFonts w:ascii="宋体" w:hAnsi="宋体"/>
          <w:sz w:val="24"/>
          <w:szCs w:val="24"/>
        </w:rPr>
        <w:t>120mm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5.5.2</w:t>
      </w:r>
      <w:r>
        <w:rPr>
          <w:rFonts w:hint="eastAsia" w:ascii="宋体" w:hAnsi="宋体"/>
          <w:sz w:val="24"/>
          <w:szCs w:val="24"/>
        </w:rPr>
        <w:t>接地安装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 xml:space="preserve">2.1 </w:t>
      </w:r>
      <w:r>
        <w:rPr>
          <w:rFonts w:hint="eastAsia" w:ascii="宋体" w:hAnsi="宋体"/>
          <w:sz w:val="24"/>
          <w:szCs w:val="24"/>
        </w:rPr>
        <w:t>在已加工完成的接地极上套好事先加工好的管帽，按图纸标出的位置使用铁锤将接地极打入地下，尽量利用地形地势，避开硬的岩石层将接地极按图纸要求位置逐一打入土层。垂直接地极间距不小于</w:t>
      </w:r>
      <w:r>
        <w:rPr>
          <w:rFonts w:ascii="宋体" w:hAnsi="宋体"/>
          <w:sz w:val="24"/>
          <w:szCs w:val="24"/>
        </w:rPr>
        <w:t>5</w:t>
      </w:r>
      <w:r>
        <w:rPr>
          <w:rFonts w:hint="eastAsia" w:ascii="宋体" w:hAnsi="宋体"/>
          <w:sz w:val="24"/>
          <w:szCs w:val="24"/>
        </w:rPr>
        <w:t>米，与建筑物距离大于</w:t>
      </w:r>
      <w:r>
        <w:rPr>
          <w:rFonts w:ascii="宋体" w:hAnsi="宋体"/>
          <w:sz w:val="24"/>
          <w:szCs w:val="24"/>
        </w:rPr>
        <w:t>1.5</w:t>
      </w:r>
      <w:r>
        <w:rPr>
          <w:rFonts w:hint="eastAsia" w:ascii="宋体" w:hAnsi="宋体"/>
          <w:sz w:val="24"/>
          <w:szCs w:val="24"/>
        </w:rPr>
        <w:t>米，其顶部埋设深度应不小于设计标高</w:t>
      </w:r>
      <w:r>
        <w:rPr>
          <w:rFonts w:ascii="宋体" w:hAnsi="宋体"/>
          <w:sz w:val="24"/>
          <w:szCs w:val="24"/>
        </w:rPr>
        <w:t>0.8</w:t>
      </w:r>
      <w:r>
        <w:rPr>
          <w:rFonts w:hint="eastAsia" w:ascii="宋体" w:hAnsi="宋体"/>
          <w:sz w:val="24"/>
          <w:szCs w:val="24"/>
        </w:rPr>
        <w:t>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2.2</w:t>
      </w:r>
      <w:r>
        <w:rPr>
          <w:rFonts w:hint="eastAsia" w:ascii="宋体" w:hAnsi="宋体"/>
          <w:sz w:val="24"/>
          <w:szCs w:val="24"/>
        </w:rPr>
        <w:t>放入接地母线，接地母线与接地极的连接采用焊接，接触面三面焊接，接地母线与接地母线搭接紧密，保证接触面焊接长度大于扁钢宽度的</w:t>
      </w:r>
      <w:r>
        <w:rPr>
          <w:rFonts w:ascii="宋体" w:hAnsi="宋体"/>
          <w:sz w:val="24"/>
          <w:szCs w:val="24"/>
        </w:rPr>
        <w:t>2</w:t>
      </w:r>
      <w:r>
        <w:rPr>
          <w:rFonts w:hint="eastAsia" w:ascii="宋体" w:hAnsi="宋体"/>
          <w:sz w:val="24"/>
          <w:szCs w:val="24"/>
        </w:rPr>
        <w:t>倍，接地母线外缘闭合角呈圆弧形。</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2.3</w:t>
      </w:r>
      <w:r>
        <w:rPr>
          <w:rFonts w:hint="eastAsia" w:ascii="宋体" w:hAnsi="宋体"/>
          <w:sz w:val="24"/>
          <w:szCs w:val="24"/>
        </w:rPr>
        <w:t>接地母线通过公路、铁路、管道、墙体等交叉处及可能遭机械损伤处穿钢管保护。</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2.4</w:t>
      </w:r>
      <w:r>
        <w:rPr>
          <w:rFonts w:hint="eastAsia" w:ascii="宋体" w:hAnsi="宋体"/>
          <w:sz w:val="24"/>
          <w:szCs w:val="24"/>
        </w:rPr>
        <w:t>接地母线通过电缆沟隧道、沟道应沿沟壁弯成合适形状，与沟壁紧靠，并与电缆沟内桥架接地母线牢固焊接。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2.5</w:t>
      </w:r>
      <w:r>
        <w:rPr>
          <w:rFonts w:hint="eastAsia" w:ascii="宋体" w:hAnsi="宋体"/>
          <w:sz w:val="24"/>
          <w:szCs w:val="24"/>
        </w:rPr>
        <w:t>与接地母线直接接触的回填土应是纯净的土壤，不能有石块</w:t>
      </w:r>
      <w:r>
        <w:rPr>
          <w:rFonts w:ascii="宋体"/>
          <w:sz w:val="24"/>
          <w:szCs w:val="24"/>
        </w:rPr>
        <w:t>.</w:t>
      </w:r>
      <w:r>
        <w:rPr>
          <w:rFonts w:hint="eastAsia" w:ascii="宋体" w:hAnsi="宋体"/>
          <w:sz w:val="24"/>
          <w:szCs w:val="24"/>
        </w:rPr>
        <w:t>泥沙</w:t>
      </w:r>
      <w:r>
        <w:rPr>
          <w:rFonts w:ascii="宋体"/>
          <w:sz w:val="24"/>
          <w:szCs w:val="24"/>
        </w:rPr>
        <w:t>.</w:t>
      </w:r>
      <w:r>
        <w:rPr>
          <w:rFonts w:hint="eastAsia" w:ascii="宋体" w:hAnsi="宋体"/>
          <w:sz w:val="24"/>
          <w:szCs w:val="24"/>
        </w:rPr>
        <w:t>建筑材料和垃圾，外取的土壤不得有较强的腐蚀性，在回填土时应分层夯实。</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2.6</w:t>
      </w:r>
      <w:r>
        <w:rPr>
          <w:rFonts w:hint="eastAsia" w:ascii="宋体" w:hAnsi="宋体"/>
          <w:sz w:val="24"/>
          <w:szCs w:val="24"/>
        </w:rPr>
        <w:t>接地母线焊接点刷防腐漆，两端向外延长</w:t>
      </w:r>
      <w:r>
        <w:rPr>
          <w:rFonts w:ascii="宋体" w:hAnsi="宋体"/>
          <w:sz w:val="24"/>
          <w:szCs w:val="24"/>
        </w:rPr>
        <w:t>100mm</w:t>
      </w:r>
      <w:r>
        <w:rPr>
          <w:rFonts w:hint="eastAsia" w:ascii="宋体" w:hAnsi="宋体"/>
          <w:sz w:val="24"/>
          <w:szCs w:val="24"/>
        </w:rPr>
        <w:t>，在引向建筑物的入口处刷</w:t>
      </w:r>
      <w:r>
        <w:rPr>
          <w:rFonts w:ascii="宋体" w:hAnsi="宋体"/>
          <w:sz w:val="24"/>
          <w:szCs w:val="24"/>
        </w:rPr>
        <w:t>100mm</w:t>
      </w:r>
      <w:r>
        <w:rPr>
          <w:rFonts w:hint="eastAsia" w:ascii="宋体" w:hAnsi="宋体"/>
          <w:sz w:val="24"/>
          <w:szCs w:val="24"/>
        </w:rPr>
        <w:t>绿黄相间标志漆，并标以黑色接地符号。屋面接地网及主接地按照设计要求可利用立柱钢筋或内敷接地带，与屋面接地网可靠焊接。</w:t>
      </w:r>
      <w:r>
        <w:rPr>
          <w:rFonts w:ascii="宋体" w:hAnsi="宋体"/>
          <w:sz w:val="24"/>
          <w:szCs w:val="24"/>
        </w:rPr>
        <w:t xml:space="preserve">  </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2.7</w:t>
      </w:r>
      <w:r>
        <w:rPr>
          <w:rFonts w:hint="eastAsia" w:ascii="宋体" w:hAnsi="宋体"/>
          <w:sz w:val="24"/>
          <w:szCs w:val="24"/>
        </w:rPr>
        <w:t>电器设备接地均应用﹣50</w:t>
      </w:r>
      <w:r>
        <w:rPr>
          <w:rFonts w:ascii="宋体" w:hAnsi="宋体"/>
          <w:sz w:val="24"/>
          <w:szCs w:val="24"/>
        </w:rPr>
        <w:t>*</w:t>
      </w:r>
      <w:r>
        <w:rPr>
          <w:rFonts w:hint="eastAsia" w:ascii="宋体" w:hAnsi="宋体"/>
          <w:sz w:val="24"/>
          <w:szCs w:val="24"/>
        </w:rPr>
        <w:t>5热镀锌扁钢与主接地网可靠连接。电缆管一端与电缆沟道内接地干线或电缆桥架连接，另一端焊接扁钢与设备接地螺栓连接，或采用不小于</w:t>
      </w:r>
      <w:r>
        <w:rPr>
          <w:rFonts w:ascii="宋体" w:hAnsi="宋体"/>
          <w:sz w:val="24"/>
          <w:szCs w:val="24"/>
        </w:rPr>
        <w:t>10</w:t>
      </w:r>
      <w:r>
        <w:rPr>
          <w:rFonts w:hint="eastAsia" w:ascii="宋体" w:hAnsi="宋体"/>
          <w:sz w:val="24"/>
          <w:szCs w:val="24"/>
        </w:rPr>
        <w:t>平方毫米编织软铜线与设备接地螺栓连接。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2.8</w:t>
      </w:r>
      <w:r>
        <w:rPr>
          <w:rFonts w:hint="eastAsia" w:ascii="宋体"/>
          <w:sz w:val="24"/>
          <w:szCs w:val="24"/>
        </w:rPr>
        <w:t>二次设备的屏蔽接地应符合设计要求。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2.9</w:t>
      </w:r>
      <w:r>
        <w:rPr>
          <w:rFonts w:hint="eastAsia" w:ascii="宋体" w:hAnsi="宋体"/>
          <w:sz w:val="24"/>
          <w:szCs w:val="24"/>
        </w:rPr>
        <w:t>变压器、配电、控制、保护用的盘、箱的框架均应根据设计需要设置保护接地，此外电气设备的传动装置也应设保护接地，与主接地网连接。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2.10</w:t>
      </w:r>
      <w:r>
        <w:rPr>
          <w:rFonts w:hint="eastAsia" w:ascii="宋体" w:hAnsi="宋体"/>
          <w:sz w:val="24"/>
          <w:szCs w:val="24"/>
        </w:rPr>
        <w:t>明敷接地线明显和分线处涂以</w:t>
      </w:r>
      <w:r>
        <w:rPr>
          <w:rFonts w:ascii="宋体" w:hAnsi="宋体"/>
          <w:sz w:val="24"/>
          <w:szCs w:val="24"/>
        </w:rPr>
        <w:t>100mm</w:t>
      </w:r>
      <w:r>
        <w:rPr>
          <w:rFonts w:hint="eastAsia" w:ascii="宋体" w:hAnsi="宋体"/>
          <w:sz w:val="24"/>
          <w:szCs w:val="24"/>
        </w:rPr>
        <w:t>等宽的黄色、绿色相间条纹。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2.11</w:t>
      </w:r>
      <w:r>
        <w:rPr>
          <w:rFonts w:hint="eastAsia" w:ascii="宋体" w:hAnsi="宋体"/>
          <w:sz w:val="24"/>
          <w:szCs w:val="24"/>
        </w:rPr>
        <w:t>所有焊口进行防腐处理，刷防腐漆。</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2.12</w:t>
      </w:r>
      <w:r>
        <w:rPr>
          <w:rFonts w:hint="eastAsia" w:ascii="宋体" w:hAnsi="宋体"/>
          <w:sz w:val="24"/>
          <w:szCs w:val="24"/>
        </w:rPr>
        <w:t>接地装置安装完后由试验人员进行接地电阻测量，不大于设计电阻值即为合格。</w:t>
      </w:r>
    </w:p>
    <w:bookmarkEnd w:id="36"/>
    <w:bookmarkEnd w:id="37"/>
    <w:bookmarkEnd w:id="38"/>
    <w:bookmarkEnd w:id="39"/>
    <w:bookmarkEnd w:id="40"/>
    <w:bookmarkEnd w:id="41"/>
    <w:bookmarkEnd w:id="42"/>
    <w:bookmarkEnd w:id="43"/>
    <w:bookmarkEnd w:id="44"/>
    <w:bookmarkEnd w:id="45"/>
    <w:p>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箱质量控制</w:t>
      </w:r>
    </w:p>
    <w:p>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6.1</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箱、变压器、盘柜外观无撞击、划痕、起皮和掉漆现象，规格型号、数量应符合设计要求。附件、备件齐全，备品备件齐全，产品技术文件、合格证应齐全。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6.2</w:t>
      </w:r>
      <w:r>
        <w:rPr>
          <w:rFonts w:hint="eastAsia" w:ascii="宋体" w:hAnsi="宋体"/>
          <w:sz w:val="24"/>
          <w:szCs w:val="24"/>
        </w:rPr>
        <w:t>变压器油位符合要求并试验合格，无渗漏油现象，测量器件齐全。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w:t>
      </w:r>
      <w:r>
        <w:rPr>
          <w:rFonts w:hint="eastAsia" w:ascii="宋体" w:hAnsi="宋体"/>
          <w:sz w:val="24"/>
          <w:szCs w:val="24"/>
        </w:rPr>
        <w:t>内部配电屏外观质量要求</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6.3.1</w:t>
      </w:r>
      <w:r>
        <w:rPr>
          <w:rFonts w:hint="eastAsia" w:ascii="宋体" w:hAnsi="宋体"/>
          <w:sz w:val="24"/>
          <w:szCs w:val="24"/>
        </w:rPr>
        <w:t>垂直度（每米）：小于</w:t>
      </w:r>
      <w:r>
        <w:rPr>
          <w:rFonts w:ascii="宋体" w:hAnsi="宋体"/>
          <w:sz w:val="24"/>
          <w:szCs w:val="24"/>
        </w:rPr>
        <w:t>1.5mm</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6.3.2</w:t>
      </w:r>
      <w:r>
        <w:rPr>
          <w:rFonts w:hint="eastAsia" w:ascii="宋体" w:hAnsi="宋体"/>
          <w:sz w:val="24"/>
          <w:szCs w:val="24"/>
        </w:rPr>
        <w:t>水平偏差：相邻两盘顶部小于</w:t>
      </w:r>
      <w:r>
        <w:rPr>
          <w:rFonts w:ascii="宋体" w:hAnsi="宋体"/>
          <w:sz w:val="24"/>
          <w:szCs w:val="24"/>
        </w:rPr>
        <w:t>2mm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6.3.3</w:t>
      </w:r>
      <w:r>
        <w:rPr>
          <w:rFonts w:hint="eastAsia" w:ascii="宋体" w:hAnsi="宋体"/>
          <w:sz w:val="24"/>
          <w:szCs w:val="24"/>
        </w:rPr>
        <w:t>盘面偏差：相邻两盘顶部小于</w:t>
      </w:r>
      <w:r>
        <w:rPr>
          <w:rFonts w:ascii="宋体" w:hAnsi="宋体"/>
          <w:sz w:val="24"/>
          <w:szCs w:val="24"/>
        </w:rPr>
        <w:t>1mm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6.3.4</w:t>
      </w:r>
      <w:r>
        <w:rPr>
          <w:rFonts w:hint="eastAsia" w:ascii="宋体" w:hAnsi="宋体"/>
          <w:sz w:val="24"/>
          <w:szCs w:val="24"/>
        </w:rPr>
        <w:t>盘间接缝：小于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6.3.5</w:t>
      </w:r>
      <w:r>
        <w:rPr>
          <w:rFonts w:hint="eastAsia" w:ascii="宋体" w:hAnsi="宋体"/>
          <w:sz w:val="24"/>
          <w:szCs w:val="24"/>
        </w:rPr>
        <w:t>连接和固定盘柜所用的螺栓、螺母、垫圈等应采用镀锌件。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6.3.6</w:t>
      </w:r>
      <w:r>
        <w:rPr>
          <w:rFonts w:hint="eastAsia" w:ascii="宋体" w:hAnsi="宋体"/>
          <w:sz w:val="24"/>
          <w:szCs w:val="24"/>
        </w:rPr>
        <w:t>母线的连接应良好，绝缘支撑件、安装件应牢固可靠。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6.3.7</w:t>
      </w:r>
      <w:r>
        <w:rPr>
          <w:rFonts w:hint="eastAsia" w:ascii="宋体" w:hAnsi="宋体"/>
          <w:sz w:val="24"/>
          <w:szCs w:val="24"/>
        </w:rPr>
        <w:t>二次带电体间和带电体对地距离不小于</w:t>
      </w:r>
      <w:r>
        <w:rPr>
          <w:rFonts w:ascii="宋体" w:hAnsi="宋体"/>
          <w:sz w:val="24"/>
          <w:szCs w:val="24"/>
        </w:rPr>
        <w:t>4</w:t>
      </w:r>
      <w:r>
        <w:rPr>
          <w:rFonts w:hint="eastAsia" w:ascii="宋体" w:hAnsi="宋体"/>
          <w:sz w:val="24"/>
          <w:szCs w:val="24"/>
        </w:rPr>
        <w:t>毫米，表面漏电距离不小于</w:t>
      </w:r>
      <w:r>
        <w:rPr>
          <w:rFonts w:ascii="宋体" w:hAnsi="宋体"/>
          <w:sz w:val="24"/>
          <w:szCs w:val="24"/>
        </w:rPr>
        <w:t>6</w:t>
      </w:r>
      <w:r>
        <w:rPr>
          <w:rFonts w:hint="eastAsia" w:ascii="宋体" w:hAnsi="宋体"/>
          <w:sz w:val="24"/>
          <w:szCs w:val="24"/>
        </w:rPr>
        <w:t>毫米。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6.3.8</w:t>
      </w:r>
      <w:r>
        <w:rPr>
          <w:rFonts w:hint="eastAsia" w:ascii="宋体" w:hAnsi="宋体"/>
          <w:sz w:val="24"/>
          <w:szCs w:val="24"/>
        </w:rPr>
        <w:t>小母线不同相或不同极的裸露载流部分之间及未绝缘的金属体之间电气间隙不得小于</w:t>
      </w:r>
      <w:r>
        <w:rPr>
          <w:rFonts w:ascii="宋体" w:hAnsi="宋体"/>
          <w:sz w:val="24"/>
          <w:szCs w:val="24"/>
        </w:rPr>
        <w:t>12mm</w:t>
      </w:r>
      <w:r>
        <w:rPr>
          <w:rFonts w:hint="eastAsia" w:ascii="宋体" w:hAnsi="宋体"/>
          <w:sz w:val="24"/>
          <w:szCs w:val="24"/>
        </w:rPr>
        <w:t>。爬电距离不得小于</w:t>
      </w:r>
      <w:r>
        <w:rPr>
          <w:rFonts w:ascii="宋体" w:hAnsi="宋体"/>
          <w:sz w:val="24"/>
          <w:szCs w:val="24"/>
        </w:rPr>
        <w:t>20mm</w:t>
      </w:r>
      <w:r>
        <w:rPr>
          <w:rFonts w:hint="eastAsia" w:ascii="宋体" w:hAnsi="宋体"/>
          <w:sz w:val="24"/>
          <w:szCs w:val="24"/>
        </w:rPr>
        <w:t>。小母线在断开所有其它并联支路时，绝缘电阻应大于</w:t>
      </w:r>
      <w:r>
        <w:rPr>
          <w:rFonts w:ascii="宋体" w:hAnsi="宋体"/>
          <w:sz w:val="24"/>
          <w:szCs w:val="24"/>
        </w:rPr>
        <w:t>10M</w:t>
      </w:r>
      <w:r>
        <w:rPr>
          <w:rFonts w:hint="eastAsia" w:ascii="宋体" w:hAnsi="宋体"/>
          <w:sz w:val="24"/>
          <w:szCs w:val="24"/>
        </w:rPr>
        <w:t>Ω。</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6.3.9</w:t>
      </w:r>
      <w:r>
        <w:rPr>
          <w:rFonts w:hint="eastAsia" w:ascii="宋体" w:hAnsi="宋体"/>
          <w:sz w:val="24"/>
          <w:szCs w:val="24"/>
        </w:rPr>
        <w:t>所有设备标识、相色标识、回路名称标识要清晰、不易脱色。</w:t>
      </w:r>
    </w:p>
    <w:p>
      <w:pPr>
        <w:tabs>
          <w:tab w:val="left" w:pos="0"/>
          <w:tab w:val="left" w:pos="1080"/>
        </w:tabs>
        <w:spacing w:line="360" w:lineRule="auto"/>
        <w:rPr>
          <w:rFonts w:asci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7231380</wp:posOffset>
                </wp:positionV>
                <wp:extent cx="600075" cy="292735"/>
                <wp:effectExtent l="0" t="0" r="0" b="0"/>
                <wp:wrapNone/>
                <wp:docPr id="5" name="文本框 6"/>
                <wp:cNvGraphicFramePr/>
                <a:graphic xmlns:a="http://schemas.openxmlformats.org/drawingml/2006/main">
                  <a:graphicData uri="http://schemas.microsoft.com/office/word/2010/wordprocessingShape">
                    <wps:wsp>
                      <wps:cNvSpPr txBox="1"/>
                      <wps:spPr>
                        <a:xfrm>
                          <a:off x="0" y="0"/>
                          <a:ext cx="600075" cy="292735"/>
                        </a:xfrm>
                        <a:prstGeom prst="rect">
                          <a:avLst/>
                        </a:prstGeom>
                        <a:noFill/>
                        <a:ln w="9525">
                          <a:noFill/>
                        </a:ln>
                      </wps:spPr>
                      <wps:txbx>
                        <w:txbxContent>
                          <w:p>
                            <w:pPr>
                              <w:ind w:right="-105" w:rightChars="-50"/>
                              <w:rPr>
                                <w:b/>
                                <w:color w:val="FF0000"/>
                                <w:spacing w:val="-20"/>
                                <w:szCs w:val="21"/>
                              </w:rPr>
                            </w:pPr>
                          </w:p>
                          <w:p/>
                        </w:txbxContent>
                      </wps:txbx>
                      <wps:bodyPr upright="1"/>
                    </wps:wsp>
                  </a:graphicData>
                </a:graphic>
              </wp:anchor>
            </w:drawing>
          </mc:Choice>
          <mc:Fallback>
            <w:pict>
              <v:shape id="文本框 6" o:spid="_x0000_s1026" o:spt="202" type="#_x0000_t202" style="position:absolute;left:0pt;margin-left:372.75pt;margin-top:569.4pt;height:23.05pt;width:47.25pt;z-index:251659264;mso-width-relative:page;mso-height-relative:page;" filled="f" stroked="f" coordsize="21600,21600" o:gfxdata="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JTCEDYAAAADQEAAA8AAAAAAAAAAQAgAAAAIgAAAGRycy9kb3ducmV2LnhtbFBLAQIUABQAAAAI&#10;AIdO4kCjTsCvtAEAAFYDAAAOAAAAAAAAAAEAIAAAACcBAABkcnMvZTJvRG9jLnhtbFBLBQYAAAAA&#10;BgAGAFkBAABNBQAAAAA=&#10;">
                <v:fill on="f" focussize="0,0"/>
                <v:stroke on="f"/>
                <v:imagedata o:title=""/>
                <o:lock v:ext="edit" aspectratio="f"/>
                <v:textbox>
                  <w:txbxContent>
                    <w:p>
                      <w:pPr>
                        <w:ind w:right="-105" w:rightChars="-50"/>
                        <w:rPr>
                          <w:b/>
                          <w:color w:val="FF0000"/>
                          <w:spacing w:val="-20"/>
                          <w:szCs w:val="21"/>
                        </w:rPr>
                      </w:pPr>
                    </w:p>
                    <w:p/>
                  </w:txbxContent>
                </v:textbox>
              </v:shape>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4736465</wp:posOffset>
                </wp:positionH>
                <wp:positionV relativeFrom="paragraph">
                  <wp:posOffset>6263640</wp:posOffset>
                </wp:positionV>
                <wp:extent cx="794385" cy="2940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794385" cy="294005"/>
                        </a:xfrm>
                        <a:prstGeom prst="rect">
                          <a:avLst/>
                        </a:prstGeom>
                        <a:noFill/>
                        <a:ln w="9525">
                          <a:noFill/>
                        </a:ln>
                      </wps:spPr>
                      <wps:txbx>
                        <w:txbxContent>
                          <w:p/>
                        </w:txbxContent>
                      </wps:txbx>
                      <wps:bodyPr upright="1"/>
                    </wps:wsp>
                  </a:graphicData>
                </a:graphic>
              </wp:anchor>
            </w:drawing>
          </mc:Choice>
          <mc:Fallback>
            <w:pict>
              <v:shape id="文本框 7" o:spid="_x0000_s1026" o:spt="202" type="#_x0000_t202" style="position:absolute;left:0pt;margin-left:372.95pt;margin-top:493.2pt;height:23.15pt;width:62.55pt;z-index:251659264;mso-width-relative:page;mso-height-relative:page;" filled="f" stroked="f" coordsize="21600,21600" o:gfxdata="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viGIvZAAAADAEAAA8AAAAAAAAAAQAgAAAAIgAAAGRycy9kb3ducmV2LnhtbFBLAQIUABQA&#10;AAAIAIdO4kD897zTtgEAAFYDAAAOAAAAAAAAAAEAIAAAACgBAABkcnMvZTJvRG9jLnhtbFBLBQYA&#10;AAAABgAGAFkBAABQBQAAAAA=&#10;">
                <v:fill on="f" focussize="0,0"/>
                <v:stroke on="f"/>
                <v:imagedata o:title=""/>
                <o:lock v:ext="edit" aspectratio="f"/>
                <v:textbox>
                  <w:txbxContent>
                    <w:p/>
                  </w:txbxContent>
                </v:textbox>
              </v:shape>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4144010</wp:posOffset>
                </wp:positionV>
                <wp:extent cx="342900" cy="842645"/>
                <wp:effectExtent l="0" t="0" r="0" b="0"/>
                <wp:wrapNone/>
                <wp:docPr id="7" name="文本框 8"/>
                <wp:cNvGraphicFramePr/>
                <a:graphic xmlns:a="http://schemas.openxmlformats.org/drawingml/2006/main">
                  <a:graphicData uri="http://schemas.microsoft.com/office/word/2010/wordprocessingShape">
                    <wps:wsp>
                      <wps:cNvSpPr txBox="1"/>
                      <wps:spPr>
                        <a:xfrm>
                          <a:off x="0" y="0"/>
                          <a:ext cx="342900" cy="842645"/>
                        </a:xfrm>
                        <a:prstGeom prst="rect">
                          <a:avLst/>
                        </a:prstGeom>
                        <a:noFill/>
                        <a:ln w="9525">
                          <a:noFill/>
                        </a:ln>
                      </wps:spPr>
                      <wps:txbx>
                        <w:txbxContent>
                          <w:p>
                            <w:pPr>
                              <w:rPr>
                                <w:sz w:val="18"/>
                                <w:szCs w:val="18"/>
                              </w:rPr>
                            </w:pPr>
                          </w:p>
                        </w:txbxContent>
                      </wps:txbx>
                      <wps:bodyPr vert="vert270" upright="1"/>
                    </wps:wsp>
                  </a:graphicData>
                </a:graphic>
              </wp:anchor>
            </w:drawing>
          </mc:Choice>
          <mc:Fallback>
            <w:pict>
              <v:shape id="文本框 8" o:spid="_x0000_s1026" o:spt="202" type="#_x0000_t202" style="position:absolute;left:0pt;margin-left:-36pt;margin-top:326.3pt;height:66.35pt;width:27pt;z-index:251660288;mso-width-relative:page;mso-height-relative:page;" filled="f" stroked="f" coordsize="21600,21600" o:gfxdata="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4jCztwAAAALAQAADwAAAAAAAAABACAAAAAiAAAAZHJzL2Rvd25yZXYu&#10;eG1sUEsBAhQAFAAAAAgAh07iQM3SA4q+AQAAZQMAAA4AAAAAAAAAAQAgAAAAKwEAAGRycy9lMm9E&#10;b2MueG1sUEsFBgAAAAAGAAYAWQEAAFsFAAAAAA==&#10;">
                <v:fill on="f" focussize="0,0"/>
                <v:stroke on="f"/>
                <v:imagedata o:title=""/>
                <o:lock v:ext="edit" aspectratio="f"/>
                <v:textbox style="layout-flow:vertical;mso-layout-flow-alt:bottom-to-top;">
                  <w:txbxContent>
                    <w:p>
                      <w:pPr>
                        <w:rPr>
                          <w:sz w:val="18"/>
                          <w:szCs w:val="18"/>
                        </w:rPr>
                      </w:pPr>
                    </w:p>
                  </w:txbxContent>
                </v:textbox>
              </v:shape>
            </w:pict>
          </mc:Fallback>
        </mc:AlternateContent>
      </w:r>
      <w:r>
        <w:rPr>
          <w:rFonts w:ascii="宋体" w:hAnsi="宋体"/>
          <w:sz w:val="24"/>
          <w:szCs w:val="24"/>
        </w:rPr>
        <w:t>5.6.4</w:t>
      </w:r>
      <w:r>
        <w:rPr>
          <w:rFonts w:hint="eastAsia" w:ascii="宋体" w:hAnsi="宋体"/>
          <w:sz w:val="24"/>
          <w:szCs w:val="24"/>
        </w:rPr>
        <w:t>隔离开关及高压熔断器质量控制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w:t>
      </w:r>
      <w:r>
        <w:rPr>
          <w:rFonts w:hint="eastAsia" w:ascii="宋体" w:hAnsi="宋体"/>
          <w:sz w:val="24"/>
          <w:szCs w:val="24"/>
        </w:rPr>
        <w:t>隔离开关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6.4.1.1</w:t>
      </w:r>
      <w:r>
        <w:rPr>
          <w:rFonts w:hint="eastAsia" w:ascii="宋体" w:hAnsi="宋体"/>
          <w:sz w:val="24"/>
          <w:szCs w:val="24"/>
        </w:rPr>
        <w:t>接线端子及载流部分应清洁，且接触良好，触头镀银层无脱落。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6.4.1.2</w:t>
      </w:r>
      <w:r>
        <w:rPr>
          <w:rFonts w:hint="eastAsia" w:ascii="宋体" w:hAnsi="宋体"/>
          <w:sz w:val="24"/>
          <w:szCs w:val="24"/>
        </w:rPr>
        <w:t>绝缘子表面应清洁，无裂纹、破损、焊接残留斑点等缺陷，瓷铁粘合应牢固。</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6.4.1.3</w:t>
      </w:r>
      <w:r>
        <w:rPr>
          <w:rFonts w:hint="eastAsia" w:ascii="宋体" w:hAnsi="宋体"/>
          <w:sz w:val="24"/>
          <w:szCs w:val="24"/>
        </w:rPr>
        <w:t>隔离开关的底座转动部分应灵活，并应涂以适合的润滑油。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6.4.1.4</w:t>
      </w:r>
      <w:r>
        <w:rPr>
          <w:rFonts w:hint="eastAsia" w:ascii="宋体" w:hAnsi="宋体"/>
          <w:sz w:val="24"/>
          <w:szCs w:val="24"/>
        </w:rPr>
        <w:t>操作机构的零部件应齐全，所有固定部件应紧固，转动部件应涂以适合当地气候的润滑油。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6.4.1.5</w:t>
      </w:r>
      <w:r>
        <w:rPr>
          <w:rFonts w:hint="eastAsia" w:ascii="宋体" w:hAnsi="宋体"/>
          <w:sz w:val="24"/>
          <w:szCs w:val="24"/>
        </w:rPr>
        <w:t>隔离开关的闭锁装置应动作灵活、准确可靠；带有接地刀刃的隔离开关，接地刀刃与主触头间的机械或电气闭锁应准确可靠。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6.4.1.6</w:t>
      </w:r>
      <w:r>
        <w:rPr>
          <w:rFonts w:hint="eastAsia" w:ascii="宋体" w:hAnsi="宋体"/>
          <w:sz w:val="24"/>
          <w:szCs w:val="24"/>
        </w:rPr>
        <w:t>隔离开关及负荷开关的辅助开关应安装牢固，并动作准确，接触良好，其安装位置应便于检查；装于室外时，应有防雨措施。</w:t>
      </w:r>
      <w: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99060</wp:posOffset>
                </wp:positionV>
                <wp:extent cx="2400300" cy="297180"/>
                <wp:effectExtent l="0" t="0" r="0" b="0"/>
                <wp:wrapNone/>
                <wp:docPr id="8" name="文本框 9"/>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w="9525">
                          <a:noFill/>
                        </a:ln>
                      </wps:spPr>
                      <wps:txbx>
                        <w:txbxContent>
                          <w:p/>
                        </w:txbxContent>
                      </wps:txbx>
                      <wps:bodyPr upright="1"/>
                    </wps:wsp>
                  </a:graphicData>
                </a:graphic>
              </wp:anchor>
            </w:drawing>
          </mc:Choice>
          <mc:Fallback>
            <w:pict>
              <v:shape id="文本框 9" o:spid="_x0000_s1026" o:spt="202" type="#_x0000_t202" style="position:absolute;left:0pt;margin-left:210pt;margin-top:7.8pt;height:23.4pt;width:189pt;z-index:251661312;mso-width-relative:page;mso-height-relative:page;" filled="f" stroked="f" coordsize="21600,21600" o:gfxdata="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6T8r1QAAAAkBAAAPAAAAAAAAAAEAIAAAACIAAABkcnMvZG93bnJldi54bWxQSwECFAAUAAAACACH&#10;TuJAxmY997UBAABXAwAADgAAAAAAAAABACAAAAAkAQAAZHJzL2Uyb0RvYy54bWxQSwUGAAAAAAYA&#10;BgBZAQAASwUAAAAA&#10;">
                <v:fill on="f" focussize="0,0"/>
                <v:stroke on="f"/>
                <v:imagedata o:title=""/>
                <o:lock v:ext="edit" aspectratio="f"/>
                <v:textbox>
                  <w:txbxContent>
                    <w:p/>
                  </w:txbxContent>
                </v:textbox>
              </v:shape>
            </w:pict>
          </mc:Fallback>
        </mc:AlternateConten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w:t>
      </w:r>
      <w:r>
        <w:rPr>
          <w:rFonts w:hint="eastAsia" w:ascii="宋体" w:hAnsi="宋体"/>
          <w:sz w:val="24"/>
          <w:szCs w:val="24"/>
        </w:rPr>
        <w:t>高压熔断器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6.4.2.1</w:t>
      </w:r>
      <w:r>
        <w:rPr>
          <w:rFonts w:hint="eastAsia" w:ascii="宋体" w:hAnsi="宋体"/>
          <w:sz w:val="24"/>
          <w:szCs w:val="24"/>
        </w:rPr>
        <w:t>带钳口的熔断器，其熔丝管应紧密地插入钳口内。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6.4.2.2</w:t>
      </w:r>
      <w:r>
        <w:rPr>
          <w:rFonts w:hint="eastAsia" w:ascii="宋体" w:hAnsi="宋体"/>
          <w:sz w:val="24"/>
          <w:szCs w:val="24"/>
        </w:rPr>
        <w:t>装有动作指示器的熔断器，应便于检查指示器的动作情况。</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6.4.2.3</w:t>
      </w:r>
      <w:r>
        <w:rPr>
          <w:rFonts w:hint="eastAsia" w:ascii="宋体" w:hAnsi="宋体"/>
          <w:sz w:val="24"/>
          <w:szCs w:val="24"/>
        </w:rPr>
        <w:t>跌落式熔断器熔管的有机绝缘物应无裂纹、变形；熔管轴线与铅垂线的夹角应为</w:t>
      </w:r>
      <w:r>
        <w:rPr>
          <w:rFonts w:ascii="宋体" w:hAnsi="宋体"/>
          <w:sz w:val="24"/>
          <w:szCs w:val="24"/>
        </w:rPr>
        <w:t>15</w:t>
      </w:r>
      <w:r>
        <w:rPr>
          <w:rFonts w:hint="eastAsia" w:ascii="宋体" w:hAnsi="宋体"/>
          <w:sz w:val="24"/>
          <w:szCs w:val="24"/>
        </w:rPr>
        <w:t>～</w:t>
      </w:r>
      <w:r>
        <w:rPr>
          <w:rFonts w:ascii="宋体" w:hAnsi="宋体"/>
          <w:sz w:val="24"/>
          <w:szCs w:val="24"/>
        </w:rPr>
        <w:t>30</w:t>
      </w:r>
      <w:bookmarkStart w:id="46" w:name="_Toc318380211"/>
      <w:r>
        <w:rPr>
          <w:rFonts w:hint="eastAsia" w:ascii="宋体" w:hAnsi="宋体"/>
          <w:sz w:val="24"/>
          <w:szCs w:val="24"/>
        </w:rPr>
        <w:t>°，其转动部分应灵活；跌落时不应碰及其它物体而损坏熔管。</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w:t>
      </w:r>
      <w:r>
        <w:rPr>
          <w:rFonts w:hint="eastAsia" w:ascii="宋体" w:hAnsi="宋体"/>
          <w:sz w:val="24"/>
          <w:szCs w:val="24"/>
        </w:rPr>
        <w:t>铜母线安装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5.1</w:t>
      </w:r>
      <w:r>
        <w:rPr>
          <w:rFonts w:hint="eastAsia" w:ascii="宋体" w:hAnsi="宋体"/>
          <w:sz w:val="24"/>
          <w:szCs w:val="24"/>
        </w:rPr>
        <w:t>接铜排不得有明显的损伤或严重腐蚀等缺陷。金具表面应光滑，无裂纹，伤痕，砂眼，锈蚀，滑扣等缺陷，锌层不应剥落。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5.2</w:t>
      </w:r>
      <w:r>
        <w:rPr>
          <w:rFonts w:hint="eastAsia" w:ascii="宋体" w:hAnsi="宋体"/>
          <w:sz w:val="24"/>
          <w:szCs w:val="24"/>
        </w:rPr>
        <w:t>接铜排安装前的检查应符合下列规定：根据设计图对设备线夹进行开孔，开孔直径宜大于螺栓直径</w:t>
      </w:r>
      <w:r>
        <w:rPr>
          <w:rFonts w:ascii="宋体" w:hAnsi="宋体"/>
          <w:sz w:val="24"/>
          <w:szCs w:val="24"/>
        </w:rPr>
        <w:t>1mm</w:t>
      </w:r>
      <w:r>
        <w:rPr>
          <w:rFonts w:hint="eastAsia" w:ascii="宋体" w:hAnsi="宋体"/>
          <w:sz w:val="24"/>
          <w:szCs w:val="24"/>
        </w:rPr>
        <w:t>。钻孔应垂直，螺孔间中心距离的误差应为正负</w:t>
      </w:r>
      <w:r>
        <w:rPr>
          <w:rFonts w:ascii="宋体" w:hAnsi="宋体"/>
          <w:sz w:val="24"/>
          <w:szCs w:val="24"/>
        </w:rPr>
        <w:t>0.5mm</w:t>
      </w:r>
      <w:r>
        <w:rPr>
          <w:rFonts w:hint="eastAsia" w:ascii="宋体" w:hAnsi="宋体"/>
          <w:sz w:val="24"/>
          <w:szCs w:val="24"/>
        </w:rPr>
        <w:t>。接铜排的端头伸入设备线夹的长度</w:t>
      </w:r>
      <w:r>
        <w:rPr>
          <w:rFonts w:ascii="宋体" w:hAnsi="宋体"/>
          <w:sz w:val="24"/>
          <w:szCs w:val="24"/>
        </w:rPr>
        <w:t>ING</w:t>
      </w:r>
      <w:r>
        <w:rPr>
          <w:rFonts w:hint="eastAsia" w:ascii="宋体" w:hAnsi="宋体"/>
          <w:sz w:val="24"/>
          <w:szCs w:val="24"/>
        </w:rPr>
        <w:t>达到规定的长度，铜排及线夹接触面均应清除氧化膜，并用汽油或丙酮清洗，清洗长度不应少于连接长度上的</w:t>
      </w:r>
      <w:r>
        <w:rPr>
          <w:rFonts w:ascii="宋体" w:hAnsi="宋体"/>
          <w:sz w:val="24"/>
          <w:szCs w:val="24"/>
        </w:rPr>
        <w:t>1.2</w:t>
      </w:r>
      <w:r>
        <w:rPr>
          <w:rFonts w:hint="eastAsia" w:ascii="宋体" w:hAnsi="宋体"/>
          <w:sz w:val="24"/>
          <w:szCs w:val="24"/>
        </w:rPr>
        <w:t>倍，导电接触面应涂以电力复合脂。接地铜排应进行硫化处理，并应在安装前套热缩绝缘套，接地铜排与至少与两个独立的接地抽头连接，连接面积应符合要求。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5.3</w:t>
      </w:r>
      <w:r>
        <w:rPr>
          <w:rFonts w:hint="eastAsia" w:ascii="宋体" w:hAnsi="宋体"/>
          <w:sz w:val="24"/>
          <w:szCs w:val="24"/>
        </w:rPr>
        <w:t>母线安装时，不得伤及母线，母线轴线应处于一个垂直面上。</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5.4</w:t>
      </w:r>
      <w:r>
        <w:rPr>
          <w:rFonts w:hint="eastAsia" w:ascii="宋体" w:hAnsi="宋体"/>
          <w:sz w:val="24"/>
          <w:szCs w:val="24"/>
        </w:rPr>
        <w:t>母线固定金具与支柱绝缘子间的固定应平整牢固，不应使其所支持的母线受到额外应力；母线安装在滑动式支持器上时，支持器的轴座与管母线之间应有</w:t>
      </w:r>
      <w:r>
        <w:rPr>
          <w:rFonts w:ascii="宋体" w:hAnsi="宋体"/>
          <w:sz w:val="24"/>
          <w:szCs w:val="24"/>
        </w:rPr>
        <w:t>1-2mm</w:t>
      </w:r>
      <w:r>
        <w:rPr>
          <w:rFonts w:hint="eastAsia" w:ascii="宋体" w:hAnsi="宋体"/>
          <w:sz w:val="24"/>
          <w:szCs w:val="24"/>
        </w:rPr>
        <w:t>的间隙。</w:t>
      </w:r>
    </w:p>
    <w:p>
      <w:pPr>
        <w:tabs>
          <w:tab w:val="left" w:pos="0"/>
          <w:tab w:val="left" w:pos="1080"/>
        </w:tabs>
        <w:spacing w:line="360" w:lineRule="auto"/>
        <w:rPr>
          <w:rFonts w:ascii="宋体"/>
          <w:b/>
          <w:sz w:val="24"/>
          <w:szCs w:val="24"/>
        </w:rPr>
      </w:pPr>
      <w:r>
        <w:rPr>
          <w:rFonts w:ascii="宋体" w:hAnsi="宋体"/>
          <w:sz w:val="24"/>
          <w:szCs w:val="24"/>
        </w:rPr>
        <w:t>5.7</w:t>
      </w:r>
      <w:r>
        <w:rPr>
          <w:rFonts w:hint="eastAsia" w:ascii="宋体" w:hAnsi="宋体"/>
          <w:sz w:val="24"/>
          <w:szCs w:val="24"/>
        </w:rPr>
        <w:t>电气二次设备安装质量控制</w:t>
      </w:r>
    </w:p>
    <w:p>
      <w:pPr>
        <w:tabs>
          <w:tab w:val="left" w:pos="0"/>
          <w:tab w:val="left" w:pos="1080"/>
        </w:tabs>
        <w:spacing w:line="360" w:lineRule="auto"/>
        <w:rPr>
          <w:rFonts w:ascii="宋体"/>
          <w:sz w:val="24"/>
          <w:szCs w:val="24"/>
        </w:rPr>
      </w:pPr>
      <w:r>
        <w:rPr>
          <w:rFonts w:ascii="宋体" w:hAnsi="宋体"/>
          <w:sz w:val="24"/>
          <w:szCs w:val="24"/>
        </w:rPr>
        <w:t>5.7.1</w:t>
      </w:r>
      <w:r>
        <w:rPr>
          <w:rFonts w:hint="eastAsia" w:ascii="宋体" w:hAnsi="宋体"/>
          <w:sz w:val="24"/>
          <w:szCs w:val="24"/>
        </w:rPr>
        <w:t>设备开箱验收</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设备开箱验收有建设部组织，监理人，安装单位技术人员，施工人员，制造厂家代表参加，检查盘柜外观有无明显破损。按装箱单清点资料，合格证，附件，备品备件等是否齐全。开箱检查设备固定螺丝，元器件，端子，线头，标签等有无脱落，结构有无裂纹。如开箱检查中发现问题应要求制造厂处理。验收合格后，进行签字认可。</w:t>
      </w:r>
    </w:p>
    <w:p>
      <w:pPr>
        <w:tabs>
          <w:tab w:val="left" w:pos="0"/>
          <w:tab w:val="left" w:pos="600"/>
        </w:tabs>
        <w:spacing w:line="360" w:lineRule="auto"/>
        <w:rPr>
          <w:rFonts w:ascii="宋体"/>
          <w:b/>
          <w:sz w:val="24"/>
          <w:szCs w:val="24"/>
        </w:rPr>
      </w:pPr>
      <w:r>
        <w:rPr>
          <w:rFonts w:ascii="宋体" w:hAnsi="宋体"/>
          <w:sz w:val="24"/>
          <w:szCs w:val="24"/>
        </w:rPr>
        <w:t>5.7.2</w:t>
      </w:r>
      <w:r>
        <w:rPr>
          <w:rFonts w:hint="eastAsia" w:ascii="宋体" w:hAnsi="宋体"/>
          <w:sz w:val="24"/>
          <w:szCs w:val="24"/>
        </w:rPr>
        <w:t>盘柜安装</w:t>
      </w:r>
    </w:p>
    <w:p>
      <w:pPr>
        <w:tabs>
          <w:tab w:val="left" w:pos="0"/>
          <w:tab w:val="left" w:pos="600"/>
        </w:tabs>
        <w:spacing w:line="360" w:lineRule="auto"/>
        <w:rPr>
          <w:rFonts w:ascii="宋体"/>
          <w:sz w:val="24"/>
          <w:szCs w:val="24"/>
        </w:rPr>
      </w:pPr>
      <w:r>
        <w:rPr>
          <w:rFonts w:ascii="宋体" w:hAnsi="宋体"/>
          <w:sz w:val="24"/>
          <w:szCs w:val="24"/>
        </w:rPr>
        <w:t>5.7.2.1</w:t>
      </w:r>
      <w:r>
        <w:rPr>
          <w:rFonts w:hint="eastAsia" w:ascii="宋体" w:hAnsi="宋体"/>
          <w:sz w:val="24"/>
          <w:szCs w:val="24"/>
        </w:rPr>
        <w:t>严格按设计图纸，在设备厂家代表的指导和监督下完成监控系统设备固定安装等工作。</w:t>
      </w:r>
    </w:p>
    <w:p>
      <w:pPr>
        <w:tabs>
          <w:tab w:val="left" w:pos="0"/>
          <w:tab w:val="left" w:pos="600"/>
        </w:tabs>
        <w:spacing w:line="360" w:lineRule="auto"/>
        <w:rPr>
          <w:rFonts w:ascii="宋体"/>
          <w:sz w:val="24"/>
          <w:szCs w:val="24"/>
        </w:rPr>
      </w:pPr>
      <w:r>
        <w:rPr>
          <w:rFonts w:ascii="宋体" w:hAnsi="宋体"/>
          <w:sz w:val="24"/>
          <w:szCs w:val="24"/>
        </w:rPr>
        <w:t>5. 7.2.2</w:t>
      </w:r>
      <w:r>
        <w:rPr>
          <w:rFonts w:hint="eastAsia" w:ascii="宋体" w:hAnsi="宋体"/>
          <w:sz w:val="24"/>
          <w:szCs w:val="24"/>
        </w:rPr>
        <w:t>盘柜按设计图纸或设备厂家要求固定，均无要求时采用螺栓固定，根据盘柜底座安装孔的尺寸，在盘柜基础槽钢上钻孔，焊接螺栓盘柜与基础连接固定。</w:t>
      </w:r>
    </w:p>
    <w:p>
      <w:pPr>
        <w:tabs>
          <w:tab w:val="left" w:pos="0"/>
          <w:tab w:val="left" w:pos="600"/>
        </w:tabs>
        <w:spacing w:line="360" w:lineRule="auto"/>
        <w:rPr>
          <w:rFonts w:ascii="宋体"/>
          <w:sz w:val="24"/>
          <w:szCs w:val="24"/>
        </w:rPr>
      </w:pPr>
      <w:r>
        <w:rPr>
          <w:rFonts w:ascii="宋体" w:hAnsi="宋体"/>
          <w:sz w:val="24"/>
          <w:szCs w:val="24"/>
        </w:rPr>
        <w:t>5.7.2.3</w:t>
      </w:r>
      <w:r>
        <w:rPr>
          <w:rFonts w:hint="eastAsia" w:ascii="宋体" w:hAnsi="宋体"/>
          <w:sz w:val="24"/>
          <w:szCs w:val="24"/>
        </w:rPr>
        <w:t>盘柜安装的垂直偏差每米小于</w:t>
      </w:r>
      <w:r>
        <w:rPr>
          <w:rFonts w:ascii="宋体" w:hAnsi="宋体"/>
          <w:sz w:val="24"/>
          <w:szCs w:val="24"/>
        </w:rPr>
        <w:t>1mm</w:t>
      </w:r>
      <w:r>
        <w:rPr>
          <w:rFonts w:hint="eastAsia" w:ascii="宋体" w:hAnsi="宋体"/>
          <w:sz w:val="24"/>
          <w:szCs w:val="24"/>
        </w:rPr>
        <w:t>，相邻两盘顶部高差小于</w:t>
      </w:r>
      <w:r>
        <w:rPr>
          <w:rFonts w:ascii="宋体" w:hAnsi="宋体"/>
          <w:sz w:val="24"/>
          <w:szCs w:val="24"/>
        </w:rPr>
        <w:t>1mm</w:t>
      </w:r>
      <w:r>
        <w:rPr>
          <w:rFonts w:hint="eastAsia" w:ascii="宋体" w:hAnsi="宋体"/>
          <w:sz w:val="24"/>
          <w:szCs w:val="24"/>
        </w:rPr>
        <w:t>，成列盘盘顶最大高差小于</w:t>
      </w:r>
      <w:r>
        <w:rPr>
          <w:rFonts w:ascii="宋体" w:hAnsi="宋体"/>
          <w:sz w:val="24"/>
          <w:szCs w:val="24"/>
        </w:rPr>
        <w:t>3mm,</w:t>
      </w:r>
      <w:r>
        <w:rPr>
          <w:rFonts w:hint="eastAsia" w:ascii="宋体" w:hAnsi="宋体"/>
          <w:sz w:val="24"/>
          <w:szCs w:val="24"/>
        </w:rPr>
        <w:t>相邻盘盘面偏差小于</w:t>
      </w:r>
      <w:r>
        <w:rPr>
          <w:rFonts w:ascii="宋体" w:hAnsi="宋体"/>
          <w:sz w:val="24"/>
          <w:szCs w:val="24"/>
        </w:rPr>
        <w:t>1mm</w:t>
      </w:r>
      <w:r>
        <w:rPr>
          <w:rFonts w:hint="eastAsia" w:ascii="宋体" w:hAnsi="宋体"/>
          <w:sz w:val="24"/>
          <w:szCs w:val="24"/>
        </w:rPr>
        <w:t>，盘间接缝小于</w:t>
      </w:r>
      <w:r>
        <w:rPr>
          <w:rFonts w:ascii="宋体" w:hAnsi="宋体"/>
          <w:sz w:val="24"/>
          <w:szCs w:val="24"/>
        </w:rPr>
        <w:t>1.5mm</w:t>
      </w:r>
      <w:r>
        <w:rPr>
          <w:rFonts w:hint="eastAsia" w:ascii="宋体" w:hAnsi="宋体"/>
          <w:sz w:val="24"/>
          <w:szCs w:val="24"/>
        </w:rPr>
        <w:t>，其余指标均符合《电气装置安装工程盘，柜及二次回路结线施工及验收规范》要求。</w:t>
      </w:r>
    </w:p>
    <w:p>
      <w:pPr>
        <w:tabs>
          <w:tab w:val="left" w:pos="0"/>
          <w:tab w:val="left" w:pos="600"/>
        </w:tabs>
        <w:spacing w:line="360" w:lineRule="auto"/>
        <w:rPr>
          <w:rFonts w:ascii="宋体"/>
          <w:sz w:val="24"/>
          <w:szCs w:val="24"/>
        </w:rPr>
      </w:pPr>
      <w:r>
        <w:rPr>
          <w:rFonts w:ascii="宋体" w:hAnsi="宋体"/>
          <w:sz w:val="24"/>
          <w:szCs w:val="24"/>
        </w:rPr>
        <w:t>5. 7.2.4</w:t>
      </w:r>
      <w:r>
        <w:rPr>
          <w:rFonts w:hint="eastAsia" w:ascii="宋体" w:hAnsi="宋体"/>
          <w:sz w:val="24"/>
          <w:szCs w:val="24"/>
        </w:rPr>
        <w:t>盘柜除有特殊接地要求外，在基础槽钢上稍偏位置焊接接地螺栓，焊接要牢固可靠，并采用不小于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的接地电线或铜编织线与接地螺栓可靠连接，确保盘柜的可靠接地。</w:t>
      </w:r>
    </w:p>
    <w:p>
      <w:pPr>
        <w:tabs>
          <w:tab w:val="left" w:pos="0"/>
          <w:tab w:val="left" w:pos="600"/>
        </w:tabs>
        <w:spacing w:line="360" w:lineRule="auto"/>
        <w:rPr>
          <w:rFonts w:ascii="宋体"/>
          <w:sz w:val="24"/>
          <w:szCs w:val="24"/>
        </w:rPr>
      </w:pPr>
      <w:r>
        <w:rPr>
          <w:rFonts w:ascii="宋体" w:hAnsi="宋体"/>
          <w:sz w:val="24"/>
          <w:szCs w:val="24"/>
        </w:rPr>
        <w:t>5. 7.2.5</w:t>
      </w:r>
      <w:r>
        <w:rPr>
          <w:rFonts w:hint="eastAsia" w:ascii="宋体" w:hAnsi="宋体"/>
          <w:sz w:val="24"/>
          <w:szCs w:val="24"/>
        </w:rPr>
        <w:t>上位机</w:t>
      </w:r>
      <w:r>
        <w:rPr>
          <w:rFonts w:ascii="宋体" w:hAnsi="宋体"/>
          <w:sz w:val="24"/>
          <w:szCs w:val="24"/>
        </w:rPr>
        <w:t xml:space="preserve"> </w:t>
      </w:r>
      <w:r>
        <w:rPr>
          <w:rFonts w:hint="eastAsia" w:ascii="宋体" w:hAnsi="宋体"/>
          <w:sz w:val="24"/>
          <w:szCs w:val="24"/>
        </w:rPr>
        <w:t>监控设备的安装，如各类工作站及附属设备，网络设备，</w:t>
      </w:r>
      <w:r>
        <w:rPr>
          <w:rFonts w:ascii="宋体" w:hAnsi="宋体"/>
          <w:sz w:val="24"/>
          <w:szCs w:val="24"/>
        </w:rPr>
        <w:t>GPS</w:t>
      </w:r>
      <w:r>
        <w:rPr>
          <w:rFonts w:hint="eastAsia" w:ascii="宋体" w:hAnsi="宋体"/>
          <w:sz w:val="24"/>
          <w:szCs w:val="24"/>
        </w:rPr>
        <w:t>，</w:t>
      </w:r>
      <w:r>
        <w:rPr>
          <w:rFonts w:ascii="宋体" w:hAnsi="宋体"/>
          <w:sz w:val="24"/>
          <w:szCs w:val="24"/>
        </w:rPr>
        <w:t>UPS</w:t>
      </w:r>
      <w:r>
        <w:rPr>
          <w:rFonts w:hint="eastAsia" w:ascii="宋体" w:hAnsi="宋体"/>
          <w:sz w:val="24"/>
          <w:szCs w:val="24"/>
        </w:rPr>
        <w:t>等设备，严格按照设备厂家代表的要求进行，并符合设计图纸及有关规程规范的技术要求。</w:t>
      </w:r>
    </w:p>
    <w:p>
      <w:pPr>
        <w:tabs>
          <w:tab w:val="left" w:pos="0"/>
          <w:tab w:val="left" w:pos="600"/>
        </w:tabs>
        <w:spacing w:line="360" w:lineRule="auto"/>
        <w:rPr>
          <w:rFonts w:ascii="宋体"/>
          <w:sz w:val="24"/>
          <w:szCs w:val="24"/>
        </w:rPr>
      </w:pPr>
      <w:r>
        <w:rPr>
          <w:rFonts w:ascii="宋体" w:hAnsi="宋体"/>
          <w:sz w:val="24"/>
          <w:szCs w:val="24"/>
        </w:rPr>
        <w:t>5. 7.2.6</w:t>
      </w:r>
      <w:r>
        <w:rPr>
          <w:rFonts w:hint="eastAsia" w:ascii="宋体" w:hAnsi="宋体"/>
          <w:sz w:val="24"/>
          <w:szCs w:val="24"/>
        </w:rPr>
        <w:t>变送器，仪器，仪表等设备必须经过有资质的计量部门的校验。通讯适配器安装时，必须固定牢固，且不影响盘内其它设备。并按设备说明书要求进行接地。</w:t>
      </w:r>
    </w:p>
    <w:p>
      <w:pPr>
        <w:tabs>
          <w:tab w:val="left" w:pos="0"/>
          <w:tab w:val="left" w:pos="600"/>
        </w:tabs>
        <w:spacing w:line="360" w:lineRule="auto"/>
        <w:rPr>
          <w:rFonts w:ascii="宋体"/>
          <w:sz w:val="24"/>
          <w:szCs w:val="24"/>
        </w:rPr>
      </w:pPr>
      <w:r>
        <w:rPr>
          <w:rFonts w:ascii="宋体" w:hAnsi="宋体"/>
          <w:sz w:val="24"/>
          <w:szCs w:val="24"/>
        </w:rPr>
        <w:t>5.7.2.7</w:t>
      </w:r>
      <w:r>
        <w:rPr>
          <w:rFonts w:hint="eastAsia" w:ascii="宋体" w:hAnsi="宋体"/>
          <w:sz w:val="24"/>
          <w:szCs w:val="24"/>
        </w:rPr>
        <w:t>远程</w:t>
      </w:r>
      <w:r>
        <w:rPr>
          <w:rFonts w:ascii="宋体" w:hAnsi="宋体"/>
          <w:sz w:val="24"/>
          <w:szCs w:val="24"/>
        </w:rPr>
        <w:t>I/0</w:t>
      </w:r>
      <w:r>
        <w:rPr>
          <w:rFonts w:hint="eastAsia" w:ascii="宋体" w:hAnsi="宋体"/>
          <w:sz w:val="24"/>
          <w:szCs w:val="24"/>
        </w:rPr>
        <w:t>模件安装在所对应的被控设备近处，远程</w:t>
      </w:r>
      <w:r>
        <w:rPr>
          <w:rFonts w:ascii="宋体" w:hAnsi="宋体"/>
          <w:sz w:val="24"/>
          <w:szCs w:val="24"/>
        </w:rPr>
        <w:t>I/0</w:t>
      </w:r>
      <w:r>
        <w:rPr>
          <w:rFonts w:hint="eastAsia" w:ascii="宋体" w:hAnsi="宋体"/>
          <w:sz w:val="24"/>
          <w:szCs w:val="24"/>
        </w:rPr>
        <w:t>模件的接线端子需同所在设备的端子明显隔离开，并贴有标签注明。所有设备按设计及规范要求进行接地。</w:t>
      </w:r>
    </w:p>
    <w:p>
      <w:pPr>
        <w:tabs>
          <w:tab w:val="left" w:pos="0"/>
          <w:tab w:val="left" w:pos="600"/>
        </w:tabs>
        <w:spacing w:line="360" w:lineRule="auto"/>
        <w:rPr>
          <w:rFonts w:ascii="宋体"/>
          <w:sz w:val="24"/>
          <w:szCs w:val="24"/>
        </w:rPr>
      </w:pPr>
      <w:r>
        <w:rPr>
          <w:rFonts w:ascii="宋体" w:hAnsi="宋体"/>
          <w:sz w:val="24"/>
          <w:szCs w:val="24"/>
        </w:rPr>
        <w:t>5.7.2.8</w:t>
      </w:r>
      <w:r>
        <w:rPr>
          <w:rFonts w:hint="eastAsia" w:ascii="宋体" w:hAnsi="宋体"/>
          <w:sz w:val="24"/>
          <w:szCs w:val="24"/>
        </w:rPr>
        <w:t>设备上的各种仪器仪表，按钮，开关等安装完整，标志正确，清晰，齐全。</w:t>
      </w:r>
    </w:p>
    <w:p>
      <w:pPr>
        <w:tabs>
          <w:tab w:val="left" w:pos="0"/>
          <w:tab w:val="left" w:pos="600"/>
        </w:tabs>
        <w:spacing w:line="360" w:lineRule="auto"/>
        <w:rPr>
          <w:rFonts w:ascii="宋体"/>
          <w:sz w:val="24"/>
          <w:szCs w:val="24"/>
        </w:rPr>
      </w:pPr>
      <w:r>
        <w:rPr>
          <w:rFonts w:ascii="宋体" w:hAnsi="宋体"/>
          <w:sz w:val="24"/>
          <w:szCs w:val="24"/>
        </w:rPr>
        <w:t>5.7.2.9</w:t>
      </w:r>
      <w:r>
        <w:rPr>
          <w:rFonts w:hint="eastAsia" w:ascii="宋体" w:hAnsi="宋体"/>
          <w:sz w:val="24"/>
          <w:szCs w:val="24"/>
        </w:rPr>
        <w:t>微机设备安装时要保持机房清洁，要防潮，防尘，防腐蚀气体。</w:t>
      </w:r>
    </w:p>
    <w:p>
      <w:pPr>
        <w:tabs>
          <w:tab w:val="left" w:pos="0"/>
          <w:tab w:val="left" w:pos="600"/>
        </w:tabs>
        <w:spacing w:line="360" w:lineRule="auto"/>
        <w:rPr>
          <w:rFonts w:ascii="宋体"/>
          <w:bCs/>
          <w:sz w:val="24"/>
          <w:szCs w:val="24"/>
        </w:rPr>
      </w:pPr>
      <w:r>
        <w:rPr>
          <w:rFonts w:ascii="宋体" w:hAnsi="宋体"/>
          <w:bCs/>
          <w:sz w:val="24"/>
          <w:szCs w:val="24"/>
        </w:rPr>
        <w:t>5.8</w:t>
      </w:r>
      <w:r>
        <w:rPr>
          <w:rFonts w:hint="eastAsia" w:ascii="宋体" w:hAnsi="宋体"/>
          <w:bCs/>
          <w:sz w:val="24"/>
          <w:szCs w:val="24"/>
        </w:rPr>
        <w:t>全厂照明系统安装质量控制</w:t>
      </w:r>
    </w:p>
    <w:p>
      <w:pPr>
        <w:tabs>
          <w:tab w:val="left" w:pos="0"/>
          <w:tab w:val="left" w:pos="600"/>
        </w:tabs>
        <w:spacing w:line="360" w:lineRule="auto"/>
        <w:rPr>
          <w:rFonts w:ascii="宋体"/>
          <w:sz w:val="24"/>
          <w:szCs w:val="24"/>
        </w:rPr>
      </w:pPr>
      <w:r>
        <w:rPr>
          <w:rFonts w:ascii="宋体" w:hAnsi="宋体"/>
          <w:sz w:val="24"/>
          <w:szCs w:val="24"/>
        </w:rPr>
        <w:t>5.8.1</w:t>
      </w:r>
      <w:r>
        <w:rPr>
          <w:rFonts w:hint="eastAsia" w:ascii="宋体" w:hAnsi="宋体"/>
          <w:sz w:val="24"/>
          <w:szCs w:val="24"/>
        </w:rPr>
        <w:t>配线管安装</w:t>
      </w:r>
    </w:p>
    <w:p>
      <w:pPr>
        <w:tabs>
          <w:tab w:val="left" w:pos="0"/>
          <w:tab w:val="left" w:pos="600"/>
        </w:tabs>
        <w:spacing w:line="360" w:lineRule="auto"/>
        <w:rPr>
          <w:rFonts w:ascii="宋体"/>
          <w:sz w:val="24"/>
          <w:szCs w:val="24"/>
        </w:rPr>
      </w:pPr>
      <w:r>
        <w:rPr>
          <w:rFonts w:ascii="宋体" w:hAnsi="宋体"/>
          <w:sz w:val="24"/>
          <w:szCs w:val="24"/>
        </w:rPr>
        <w:t>5.8.1.1</w:t>
      </w:r>
      <w:r>
        <w:rPr>
          <w:rFonts w:hint="eastAsia" w:ascii="宋体" w:hAnsi="宋体"/>
          <w:sz w:val="24"/>
          <w:szCs w:val="24"/>
        </w:rPr>
        <w:t>照明埋管及预埋盒安装随土建施工同步进行，保证管路规格及相接处的安装质量。</w:t>
      </w:r>
    </w:p>
    <w:p>
      <w:pPr>
        <w:tabs>
          <w:tab w:val="left" w:pos="0"/>
          <w:tab w:val="left" w:pos="600"/>
        </w:tabs>
        <w:spacing w:line="360" w:lineRule="auto"/>
        <w:rPr>
          <w:rFonts w:ascii="宋体"/>
          <w:sz w:val="24"/>
          <w:szCs w:val="24"/>
        </w:rPr>
      </w:pPr>
      <w:r>
        <w:rPr>
          <w:rFonts w:ascii="宋体" w:hAnsi="宋体"/>
          <w:sz w:val="24"/>
          <w:szCs w:val="24"/>
        </w:rPr>
        <w:t>5.8.1.2</w:t>
      </w:r>
      <w:r>
        <w:rPr>
          <w:rFonts w:hint="eastAsia" w:ascii="宋体" w:hAnsi="宋体"/>
          <w:sz w:val="24"/>
          <w:szCs w:val="24"/>
        </w:rPr>
        <w:t>配线管，接线盒，灯盒，开关盒，插座盒等在预埋时应进行封堵。明敷</w:t>
      </w:r>
      <w:r>
        <w:rPr>
          <w:rFonts w:ascii="宋体" w:hAnsi="宋体"/>
          <w:sz w:val="24"/>
          <w:szCs w:val="24"/>
        </w:rPr>
        <w:t>PVC</w:t>
      </w:r>
      <w:r>
        <w:rPr>
          <w:rFonts w:hint="eastAsia" w:ascii="宋体" w:hAnsi="宋体"/>
          <w:sz w:val="24"/>
          <w:szCs w:val="24"/>
        </w:rPr>
        <w:t>管的基本原则是要求做到（横平竖直，美观大方，弯曲适度，连接平滑，供电可靠，安全第一），管径应符合设计及规范要求。</w:t>
      </w:r>
    </w:p>
    <w:p>
      <w:pPr>
        <w:tabs>
          <w:tab w:val="left" w:pos="0"/>
          <w:tab w:val="left" w:pos="600"/>
        </w:tabs>
        <w:spacing w:line="360" w:lineRule="auto"/>
        <w:rPr>
          <w:rFonts w:ascii="宋体"/>
          <w:sz w:val="24"/>
          <w:szCs w:val="24"/>
        </w:rPr>
      </w:pPr>
      <w:r>
        <w:rPr>
          <w:rFonts w:ascii="宋体" w:hAnsi="宋体"/>
          <w:sz w:val="24"/>
          <w:szCs w:val="24"/>
        </w:rPr>
        <w:t>5.8.1.3</w:t>
      </w:r>
      <w:r>
        <w:rPr>
          <w:rFonts w:hint="eastAsia" w:ascii="宋体" w:hAnsi="宋体"/>
          <w:sz w:val="24"/>
          <w:szCs w:val="24"/>
        </w:rPr>
        <w:t>配线管固定按规定间隔一定距离，采用支架或管卡固定。</w:t>
      </w:r>
    </w:p>
    <w:p>
      <w:pPr>
        <w:tabs>
          <w:tab w:val="left" w:pos="0"/>
          <w:tab w:val="left" w:pos="600"/>
        </w:tabs>
        <w:spacing w:line="360" w:lineRule="auto"/>
        <w:rPr>
          <w:rFonts w:ascii="宋体"/>
          <w:sz w:val="24"/>
          <w:szCs w:val="24"/>
        </w:rPr>
      </w:pPr>
      <w:r>
        <w:rPr>
          <w:rFonts w:ascii="宋体" w:hAnsi="宋体"/>
          <w:sz w:val="24"/>
          <w:szCs w:val="24"/>
        </w:rPr>
        <w:t>5.8.1.4</w:t>
      </w:r>
      <w:r>
        <w:rPr>
          <w:rFonts w:hint="eastAsia" w:ascii="宋体" w:hAnsi="宋体"/>
          <w:sz w:val="24"/>
          <w:szCs w:val="24"/>
        </w:rPr>
        <w:t>吊顶内的电气配线管宜按照配管的要求施工，不得将配线管固定在吊顶内的吊架或龙骨上。</w:t>
      </w:r>
    </w:p>
    <w:p>
      <w:pPr>
        <w:tabs>
          <w:tab w:val="left" w:pos="0"/>
          <w:tab w:val="left" w:pos="600"/>
        </w:tabs>
        <w:spacing w:line="360" w:lineRule="auto"/>
        <w:rPr>
          <w:rFonts w:ascii="宋体"/>
          <w:sz w:val="24"/>
          <w:szCs w:val="24"/>
        </w:rPr>
      </w:pPr>
      <w:r>
        <w:rPr>
          <w:rFonts w:ascii="宋体" w:hAnsi="宋体"/>
          <w:sz w:val="24"/>
          <w:szCs w:val="24"/>
        </w:rPr>
        <w:t>5.8.1.5</w:t>
      </w:r>
      <w:r>
        <w:rPr>
          <w:rFonts w:hint="eastAsia" w:ascii="宋体" w:hAnsi="宋体"/>
          <w:sz w:val="24"/>
          <w:szCs w:val="24"/>
        </w:rPr>
        <w:t>导线穿管时，用力适当，管内导线不得有接头和扭接，绝缘无损伤。电线不打折，导线截面及材质符合设计要求。管内导线总截面积不大于管截面积的</w:t>
      </w:r>
      <w:r>
        <w:rPr>
          <w:rFonts w:ascii="宋体" w:hAnsi="宋体"/>
          <w:sz w:val="24"/>
          <w:szCs w:val="24"/>
        </w:rPr>
        <w:t>40%</w:t>
      </w:r>
      <w:r>
        <w:rPr>
          <w:rFonts w:hint="eastAsia" w:ascii="宋体" w:hAnsi="宋体"/>
          <w:sz w:val="24"/>
          <w:szCs w:val="24"/>
        </w:rPr>
        <w:t>。</w:t>
      </w:r>
    </w:p>
    <w:p>
      <w:pPr>
        <w:tabs>
          <w:tab w:val="left" w:pos="0"/>
          <w:tab w:val="left" w:pos="120"/>
        </w:tabs>
        <w:spacing w:line="360" w:lineRule="auto"/>
        <w:rPr>
          <w:rFonts w:ascii="宋体"/>
          <w:sz w:val="24"/>
          <w:szCs w:val="24"/>
        </w:rPr>
      </w:pPr>
      <w:r>
        <w:rPr>
          <w:rFonts w:ascii="宋体" w:hAnsi="宋体"/>
          <w:sz w:val="24"/>
          <w:szCs w:val="24"/>
        </w:rPr>
        <w:t>5.8.2</w:t>
      </w:r>
      <w:r>
        <w:rPr>
          <w:rFonts w:hint="eastAsia" w:ascii="宋体" w:hAnsi="宋体"/>
          <w:sz w:val="24"/>
          <w:szCs w:val="24"/>
        </w:rPr>
        <w:t>照明配电柜安装</w:t>
      </w:r>
    </w:p>
    <w:p>
      <w:pPr>
        <w:tabs>
          <w:tab w:val="left" w:pos="0"/>
          <w:tab w:val="left" w:pos="600"/>
        </w:tabs>
        <w:spacing w:line="360" w:lineRule="auto"/>
        <w:rPr>
          <w:rFonts w:ascii="宋体" w:hAnsi="宋体"/>
          <w:sz w:val="24"/>
          <w:szCs w:val="24"/>
        </w:rPr>
      </w:pPr>
      <w:r>
        <w:rPr>
          <w:rFonts w:ascii="宋体" w:hAnsi="宋体"/>
          <w:sz w:val="24"/>
          <w:szCs w:val="24"/>
        </w:rPr>
        <w:t>5.8.2.1</w:t>
      </w:r>
      <w:r>
        <w:rPr>
          <w:rFonts w:hint="eastAsia" w:ascii="宋体" w:hAnsi="宋体"/>
          <w:sz w:val="24"/>
          <w:szCs w:val="24"/>
        </w:rPr>
        <w:t>按设计图纸配合土建预埋槽钢固定件，采用电焊时，每个柜子的焊缝不少于四处，每处焊缝长度约</w:t>
      </w:r>
      <w:r>
        <w:rPr>
          <w:rFonts w:ascii="宋体" w:hAnsi="宋体"/>
          <w:sz w:val="24"/>
          <w:szCs w:val="24"/>
        </w:rPr>
        <w:t>100mm</w:t>
      </w:r>
      <w:r>
        <w:rPr>
          <w:rFonts w:hint="eastAsia" w:ascii="宋体" w:hAnsi="宋体"/>
          <w:sz w:val="24"/>
          <w:szCs w:val="24"/>
        </w:rPr>
        <w:t>左右，焊缝应在柜体内侧。焊接时，应把垫于柜下的垫片电焊在基础型钢上。配电箱安装垂直，允许偏差不大于</w:t>
      </w:r>
      <w:r>
        <w:rPr>
          <w:rFonts w:ascii="宋体" w:hAnsi="宋体"/>
          <w:sz w:val="24"/>
          <w:szCs w:val="24"/>
        </w:rPr>
        <w:t>1.5</w:t>
      </w:r>
      <w:r>
        <w:rPr>
          <w:rFonts w:hint="eastAsia" w:ascii="宋体" w:hAnsi="宋体"/>
          <w:sz w:val="24"/>
          <w:szCs w:val="24"/>
        </w:rPr>
        <w:t>‰；底边与地面距离应大于或等于</w:t>
      </w:r>
      <w:r>
        <w:rPr>
          <w:rFonts w:ascii="宋体" w:hAnsi="宋体"/>
          <w:sz w:val="24"/>
          <w:szCs w:val="24"/>
        </w:rPr>
        <w:t>1.8m</w:t>
      </w:r>
      <w:r>
        <w:rPr>
          <w:rFonts w:hint="eastAsia" w:ascii="宋体" w:hAnsi="宋体"/>
          <w:sz w:val="24"/>
          <w:szCs w:val="24"/>
        </w:rPr>
        <w:t>。当无设计要求时，按照下表</w:t>
      </w:r>
    </w:p>
    <w:p>
      <w:pPr>
        <w:tabs>
          <w:tab w:val="left" w:pos="0"/>
          <w:tab w:val="left" w:pos="600"/>
        </w:tabs>
        <w:spacing w:line="360" w:lineRule="auto"/>
        <w:rPr>
          <w:rFonts w:ascii="宋体"/>
          <w:sz w:val="24"/>
          <w:szCs w:val="24"/>
        </w:rPr>
      </w:pPr>
    </w:p>
    <w:tbl>
      <w:tblPr>
        <w:tblStyle w:val="9"/>
        <w:tblW w:w="738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hint="eastAsia" w:ascii="宋体"/>
                <w:sz w:val="24"/>
                <w:szCs w:val="24"/>
              </w:rPr>
              <w:t>配电箱高度（</w:t>
            </w:r>
            <w:r>
              <w:rPr>
                <w:rFonts w:ascii="宋体"/>
                <w:sz w:val="24"/>
                <w:szCs w:val="24"/>
              </w:rPr>
              <w:t>mm</w:t>
            </w:r>
            <w:r>
              <w:rPr>
                <w:rFonts w:hint="eastAsia" w:ascii="宋体"/>
                <w:sz w:val="24"/>
                <w:szCs w:val="24"/>
              </w:rPr>
              <w:t>）</w:t>
            </w:r>
          </w:p>
        </w:tc>
        <w:tc>
          <w:tcPr>
            <w:tcW w:w="5040" w:type="dxa"/>
          </w:tcPr>
          <w:p>
            <w:pPr>
              <w:tabs>
                <w:tab w:val="left" w:pos="0"/>
                <w:tab w:val="left" w:pos="600"/>
              </w:tabs>
              <w:spacing w:line="360" w:lineRule="auto"/>
              <w:rPr>
                <w:rFonts w:ascii="宋体"/>
                <w:sz w:val="24"/>
                <w:szCs w:val="24"/>
              </w:rPr>
            </w:pPr>
            <w:r>
              <w:rPr>
                <w:rFonts w:hint="eastAsia" w:ascii="宋体"/>
                <w:sz w:val="24"/>
                <w:szCs w:val="24"/>
              </w:rPr>
              <w:t>配电箱低距楼面高度（</w:t>
            </w:r>
            <w:r>
              <w:rPr>
                <w:rFonts w:ascii="宋体"/>
                <w:sz w:val="24"/>
                <w:szCs w:val="24"/>
              </w:rPr>
              <w:t>m</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600</w:t>
            </w:r>
            <w:r>
              <w:rPr>
                <w:rFonts w:hint="eastAsia" w:ascii="宋体"/>
                <w:sz w:val="24"/>
                <w:szCs w:val="24"/>
              </w:rPr>
              <w:t>以下</w:t>
            </w:r>
          </w:p>
        </w:tc>
        <w:tc>
          <w:tcPr>
            <w:tcW w:w="5040" w:type="dxa"/>
          </w:tcPr>
          <w:p>
            <w:pPr>
              <w:tabs>
                <w:tab w:val="left" w:pos="0"/>
                <w:tab w:val="left" w:pos="600"/>
              </w:tabs>
              <w:spacing w:line="360" w:lineRule="auto"/>
              <w:rPr>
                <w:rFonts w:ascii="宋体"/>
                <w:sz w:val="24"/>
                <w:szCs w:val="24"/>
              </w:rPr>
            </w:pPr>
            <w:r>
              <w:rPr>
                <w:rFonts w:ascii="宋体"/>
                <w:sz w:val="24"/>
                <w:szCs w:val="24"/>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600-800</w:t>
            </w:r>
          </w:p>
        </w:tc>
        <w:tc>
          <w:tcPr>
            <w:tcW w:w="5040" w:type="dxa"/>
          </w:tcPr>
          <w:p>
            <w:pPr>
              <w:tabs>
                <w:tab w:val="left" w:pos="0"/>
                <w:tab w:val="left" w:pos="600"/>
              </w:tabs>
              <w:spacing w:line="360" w:lineRule="auto"/>
              <w:rPr>
                <w:rFonts w:ascii="宋体"/>
                <w:sz w:val="24"/>
                <w:szCs w:val="24"/>
              </w:rPr>
            </w:pPr>
            <w:r>
              <w:rPr>
                <w:rFonts w:asci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800-1000</w:t>
            </w:r>
          </w:p>
        </w:tc>
        <w:tc>
          <w:tcPr>
            <w:tcW w:w="5040" w:type="dxa"/>
          </w:tcPr>
          <w:p>
            <w:pPr>
              <w:tabs>
                <w:tab w:val="left" w:pos="0"/>
                <w:tab w:val="left" w:pos="600"/>
              </w:tabs>
              <w:spacing w:line="360" w:lineRule="auto"/>
              <w:rPr>
                <w:rFonts w:ascii="宋体"/>
                <w:sz w:val="24"/>
                <w:szCs w:val="24"/>
              </w:rPr>
            </w:pPr>
            <w:r>
              <w:rPr>
                <w:rFonts w:asci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1000-1200</w:t>
            </w:r>
          </w:p>
        </w:tc>
        <w:tc>
          <w:tcPr>
            <w:tcW w:w="5040" w:type="dxa"/>
          </w:tcPr>
          <w:p>
            <w:pPr>
              <w:tabs>
                <w:tab w:val="left" w:pos="0"/>
                <w:tab w:val="left" w:pos="600"/>
              </w:tabs>
              <w:spacing w:line="360" w:lineRule="auto"/>
              <w:rPr>
                <w:rFonts w:ascii="宋体"/>
                <w:sz w:val="24"/>
                <w:szCs w:val="24"/>
              </w:rPr>
            </w:pPr>
            <w:r>
              <w:rPr>
                <w:rFonts w:asci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tabs>
                <w:tab w:val="left" w:pos="0"/>
                <w:tab w:val="left" w:pos="600"/>
              </w:tabs>
              <w:spacing w:line="360" w:lineRule="auto"/>
              <w:rPr>
                <w:rFonts w:ascii="宋体"/>
                <w:sz w:val="24"/>
                <w:szCs w:val="24"/>
              </w:rPr>
            </w:pPr>
            <w:r>
              <w:rPr>
                <w:rFonts w:ascii="宋体"/>
                <w:sz w:val="24"/>
                <w:szCs w:val="24"/>
              </w:rPr>
              <w:t>1200</w:t>
            </w:r>
            <w:r>
              <w:rPr>
                <w:rFonts w:hint="eastAsia" w:ascii="宋体"/>
                <w:sz w:val="24"/>
                <w:szCs w:val="24"/>
              </w:rPr>
              <w:t>以上</w:t>
            </w:r>
          </w:p>
        </w:tc>
        <w:tc>
          <w:tcPr>
            <w:tcW w:w="5040" w:type="dxa"/>
          </w:tcPr>
          <w:p>
            <w:pPr>
              <w:tabs>
                <w:tab w:val="left" w:pos="0"/>
                <w:tab w:val="left" w:pos="600"/>
              </w:tabs>
              <w:spacing w:line="360" w:lineRule="auto"/>
              <w:rPr>
                <w:rFonts w:ascii="宋体"/>
                <w:sz w:val="24"/>
                <w:szCs w:val="24"/>
              </w:rPr>
            </w:pPr>
            <w:r>
              <w:rPr>
                <w:rFonts w:hint="eastAsia" w:ascii="宋体"/>
                <w:sz w:val="24"/>
                <w:szCs w:val="24"/>
              </w:rPr>
              <w:t>落地安装，潮湿场所箱柜应设</w:t>
            </w:r>
            <w:r>
              <w:rPr>
                <w:rFonts w:ascii="宋体"/>
                <w:sz w:val="24"/>
                <w:szCs w:val="24"/>
              </w:rPr>
              <w:t>200mm</w:t>
            </w:r>
            <w:r>
              <w:rPr>
                <w:rFonts w:hint="eastAsia" w:ascii="宋体"/>
                <w:sz w:val="24"/>
                <w:szCs w:val="24"/>
              </w:rPr>
              <w:t>高的基础</w:t>
            </w:r>
          </w:p>
        </w:tc>
      </w:tr>
    </w:tbl>
    <w:p>
      <w:pPr>
        <w:tabs>
          <w:tab w:val="left" w:pos="0"/>
          <w:tab w:val="left" w:pos="600"/>
        </w:tabs>
        <w:spacing w:line="360" w:lineRule="auto"/>
        <w:rPr>
          <w:rFonts w:ascii="宋体"/>
          <w:sz w:val="24"/>
          <w:szCs w:val="24"/>
        </w:rPr>
      </w:pPr>
    </w:p>
    <w:p>
      <w:pPr>
        <w:tabs>
          <w:tab w:val="left" w:pos="0"/>
          <w:tab w:val="left" w:pos="600"/>
        </w:tabs>
        <w:spacing w:line="360" w:lineRule="auto"/>
        <w:rPr>
          <w:rFonts w:ascii="宋体"/>
          <w:sz w:val="24"/>
          <w:szCs w:val="24"/>
        </w:rPr>
      </w:pPr>
      <w:r>
        <w:rPr>
          <w:rFonts w:ascii="宋体" w:hAnsi="宋体"/>
          <w:sz w:val="24"/>
          <w:szCs w:val="24"/>
        </w:rPr>
        <w:t>5.8.2.2</w:t>
      </w:r>
      <w:r>
        <w:rPr>
          <w:rFonts w:hint="eastAsia" w:ascii="宋体" w:hAnsi="宋体"/>
          <w:sz w:val="24"/>
          <w:szCs w:val="24"/>
        </w:rPr>
        <w:t>全部柜体安装就位并固定后，按设备供应商的要求和提供的支柱绝缘子，小母线进行配接。柜内母线的支撑绝缘子及母线固定牢固，整齐，绝缘符合要求；开关的机械闭锁，电气闭锁应动作准确，可靠；刀闸开关动触头与静触头的中心线一致，触头接触紧密；二次回路</w:t>
      </w:r>
      <w:r>
        <w:rPr>
          <w:rFonts w:ascii="宋体" w:hAnsi="宋体"/>
          <w:sz w:val="24"/>
          <w:szCs w:val="24"/>
        </w:rPr>
        <w:t xml:space="preserve"> </w:t>
      </w:r>
      <w:r>
        <w:rPr>
          <w:rFonts w:hint="eastAsia" w:ascii="宋体" w:hAnsi="宋体"/>
          <w:sz w:val="24"/>
          <w:szCs w:val="24"/>
        </w:rPr>
        <w:t>辅助开关的切换接点应动作准确，接触可靠；柜内照明齐全；固定牢固，接地可靠。</w:t>
      </w:r>
    </w:p>
    <w:p>
      <w:pPr>
        <w:tabs>
          <w:tab w:val="left" w:pos="0"/>
          <w:tab w:val="left" w:pos="600"/>
        </w:tabs>
        <w:spacing w:line="360" w:lineRule="auto"/>
        <w:rPr>
          <w:rFonts w:ascii="宋体"/>
          <w:sz w:val="24"/>
          <w:szCs w:val="24"/>
        </w:rPr>
      </w:pPr>
      <w:r>
        <w:rPr>
          <w:rFonts w:ascii="宋体" w:hAnsi="宋体"/>
          <w:sz w:val="24"/>
          <w:szCs w:val="24"/>
        </w:rPr>
        <w:t>5.8.2.3</w:t>
      </w:r>
      <w:r>
        <w:rPr>
          <w:rFonts w:hint="eastAsia" w:ascii="宋体" w:hAnsi="宋体"/>
          <w:sz w:val="24"/>
          <w:szCs w:val="24"/>
        </w:rPr>
        <w:t>测量照明配电箱的绝缘电阻，阻值应大于</w:t>
      </w:r>
      <w:r>
        <w:rPr>
          <w:rFonts w:ascii="宋体" w:hAnsi="宋体"/>
          <w:sz w:val="24"/>
          <w:szCs w:val="24"/>
        </w:rPr>
        <w:t>0.5</w:t>
      </w:r>
      <w:r>
        <w:rPr>
          <w:rFonts w:hint="eastAsia" w:ascii="宋体" w:hAnsi="宋体"/>
          <w:sz w:val="24"/>
          <w:szCs w:val="24"/>
        </w:rPr>
        <w:t>兆欧；配电箱安装稳固，油漆完整；配电箱回路标志正确，清晰；照明配电盘的配线应符合国际电气盘柜二次配线的工艺要求；照明配电盘的配线应符合国际电气盘柜二次配线的工艺要求。</w:t>
      </w:r>
    </w:p>
    <w:p>
      <w:pPr>
        <w:tabs>
          <w:tab w:val="left" w:pos="0"/>
          <w:tab w:val="left" w:pos="600"/>
        </w:tabs>
        <w:spacing w:line="360" w:lineRule="auto"/>
        <w:rPr>
          <w:rFonts w:ascii="宋体"/>
          <w:b/>
          <w:sz w:val="24"/>
          <w:szCs w:val="24"/>
        </w:rPr>
      </w:pPr>
      <w:r>
        <w:rPr>
          <w:rFonts w:ascii="宋体" w:hAnsi="宋体"/>
          <w:sz w:val="24"/>
          <w:szCs w:val="24"/>
        </w:rPr>
        <w:t>5.8.3</w:t>
      </w:r>
      <w:r>
        <w:rPr>
          <w:rFonts w:hint="eastAsia" w:ascii="宋体" w:hAnsi="宋体"/>
          <w:sz w:val="24"/>
          <w:szCs w:val="24"/>
        </w:rPr>
        <w:t>灯具、开关、插座安装</w:t>
      </w:r>
    </w:p>
    <w:p>
      <w:pPr>
        <w:tabs>
          <w:tab w:val="left" w:pos="0"/>
          <w:tab w:val="left" w:pos="600"/>
        </w:tabs>
        <w:spacing w:line="360" w:lineRule="auto"/>
        <w:rPr>
          <w:rFonts w:ascii="宋体"/>
          <w:sz w:val="24"/>
          <w:szCs w:val="24"/>
        </w:rPr>
      </w:pPr>
      <w:r>
        <w:rPr>
          <w:rFonts w:ascii="宋体" w:hAnsi="宋体"/>
          <w:sz w:val="24"/>
          <w:szCs w:val="24"/>
        </w:rPr>
        <w:t>5.8.3.1</w:t>
      </w:r>
      <w:r>
        <w:rPr>
          <w:rFonts w:hint="eastAsia" w:ascii="宋体" w:hAnsi="宋体"/>
          <w:sz w:val="24"/>
          <w:szCs w:val="24"/>
        </w:rPr>
        <w:t>所有器件安装前要进行外观检查：灯具，开关，插座的本体及其配件应齐全，无机械损伤，变形，油漆脱落等缺陷。安装灯具前要对所有导线进行绝缘测试并做好记录，保证导线电阻在</w:t>
      </w:r>
      <w:r>
        <w:rPr>
          <w:rFonts w:ascii="宋体" w:hAnsi="宋体"/>
          <w:sz w:val="24"/>
          <w:szCs w:val="24"/>
        </w:rPr>
        <w:t>0.5</w:t>
      </w:r>
      <w:r>
        <w:rPr>
          <w:rFonts w:hint="eastAsia" w:ascii="宋体" w:hAnsi="宋体"/>
          <w:sz w:val="24"/>
          <w:szCs w:val="24"/>
        </w:rPr>
        <w:t>兆欧以上。</w:t>
      </w:r>
    </w:p>
    <w:p>
      <w:pPr>
        <w:tabs>
          <w:tab w:val="left" w:pos="0"/>
          <w:tab w:val="left" w:pos="600"/>
        </w:tabs>
        <w:spacing w:line="360" w:lineRule="auto"/>
        <w:rPr>
          <w:rFonts w:ascii="宋体"/>
          <w:sz w:val="24"/>
          <w:szCs w:val="24"/>
        </w:rPr>
      </w:pPr>
      <w:r>
        <w:rPr>
          <w:rFonts w:ascii="宋体" w:hAnsi="宋体"/>
          <w:sz w:val="24"/>
          <w:szCs w:val="24"/>
        </w:rPr>
        <w:t>5.8.3.2</w:t>
      </w:r>
      <w:r>
        <w:rPr>
          <w:rFonts w:hint="eastAsia" w:ascii="宋体" w:hAnsi="宋体"/>
          <w:sz w:val="24"/>
          <w:szCs w:val="24"/>
        </w:rPr>
        <w:t>灯具，开关，插座安装平整，牢固，位置正确，高度符合要求，暗开关，插座紧贴墙面，成排灯具，开关，插座偏差符合要求。</w:t>
      </w:r>
    </w:p>
    <w:p>
      <w:pPr>
        <w:tabs>
          <w:tab w:val="left" w:pos="0"/>
          <w:tab w:val="left" w:pos="600"/>
        </w:tabs>
        <w:spacing w:line="360" w:lineRule="auto"/>
        <w:rPr>
          <w:rFonts w:ascii="宋体"/>
          <w:sz w:val="24"/>
          <w:szCs w:val="24"/>
        </w:rPr>
      </w:pPr>
      <w:r>
        <w:rPr>
          <w:rFonts w:ascii="宋体" w:hAnsi="宋体"/>
          <w:sz w:val="24"/>
          <w:szCs w:val="24"/>
        </w:rPr>
        <w:t>5.8.3.3</w:t>
      </w:r>
      <w:r>
        <w:rPr>
          <w:rFonts w:hint="eastAsia" w:ascii="宋体" w:hAnsi="宋体"/>
          <w:sz w:val="24"/>
          <w:szCs w:val="24"/>
        </w:rPr>
        <w:t>安装要求保证美观，牢固可靠，事故照明与工作照明应有明显区别标志。</w:t>
      </w:r>
    </w:p>
    <w:p>
      <w:pPr>
        <w:tabs>
          <w:tab w:val="left" w:pos="0"/>
          <w:tab w:val="left" w:pos="600"/>
        </w:tabs>
        <w:spacing w:line="360" w:lineRule="auto"/>
        <w:rPr>
          <w:rFonts w:ascii="宋体"/>
          <w:sz w:val="24"/>
          <w:szCs w:val="24"/>
        </w:rPr>
      </w:pPr>
      <w:r>
        <w:rPr>
          <w:rFonts w:ascii="宋体" w:hAnsi="宋体"/>
          <w:sz w:val="24"/>
          <w:szCs w:val="24"/>
        </w:rPr>
        <w:t>5.8.3.4</w:t>
      </w:r>
      <w:r>
        <w:rPr>
          <w:rFonts w:hint="eastAsia" w:ascii="宋体" w:hAnsi="宋体"/>
          <w:sz w:val="24"/>
          <w:szCs w:val="24"/>
        </w:rPr>
        <w:t>插座极性正确，开关应装在相线回路且工作可靠。</w:t>
      </w:r>
    </w:p>
    <w:p>
      <w:pPr>
        <w:tabs>
          <w:tab w:val="left" w:pos="0"/>
          <w:tab w:val="left" w:pos="600"/>
        </w:tabs>
        <w:spacing w:line="360" w:lineRule="auto"/>
        <w:rPr>
          <w:rFonts w:ascii="宋体"/>
          <w:sz w:val="24"/>
          <w:szCs w:val="24"/>
        </w:rPr>
      </w:pPr>
      <w:r>
        <w:rPr>
          <w:rFonts w:ascii="宋体" w:hAnsi="宋体"/>
          <w:sz w:val="24"/>
          <w:szCs w:val="24"/>
        </w:rPr>
        <w:t>5.8.3.5</w:t>
      </w:r>
      <w:r>
        <w:rPr>
          <w:rFonts w:hint="eastAsia" w:ascii="宋体" w:hAnsi="宋体"/>
          <w:sz w:val="24"/>
          <w:szCs w:val="24"/>
        </w:rPr>
        <w:t>荧光灯或其它气体放电灯具的附件配套规格一致。</w:t>
      </w:r>
    </w:p>
    <w:p>
      <w:pPr>
        <w:tabs>
          <w:tab w:val="left" w:pos="0"/>
          <w:tab w:val="left" w:pos="600"/>
        </w:tabs>
        <w:spacing w:line="360" w:lineRule="auto"/>
        <w:rPr>
          <w:rFonts w:ascii="宋体"/>
          <w:sz w:val="24"/>
          <w:szCs w:val="24"/>
        </w:rPr>
      </w:pPr>
      <w:r>
        <w:rPr>
          <w:rFonts w:ascii="宋体" w:hAnsi="宋体"/>
          <w:sz w:val="24"/>
          <w:szCs w:val="24"/>
        </w:rPr>
        <w:t>5.8.3.6</w:t>
      </w:r>
      <w:r>
        <w:rPr>
          <w:rFonts w:hint="eastAsia" w:ascii="宋体" w:hAnsi="宋体"/>
          <w:sz w:val="24"/>
          <w:szCs w:val="24"/>
        </w:rPr>
        <w:t>灯具安装时，搭设活动脚手架和升降梯，并和装修同步进行。</w:t>
      </w:r>
    </w:p>
    <w:p>
      <w:pPr>
        <w:tabs>
          <w:tab w:val="left" w:pos="0"/>
          <w:tab w:val="left" w:pos="600"/>
        </w:tabs>
        <w:spacing w:line="360" w:lineRule="auto"/>
        <w:rPr>
          <w:rFonts w:ascii="宋体"/>
          <w:sz w:val="24"/>
          <w:szCs w:val="24"/>
        </w:rPr>
      </w:pPr>
      <w:r>
        <w:rPr>
          <w:rFonts w:ascii="宋体" w:hAnsi="宋体"/>
          <w:sz w:val="24"/>
          <w:szCs w:val="24"/>
        </w:rPr>
        <w:t>5.8.3.7</w:t>
      </w:r>
      <w:r>
        <w:rPr>
          <w:rFonts w:hint="eastAsia" w:ascii="宋体" w:hAnsi="宋体"/>
          <w:sz w:val="24"/>
          <w:szCs w:val="24"/>
        </w:rPr>
        <w:t>灯头盒，接线盒的位置应便于维修，并加盖板，各种导线都严禁在吊顶内裸露。</w:t>
      </w:r>
    </w:p>
    <w:p>
      <w:pPr>
        <w:tabs>
          <w:tab w:val="left" w:pos="0"/>
          <w:tab w:val="left" w:pos="600"/>
        </w:tabs>
        <w:spacing w:line="360" w:lineRule="auto"/>
        <w:rPr>
          <w:rFonts w:ascii="宋体"/>
          <w:sz w:val="24"/>
          <w:szCs w:val="24"/>
        </w:rPr>
      </w:pPr>
      <w:r>
        <w:rPr>
          <w:rFonts w:ascii="宋体" w:hAnsi="宋体"/>
          <w:sz w:val="24"/>
          <w:szCs w:val="24"/>
        </w:rPr>
        <w:t>5.8.3.8</w:t>
      </w:r>
      <w:r>
        <w:rPr>
          <w:rFonts w:hint="eastAsia" w:ascii="宋体" w:hAnsi="宋体"/>
          <w:sz w:val="24"/>
          <w:szCs w:val="24"/>
        </w:rPr>
        <w:t>吊顶上的灯具安装前应有加强龙骨架或专用吊架。</w:t>
      </w:r>
    </w:p>
    <w:p>
      <w:pPr>
        <w:tabs>
          <w:tab w:val="left" w:pos="0"/>
          <w:tab w:val="left" w:pos="600"/>
        </w:tabs>
        <w:spacing w:line="360" w:lineRule="auto"/>
        <w:rPr>
          <w:rFonts w:ascii="宋体"/>
          <w:bCs/>
          <w:sz w:val="24"/>
          <w:szCs w:val="24"/>
        </w:rPr>
      </w:pPr>
      <w:r>
        <w:rPr>
          <w:rFonts w:ascii="宋体" w:hAnsi="宋体"/>
          <w:bCs/>
          <w:sz w:val="24"/>
          <w:szCs w:val="24"/>
        </w:rPr>
        <w:t>5.9</w:t>
      </w:r>
      <w:r>
        <w:rPr>
          <w:rFonts w:hint="eastAsia" w:ascii="宋体" w:hAnsi="宋体"/>
          <w:bCs/>
          <w:sz w:val="24"/>
          <w:szCs w:val="24"/>
        </w:rPr>
        <w:t>电气试验质量控制</w:t>
      </w:r>
    </w:p>
    <w:p>
      <w:pPr>
        <w:tabs>
          <w:tab w:val="left" w:pos="0"/>
          <w:tab w:val="left" w:pos="600"/>
        </w:tabs>
        <w:spacing w:line="360" w:lineRule="auto"/>
        <w:rPr>
          <w:rFonts w:ascii="宋体"/>
          <w:sz w:val="24"/>
          <w:szCs w:val="24"/>
        </w:rPr>
      </w:pPr>
      <w:r>
        <w:rPr>
          <w:rFonts w:ascii="宋体" w:hAnsi="宋体"/>
          <w:sz w:val="24"/>
          <w:szCs w:val="24"/>
        </w:rPr>
        <w:t>5.9.1</w:t>
      </w:r>
      <w:r>
        <w:rPr>
          <w:rFonts w:hint="eastAsia" w:ascii="宋体"/>
          <w:sz w:val="24"/>
          <w:szCs w:val="24"/>
        </w:rPr>
        <w:t>组件开路电压和极性检查。</w:t>
      </w:r>
    </w:p>
    <w:p>
      <w:pPr>
        <w:tabs>
          <w:tab w:val="left" w:pos="0"/>
          <w:tab w:val="left" w:pos="600"/>
        </w:tabs>
        <w:spacing w:line="360" w:lineRule="auto"/>
        <w:rPr>
          <w:rFonts w:ascii="宋体"/>
          <w:sz w:val="24"/>
          <w:szCs w:val="24"/>
        </w:rPr>
      </w:pPr>
      <w:r>
        <w:rPr>
          <w:rFonts w:ascii="宋体" w:hAnsi="宋体"/>
          <w:sz w:val="24"/>
          <w:szCs w:val="24"/>
        </w:rPr>
        <w:t>5.9.2</w:t>
      </w:r>
      <w:r>
        <w:rPr>
          <w:rFonts w:hint="eastAsia" w:ascii="宋体" w:hAnsi="宋体"/>
          <w:sz w:val="24"/>
          <w:szCs w:val="24"/>
        </w:rPr>
        <w:t>组件和支架接地检查。</w:t>
      </w:r>
    </w:p>
    <w:p>
      <w:pPr>
        <w:tabs>
          <w:tab w:val="left" w:pos="0"/>
          <w:tab w:val="left" w:pos="600"/>
        </w:tabs>
        <w:spacing w:line="360" w:lineRule="auto"/>
        <w:rPr>
          <w:rFonts w:ascii="宋体"/>
          <w:sz w:val="24"/>
          <w:szCs w:val="24"/>
        </w:rPr>
      </w:pPr>
      <w:r>
        <w:rPr>
          <w:rFonts w:ascii="宋体" w:hAnsi="宋体"/>
          <w:sz w:val="24"/>
          <w:szCs w:val="24"/>
        </w:rPr>
        <w:t>5.9.3</w:t>
      </w:r>
      <w:r>
        <w:rPr>
          <w:rFonts w:hint="eastAsia" w:ascii="宋体" w:hAnsi="宋体"/>
          <w:sz w:val="24"/>
          <w:szCs w:val="24"/>
        </w:rPr>
        <w:t>方阵和光伏区接地测试。</w:t>
      </w:r>
    </w:p>
    <w:p>
      <w:pPr>
        <w:tabs>
          <w:tab w:val="left" w:pos="0"/>
          <w:tab w:val="left" w:pos="600"/>
        </w:tabs>
        <w:spacing w:line="360" w:lineRule="auto"/>
        <w:rPr>
          <w:rFonts w:ascii="宋体"/>
          <w:sz w:val="24"/>
          <w:szCs w:val="24"/>
        </w:rPr>
      </w:pPr>
      <w:r>
        <w:rPr>
          <w:rFonts w:ascii="宋体" w:hAnsi="宋体"/>
          <w:sz w:val="24"/>
          <w:szCs w:val="24"/>
        </w:rPr>
        <w:t>5.9.4</w:t>
      </w:r>
      <w:r>
        <w:rPr>
          <w:rFonts w:hint="eastAsia" w:ascii="宋体" w:hAnsi="宋体"/>
          <w:sz w:val="24"/>
          <w:szCs w:val="24"/>
        </w:rPr>
        <w:t>对各盘柜按厂家（或设计院）图纸对二次回路检查。</w:t>
      </w:r>
    </w:p>
    <w:p>
      <w:pPr>
        <w:tabs>
          <w:tab w:val="left" w:pos="0"/>
          <w:tab w:val="left" w:pos="600"/>
        </w:tabs>
        <w:spacing w:line="360" w:lineRule="auto"/>
        <w:rPr>
          <w:rFonts w:ascii="宋体"/>
          <w:sz w:val="24"/>
          <w:szCs w:val="24"/>
        </w:rPr>
      </w:pPr>
      <w:r>
        <w:rPr>
          <w:rFonts w:ascii="宋体" w:hAnsi="宋体"/>
          <w:sz w:val="24"/>
          <w:szCs w:val="24"/>
        </w:rPr>
        <w:t>5.9.5</w:t>
      </w:r>
      <w:r>
        <w:rPr>
          <w:rFonts w:hint="eastAsia" w:ascii="宋体" w:hAnsi="宋体"/>
          <w:sz w:val="24"/>
          <w:szCs w:val="24"/>
        </w:rPr>
        <w:t>交流装置耐压试验报告检查。</w:t>
      </w:r>
    </w:p>
    <w:p>
      <w:pPr>
        <w:tabs>
          <w:tab w:val="left" w:pos="0"/>
          <w:tab w:val="left" w:pos="600"/>
        </w:tabs>
        <w:spacing w:line="360" w:lineRule="auto"/>
        <w:rPr>
          <w:rFonts w:ascii="宋体"/>
          <w:sz w:val="24"/>
          <w:szCs w:val="24"/>
        </w:rPr>
      </w:pPr>
      <w:r>
        <w:rPr>
          <w:rFonts w:ascii="宋体" w:hAnsi="宋体"/>
          <w:sz w:val="24"/>
          <w:szCs w:val="24"/>
        </w:rPr>
        <w:t>5.9.6</w:t>
      </w:r>
      <w:r>
        <w:rPr>
          <w:rFonts w:hint="eastAsia" w:ascii="宋体" w:hAnsi="宋体"/>
          <w:sz w:val="24"/>
          <w:szCs w:val="24"/>
        </w:rPr>
        <w:t>继电保护试验报告检查。</w:t>
      </w:r>
    </w:p>
    <w:p>
      <w:pPr>
        <w:tabs>
          <w:tab w:val="left" w:pos="0"/>
          <w:tab w:val="left" w:pos="600"/>
        </w:tabs>
        <w:spacing w:line="360" w:lineRule="auto"/>
        <w:rPr>
          <w:rFonts w:ascii="宋体"/>
          <w:sz w:val="24"/>
          <w:szCs w:val="24"/>
        </w:rPr>
      </w:pPr>
      <w:r>
        <w:rPr>
          <w:rFonts w:ascii="宋体" w:hAnsi="宋体"/>
          <w:sz w:val="24"/>
          <w:szCs w:val="24"/>
        </w:rPr>
        <w:t>5.9.7</w:t>
      </w:r>
      <w:r>
        <w:rPr>
          <w:rFonts w:hint="eastAsia" w:ascii="宋体" w:hAnsi="宋体"/>
          <w:sz w:val="24"/>
          <w:szCs w:val="24"/>
        </w:rPr>
        <w:t>单元调试和整租调试试验检查。</w:t>
      </w:r>
    </w:p>
    <w:p>
      <w:pPr>
        <w:tabs>
          <w:tab w:val="left" w:pos="0"/>
          <w:tab w:val="left" w:pos="240"/>
        </w:tabs>
        <w:spacing w:line="360" w:lineRule="auto"/>
        <w:rPr>
          <w:rFonts w:ascii="宋体"/>
          <w:sz w:val="24"/>
          <w:szCs w:val="24"/>
        </w:rPr>
      </w:pPr>
      <w:r>
        <w:rPr>
          <w:rFonts w:ascii="宋体" w:hAnsi="宋体"/>
          <w:sz w:val="24"/>
          <w:szCs w:val="24"/>
        </w:rPr>
        <w:t>5.9.8</w:t>
      </w:r>
      <w:r>
        <w:rPr>
          <w:rFonts w:hint="eastAsia" w:ascii="宋体" w:hAnsi="宋体"/>
          <w:sz w:val="24"/>
          <w:szCs w:val="24"/>
        </w:rPr>
        <w:t>按照工业电视系统的功能要求完成工业电视系统与电站火灾自动报警和联动控制系统，电站计算机监控系统联合调试工作。</w:t>
      </w:r>
    </w:p>
    <w:p>
      <w:pPr>
        <w:pStyle w:val="3"/>
      </w:pPr>
      <w:bookmarkStart w:id="47" w:name="_Toc12100594"/>
      <w:r>
        <w:t>6</w:t>
      </w:r>
      <w:r>
        <w:rPr>
          <w:rFonts w:hint="eastAsia"/>
        </w:rPr>
        <w:t>火灾报警系统</w:t>
      </w:r>
      <w:bookmarkEnd w:id="47"/>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火灾报警系统的连接电缆及电缆敷设方式</w:t>
      </w:r>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全厂探测设备，火警电话，电源，火警广播等设备的连接电缆均采用阻燃型屏蔽专用电缆；启动灭火及其它联动设备的电缆均采用防火耐高温电缆。所有设备应符合国家消防标准。</w:t>
      </w:r>
    </w:p>
    <w:p>
      <w:pPr>
        <w:pStyle w:val="3"/>
      </w:pPr>
      <w:bookmarkStart w:id="48" w:name="_Toc12100595"/>
      <w:r>
        <w:t>7</w:t>
      </w:r>
      <w:r>
        <w:rPr>
          <w:rFonts w:hint="eastAsia"/>
        </w:rPr>
        <w:t>旁站监理控制</w:t>
      </w:r>
      <w:bookmarkEnd w:id="48"/>
    </w:p>
    <w:p>
      <w:pPr>
        <w:tabs>
          <w:tab w:val="left" w:pos="0"/>
          <w:tab w:val="left" w:pos="600"/>
        </w:tabs>
        <w:spacing w:line="360" w:lineRule="auto"/>
        <w:rPr>
          <w:rFonts w:ascii="宋体"/>
          <w:bCs/>
          <w:sz w:val="24"/>
          <w:szCs w:val="24"/>
        </w:rPr>
      </w:pPr>
      <w:r>
        <w:rPr>
          <w:rFonts w:ascii="宋体"/>
          <w:bCs/>
          <w:sz w:val="24"/>
          <w:szCs w:val="24"/>
        </w:rPr>
        <w:t>7.1</w:t>
      </w:r>
      <w:r>
        <w:rPr>
          <w:rFonts w:hint="eastAsia" w:ascii="宋体" w:hAnsi="宋体"/>
          <w:bCs/>
          <w:sz w:val="24"/>
          <w:szCs w:val="24"/>
        </w:rPr>
        <w:t>旁站工作流程及要求</w:t>
      </w:r>
    </w:p>
    <w:p>
      <w:pPr>
        <w:tabs>
          <w:tab w:val="left" w:pos="0"/>
          <w:tab w:val="left" w:pos="240"/>
        </w:tabs>
        <w:spacing w:line="360" w:lineRule="auto"/>
        <w:rPr>
          <w:rFonts w:ascii="宋体"/>
          <w:sz w:val="24"/>
          <w:szCs w:val="24"/>
        </w:rPr>
      </w:pPr>
      <w:r>
        <w:rPr>
          <w:rFonts w:ascii="宋体" w:hAnsi="宋体"/>
          <w:sz w:val="24"/>
          <w:szCs w:val="24"/>
        </w:rPr>
        <w:t>7.1.1</w:t>
      </w:r>
      <w:r>
        <w:rPr>
          <w:rFonts w:hint="eastAsia" w:ascii="宋体" w:hAnsi="宋体"/>
          <w:sz w:val="24"/>
          <w:szCs w:val="24"/>
        </w:rPr>
        <w:t>实施旁站监理的各项工程，施工单位应提前</w:t>
      </w:r>
      <w:r>
        <w:rPr>
          <w:rFonts w:ascii="宋体" w:hAnsi="宋体"/>
          <w:sz w:val="24"/>
          <w:szCs w:val="24"/>
        </w:rPr>
        <w:t>24H</w:t>
      </w:r>
      <w:r>
        <w:rPr>
          <w:rFonts w:hint="eastAsia" w:ascii="宋体" w:hAnsi="宋体"/>
          <w:sz w:val="24"/>
          <w:szCs w:val="24"/>
        </w:rPr>
        <w:t>项目监理部申请申报施工申请。</w:t>
      </w:r>
    </w:p>
    <w:p>
      <w:pPr>
        <w:tabs>
          <w:tab w:val="left" w:pos="0"/>
          <w:tab w:val="left" w:pos="240"/>
        </w:tabs>
        <w:spacing w:line="360" w:lineRule="auto"/>
        <w:rPr>
          <w:rFonts w:ascii="宋体"/>
          <w:sz w:val="24"/>
          <w:szCs w:val="24"/>
        </w:rPr>
      </w:pPr>
      <w:r>
        <w:rPr>
          <w:rFonts w:ascii="宋体" w:hAnsi="宋体"/>
          <w:sz w:val="24"/>
          <w:szCs w:val="24"/>
        </w:rPr>
        <w:t>7.1.2</w:t>
      </w:r>
      <w:r>
        <w:rPr>
          <w:rFonts w:hint="eastAsia" w:ascii="宋体" w:hAnsi="宋体"/>
          <w:sz w:val="24"/>
          <w:szCs w:val="24"/>
        </w:rPr>
        <w:t>受到施工单位的报告后，监理工程师应立即检查确认是否已具备施工条件。检查如下：</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1</w:t>
      </w:r>
      <w:r>
        <w:rPr>
          <w:rFonts w:hint="eastAsia" w:ascii="宋体" w:hAnsi="宋体"/>
          <w:sz w:val="24"/>
          <w:szCs w:val="24"/>
        </w:rPr>
        <w:t>）上道工序及其它专业在该部位的工程是否已确认合格。</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2</w:t>
      </w:r>
      <w:r>
        <w:rPr>
          <w:rFonts w:hint="eastAsia" w:ascii="宋体" w:hAnsi="宋体"/>
          <w:sz w:val="24"/>
          <w:szCs w:val="24"/>
        </w:rPr>
        <w:t>）施工方案是否已经监理批准。</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3</w:t>
      </w:r>
      <w:r>
        <w:rPr>
          <w:rFonts w:hint="eastAsia" w:ascii="宋体" w:hAnsi="宋体"/>
          <w:sz w:val="24"/>
          <w:szCs w:val="24"/>
        </w:rPr>
        <w:t>）施工设备，人员，材料等是否到位。</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4</w:t>
      </w:r>
      <w:r>
        <w:rPr>
          <w:rFonts w:hint="eastAsia" w:ascii="宋体" w:hAnsi="宋体"/>
          <w:sz w:val="24"/>
          <w:szCs w:val="24"/>
        </w:rPr>
        <w:t>）安全设施是否符合相关要求。</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5</w:t>
      </w:r>
      <w:r>
        <w:rPr>
          <w:rFonts w:hint="eastAsia" w:ascii="宋体" w:hAnsi="宋体"/>
          <w:sz w:val="24"/>
          <w:szCs w:val="24"/>
        </w:rPr>
        <w:t>）是否有影响施工的其它因素。</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在以上条件均满足，并经总监理工程师确认后，签认申请表，并安排好旁站监理人员实施旁站监理。</w:t>
      </w:r>
    </w:p>
    <w:p>
      <w:pPr>
        <w:tabs>
          <w:tab w:val="left" w:pos="0"/>
          <w:tab w:val="left" w:pos="600"/>
        </w:tabs>
        <w:spacing w:line="360" w:lineRule="auto"/>
        <w:rPr>
          <w:rFonts w:ascii="宋体"/>
          <w:sz w:val="24"/>
          <w:szCs w:val="24"/>
        </w:rPr>
      </w:pPr>
      <w:r>
        <w:rPr>
          <w:rFonts w:ascii="宋体" w:hAnsi="宋体"/>
          <w:sz w:val="24"/>
          <w:szCs w:val="24"/>
        </w:rPr>
        <w:t>7.1.3</w:t>
      </w:r>
      <w:r>
        <w:rPr>
          <w:rFonts w:hint="eastAsia" w:ascii="宋体" w:hAnsi="宋体"/>
          <w:sz w:val="24"/>
          <w:szCs w:val="24"/>
        </w:rPr>
        <w:t>旁站前监理人员应充分了解和掌握施工所用材料，设备的质量情况以及施工图纸，设计要求，标准，规范等。</w:t>
      </w:r>
    </w:p>
    <w:p>
      <w:pPr>
        <w:tabs>
          <w:tab w:val="left" w:pos="0"/>
          <w:tab w:val="left" w:pos="600"/>
        </w:tabs>
        <w:spacing w:line="360" w:lineRule="auto"/>
        <w:rPr>
          <w:rFonts w:ascii="宋体"/>
          <w:sz w:val="24"/>
          <w:szCs w:val="24"/>
        </w:rPr>
      </w:pPr>
      <w:r>
        <w:rPr>
          <w:rFonts w:ascii="宋体" w:hAnsi="宋体"/>
          <w:sz w:val="24"/>
          <w:szCs w:val="24"/>
        </w:rPr>
        <w:t>7.1.4</w:t>
      </w:r>
      <w:r>
        <w:rPr>
          <w:rFonts w:hint="eastAsia" w:ascii="宋体" w:hAnsi="宋体"/>
          <w:sz w:val="24"/>
          <w:szCs w:val="24"/>
        </w:rPr>
        <w:t>旁站监理工作主要有现场监理员进行，监理员执行旁站前，专业监理工程师向其进行交底，明确交代旁站项目范围，质量标准，注意事项及突发事件处理要点。并配备必要的监理设施。</w:t>
      </w:r>
    </w:p>
    <w:p>
      <w:pPr>
        <w:tabs>
          <w:tab w:val="left" w:pos="0"/>
          <w:tab w:val="left" w:pos="600"/>
        </w:tabs>
        <w:spacing w:line="360" w:lineRule="auto"/>
        <w:rPr>
          <w:rFonts w:ascii="宋体"/>
          <w:sz w:val="24"/>
          <w:szCs w:val="24"/>
        </w:rPr>
      </w:pPr>
      <w:r>
        <w:rPr>
          <w:rFonts w:ascii="宋体" w:hAnsi="宋体"/>
          <w:sz w:val="24"/>
          <w:szCs w:val="24"/>
        </w:rPr>
        <w:t>7.1.5</w:t>
      </w:r>
      <w:r>
        <w:rPr>
          <w:rFonts w:hint="eastAsia" w:ascii="宋体" w:hAnsi="宋体"/>
          <w:sz w:val="24"/>
          <w:szCs w:val="24"/>
        </w:rPr>
        <w:t>旁站监理人员在施工现场功能班监督，及时发现和处理旁站监理过程中出现的质量问题，如实准确地做好旁站监理记录。凡旁站监理人员和施工单位现场质检人员未在旁站监理记录上签字的，不得进行下一道工序施工。</w:t>
      </w:r>
    </w:p>
    <w:p>
      <w:pPr>
        <w:tabs>
          <w:tab w:val="left" w:pos="0"/>
          <w:tab w:val="left" w:pos="600"/>
        </w:tabs>
        <w:spacing w:line="360" w:lineRule="auto"/>
        <w:rPr>
          <w:rFonts w:ascii="宋体"/>
          <w:sz w:val="24"/>
          <w:szCs w:val="24"/>
        </w:rPr>
      </w:pPr>
      <w:r>
        <w:rPr>
          <w:rFonts w:ascii="宋体" w:hAnsi="宋体"/>
          <w:sz w:val="24"/>
          <w:szCs w:val="24"/>
        </w:rPr>
        <w:t>7.1.6</w:t>
      </w:r>
      <w:r>
        <w:rPr>
          <w:rFonts w:hint="eastAsia" w:ascii="宋体" w:hAnsi="宋体"/>
          <w:sz w:val="24"/>
          <w:szCs w:val="24"/>
        </w:rPr>
        <w:t>旁站监理人员实施旁站监理时，发现施工单位有违反工程建设强制性标准行为的，应责令施工单位立即整改；发现其施工活动已经或可能危及工程质量的，应当及时向总监理工程师和监理工程师报告，有总监理工程师下达局部暂停施工令或者采取其它应急措施。</w:t>
      </w:r>
    </w:p>
    <w:p>
      <w:pPr>
        <w:tabs>
          <w:tab w:val="left" w:pos="0"/>
          <w:tab w:val="left" w:pos="600"/>
        </w:tabs>
        <w:spacing w:line="360" w:lineRule="auto"/>
        <w:rPr>
          <w:rFonts w:ascii="宋体"/>
          <w:sz w:val="24"/>
          <w:szCs w:val="24"/>
        </w:rPr>
      </w:pPr>
      <w:r>
        <w:rPr>
          <w:rFonts w:ascii="宋体" w:hAnsi="宋体"/>
          <w:sz w:val="24"/>
          <w:szCs w:val="24"/>
        </w:rPr>
        <w:t>7.1.7</w:t>
      </w:r>
      <w:r>
        <w:rPr>
          <w:rFonts w:hint="eastAsia" w:ascii="宋体" w:hAnsi="宋体"/>
          <w:sz w:val="24"/>
          <w:szCs w:val="24"/>
        </w:rPr>
        <w:t>按总监理工程师批准的监理实施细则逐项执行或按商定的工艺质量标准进行监督检查，并做好质量记录和取样分析。应旁站监理的关键部位，关键工序施工。</w:t>
      </w:r>
    </w:p>
    <w:p>
      <w:pPr>
        <w:tabs>
          <w:tab w:val="left" w:pos="0"/>
        </w:tabs>
        <w:spacing w:line="360" w:lineRule="auto"/>
        <w:rPr>
          <w:rFonts w:ascii="宋体"/>
          <w:bCs/>
          <w:sz w:val="24"/>
          <w:szCs w:val="24"/>
        </w:rPr>
      </w:pPr>
      <w:r>
        <w:rPr>
          <w:rFonts w:ascii="宋体" w:hAnsi="宋体"/>
          <w:bCs/>
          <w:sz w:val="24"/>
          <w:szCs w:val="24"/>
        </w:rPr>
        <w:t>7.2</w:t>
      </w:r>
      <w:r>
        <w:rPr>
          <w:rFonts w:hint="eastAsia" w:ascii="宋体" w:hAnsi="宋体"/>
          <w:bCs/>
          <w:sz w:val="24"/>
          <w:szCs w:val="24"/>
        </w:rPr>
        <w:t>旁站监理职责</w:t>
      </w:r>
    </w:p>
    <w:p>
      <w:pPr>
        <w:tabs>
          <w:tab w:val="left" w:pos="0"/>
          <w:tab w:val="left" w:pos="600"/>
        </w:tabs>
        <w:spacing w:line="360" w:lineRule="auto"/>
        <w:rPr>
          <w:rFonts w:ascii="宋体"/>
          <w:sz w:val="24"/>
          <w:szCs w:val="24"/>
        </w:rPr>
      </w:pPr>
      <w:r>
        <w:rPr>
          <w:rFonts w:ascii="宋体" w:hAnsi="宋体"/>
          <w:sz w:val="24"/>
          <w:szCs w:val="24"/>
        </w:rPr>
        <w:t>7.2.1</w:t>
      </w:r>
      <w:r>
        <w:rPr>
          <w:rFonts w:hint="eastAsia" w:ascii="宋体" w:hAnsi="宋体"/>
          <w:sz w:val="24"/>
          <w:szCs w:val="24"/>
        </w:rPr>
        <w:t>检查施工单位现场人员到岗，特殊工作人员持证上岗以及施工机械，建设测量准备情况。</w:t>
      </w:r>
    </w:p>
    <w:p>
      <w:pPr>
        <w:tabs>
          <w:tab w:val="left" w:pos="0"/>
          <w:tab w:val="left" w:pos="600"/>
        </w:tabs>
        <w:spacing w:line="360" w:lineRule="auto"/>
        <w:rPr>
          <w:rFonts w:ascii="宋体"/>
          <w:sz w:val="24"/>
          <w:szCs w:val="24"/>
        </w:rPr>
      </w:pPr>
      <w:r>
        <w:rPr>
          <w:rFonts w:ascii="宋体" w:hAnsi="宋体"/>
          <w:sz w:val="24"/>
          <w:szCs w:val="24"/>
        </w:rPr>
        <w:t>7.2.2</w:t>
      </w:r>
      <w:r>
        <w:rPr>
          <w:rFonts w:hint="eastAsia" w:ascii="宋体" w:hAnsi="宋体"/>
          <w:sz w:val="24"/>
          <w:szCs w:val="24"/>
        </w:rPr>
        <w:t>在现场跟班监督关键部位，关键工序的施工执行施工方案以及工程建设强制性标准情况。</w:t>
      </w:r>
    </w:p>
    <w:p>
      <w:pPr>
        <w:tabs>
          <w:tab w:val="left" w:pos="0"/>
          <w:tab w:val="left" w:pos="600"/>
        </w:tabs>
        <w:spacing w:line="360" w:lineRule="auto"/>
        <w:rPr>
          <w:rFonts w:ascii="宋体"/>
          <w:sz w:val="24"/>
          <w:szCs w:val="24"/>
        </w:rPr>
      </w:pPr>
      <w:r>
        <w:rPr>
          <w:rFonts w:ascii="宋体" w:hAnsi="宋体"/>
          <w:sz w:val="24"/>
          <w:szCs w:val="24"/>
        </w:rPr>
        <w:t>7.2.3</w:t>
      </w:r>
      <w:r>
        <w:rPr>
          <w:rFonts w:hint="eastAsia" w:ascii="宋体" w:hAnsi="宋体"/>
          <w:sz w:val="24"/>
          <w:szCs w:val="24"/>
        </w:rPr>
        <w:t>核查进场材料，构配件，设备的出厂质量证明，质量检验报告。</w:t>
      </w:r>
    </w:p>
    <w:p>
      <w:pPr>
        <w:tabs>
          <w:tab w:val="left" w:pos="0"/>
          <w:tab w:val="left" w:pos="600"/>
        </w:tabs>
        <w:spacing w:line="360" w:lineRule="auto"/>
        <w:rPr>
          <w:rFonts w:ascii="宋体"/>
          <w:sz w:val="24"/>
          <w:szCs w:val="24"/>
        </w:rPr>
      </w:pPr>
      <w:r>
        <w:rPr>
          <w:rFonts w:ascii="宋体" w:hAnsi="宋体"/>
          <w:sz w:val="24"/>
          <w:szCs w:val="24"/>
        </w:rPr>
        <w:t>7.2.4</w:t>
      </w:r>
      <w:r>
        <w:rPr>
          <w:rFonts w:hint="eastAsia" w:ascii="宋体" w:hAnsi="宋体"/>
          <w:sz w:val="24"/>
          <w:szCs w:val="24"/>
        </w:rPr>
        <w:t>督促施工单位进行现场检查和必要的复验。</w:t>
      </w:r>
    </w:p>
    <w:p>
      <w:pPr>
        <w:tabs>
          <w:tab w:val="left" w:pos="0"/>
          <w:tab w:val="left" w:pos="600"/>
        </w:tabs>
        <w:spacing w:line="360" w:lineRule="auto"/>
        <w:rPr>
          <w:rFonts w:ascii="宋体"/>
          <w:sz w:val="24"/>
          <w:szCs w:val="24"/>
        </w:rPr>
      </w:pPr>
      <w:r>
        <w:rPr>
          <w:rFonts w:ascii="宋体" w:hAnsi="宋体"/>
          <w:sz w:val="24"/>
          <w:szCs w:val="24"/>
        </w:rPr>
        <w:t>7.2.5</w:t>
      </w:r>
      <w:r>
        <w:rPr>
          <w:rFonts w:hint="eastAsia" w:ascii="宋体" w:hAnsi="宋体"/>
          <w:sz w:val="24"/>
          <w:szCs w:val="24"/>
        </w:rPr>
        <w:t>做好旁站监理记录和监理日记，保存旁站监理原始资料。</w:t>
      </w:r>
    </w:p>
    <w:p>
      <w:pPr>
        <w:tabs>
          <w:tab w:val="left" w:pos="0"/>
          <w:tab w:val="left" w:pos="600"/>
        </w:tabs>
        <w:spacing w:line="360" w:lineRule="auto"/>
        <w:rPr>
          <w:rFonts w:ascii="宋体"/>
          <w:sz w:val="24"/>
          <w:szCs w:val="24"/>
        </w:rPr>
      </w:pPr>
      <w:r>
        <w:rPr>
          <w:rFonts w:ascii="宋体" w:hAnsi="宋体"/>
          <w:sz w:val="24"/>
          <w:szCs w:val="24"/>
        </w:rPr>
        <w:t>7.2.6</w:t>
      </w:r>
      <w:r>
        <w:rPr>
          <w:rFonts w:hint="eastAsia" w:ascii="宋体" w:hAnsi="宋体"/>
          <w:sz w:val="24"/>
          <w:szCs w:val="24"/>
        </w:rPr>
        <w:t>旁站监理过程中，发现有违反工程建设强制性标准行为的，有权责令施工单位立即改正</w:t>
      </w:r>
      <w:r>
        <w:rPr>
          <w:rFonts w:ascii="宋体"/>
          <w:sz w:val="24"/>
          <w:szCs w:val="24"/>
        </w:rPr>
        <w:t>,</w:t>
      </w:r>
      <w:r>
        <w:rPr>
          <w:rFonts w:hint="eastAsia" w:ascii="宋体" w:hAnsi="宋体"/>
          <w:sz w:val="24"/>
          <w:szCs w:val="24"/>
        </w:rPr>
        <w:t>应及时向总监理工程师报告，由总监理工程师采取必要的措施。</w:t>
      </w:r>
    </w:p>
    <w:p>
      <w:pPr>
        <w:tabs>
          <w:tab w:val="left" w:pos="0"/>
          <w:tab w:val="left" w:pos="240"/>
        </w:tabs>
        <w:spacing w:line="360" w:lineRule="auto"/>
        <w:rPr>
          <w:rFonts w:ascii="宋体"/>
          <w:sz w:val="24"/>
          <w:szCs w:val="24"/>
        </w:rPr>
      </w:pPr>
      <w:r>
        <w:rPr>
          <w:rFonts w:ascii="宋体" w:hAnsi="宋体"/>
          <w:sz w:val="24"/>
          <w:szCs w:val="24"/>
        </w:rPr>
        <w:t>7.2.7</w:t>
      </w:r>
      <w:r>
        <w:rPr>
          <w:rFonts w:hint="eastAsia" w:ascii="宋体" w:hAnsi="宋体"/>
          <w:sz w:val="24"/>
          <w:szCs w:val="24"/>
        </w:rPr>
        <w:t>必须如实，准确地填写旁站记录。</w:t>
      </w:r>
      <w:r>
        <w:rPr>
          <w:rFonts w:ascii="宋体"/>
          <w:sz w:val="24"/>
          <w:szCs w:val="24"/>
        </w:rPr>
        <w:tab/>
      </w:r>
    </w:p>
    <w:p>
      <w:pPr>
        <w:pStyle w:val="3"/>
      </w:pPr>
      <w:bookmarkStart w:id="49" w:name="_Toc12100596"/>
      <w:r>
        <w:rPr>
          <w:rStyle w:val="14"/>
          <w:b/>
        </w:rPr>
        <w:t>8</w:t>
      </w:r>
      <w:r>
        <w:rPr>
          <w:rStyle w:val="14"/>
          <w:rFonts w:hint="eastAsia"/>
          <w:b/>
        </w:rPr>
        <w:t>质量目标</w:t>
      </w:r>
      <w:bookmarkEnd w:id="46"/>
      <w:r>
        <w:rPr>
          <w:rFonts w:hint="eastAsia"/>
        </w:rPr>
        <w:t>：</w:t>
      </w:r>
      <w:bookmarkEnd w:id="49"/>
      <w:bookmarkStart w:id="50" w:name="_Toc318380212"/>
    </w:p>
    <w:p>
      <w:pPr>
        <w:tabs>
          <w:tab w:val="left" w:pos="0"/>
          <w:tab w:val="left" w:pos="600"/>
        </w:tabs>
        <w:spacing w:line="360" w:lineRule="auto"/>
        <w:rPr>
          <w:rFonts w:ascii="宋体"/>
          <w:sz w:val="24"/>
          <w:szCs w:val="24"/>
        </w:rPr>
      </w:pPr>
      <w:r>
        <w:rPr>
          <w:rFonts w:hint="eastAsia" w:ascii="宋体" w:hAnsi="宋体"/>
          <w:sz w:val="24"/>
          <w:szCs w:val="24"/>
        </w:rPr>
        <w:t>接入系统带电一次成功。</w:t>
      </w:r>
    </w:p>
    <w:p>
      <w:pPr>
        <w:pStyle w:val="3"/>
      </w:pPr>
      <w:bookmarkStart w:id="51" w:name="_Toc12100597"/>
      <w:r>
        <w:t>9</w:t>
      </w:r>
      <w:r>
        <w:rPr>
          <w:rFonts w:hint="eastAsia"/>
        </w:rPr>
        <w:t>监理工作方法及</w:t>
      </w:r>
      <w:bookmarkEnd w:id="50"/>
      <w:r>
        <w:rPr>
          <w:rFonts w:hint="eastAsia"/>
        </w:rPr>
        <w:t>程序</w:t>
      </w:r>
      <w:bookmarkEnd w:id="51"/>
    </w:p>
    <w:p>
      <w:pPr>
        <w:tabs>
          <w:tab w:val="left" w:pos="0"/>
          <w:tab w:val="left" w:pos="1080"/>
        </w:tabs>
        <w:spacing w:line="360" w:lineRule="auto"/>
        <w:rPr>
          <w:rFonts w:ascii="宋体"/>
          <w:bCs/>
          <w:sz w:val="24"/>
          <w:szCs w:val="24"/>
        </w:rPr>
      </w:pPr>
      <w:r>
        <w:rPr>
          <w:rFonts w:ascii="宋体" w:hAnsi="宋体"/>
          <w:bCs/>
          <w:sz w:val="24"/>
          <w:szCs w:val="24"/>
        </w:rPr>
        <w:t>9.1</w:t>
      </w:r>
      <w:r>
        <w:rPr>
          <w:rFonts w:hint="eastAsia" w:ascii="宋体" w:hAnsi="宋体"/>
          <w:bCs/>
          <w:sz w:val="24"/>
          <w:szCs w:val="24"/>
        </w:rPr>
        <w:t>监理工作方法</w:t>
      </w:r>
    </w:p>
    <w:p>
      <w:pPr>
        <w:tabs>
          <w:tab w:val="left" w:pos="0"/>
          <w:tab w:val="left" w:pos="1080"/>
        </w:tabs>
        <w:spacing w:line="360" w:lineRule="auto"/>
        <w:rPr>
          <w:rFonts w:ascii="宋体"/>
          <w:sz w:val="24"/>
          <w:szCs w:val="24"/>
        </w:rPr>
      </w:pPr>
      <w:r>
        <w:rPr>
          <w:rFonts w:ascii="宋体" w:hAnsi="宋体"/>
          <w:sz w:val="24"/>
          <w:szCs w:val="24"/>
        </w:rPr>
        <w:t>9.1</w:t>
      </w:r>
      <w:r>
        <w:rPr>
          <w:rFonts w:hint="eastAsia" w:ascii="宋体" w:hAnsi="宋体"/>
          <w:sz w:val="24"/>
          <w:szCs w:val="24"/>
        </w:rPr>
        <w:t>．</w:t>
      </w:r>
      <w:r>
        <w:rPr>
          <w:rFonts w:ascii="宋体" w:hAnsi="宋体"/>
          <w:sz w:val="24"/>
          <w:szCs w:val="24"/>
        </w:rPr>
        <w:t>1</w:t>
      </w:r>
      <w:r>
        <w:rPr>
          <w:rFonts w:hint="eastAsia" w:ascii="宋体" w:hAnsi="宋体"/>
          <w:sz w:val="24"/>
          <w:szCs w:val="24"/>
        </w:rPr>
        <w:t>监理工作程序应体现过程控制原则，事前、事中、事后控制原则和主动控制的要求，应结合工程项目的特点，注重效果。应该明确工作内容，引为的主体，考核所采用的标准，也要符合委托监理合同和施工合同的规定。</w:t>
      </w:r>
    </w:p>
    <w:p>
      <w:pPr>
        <w:spacing w:line="360" w:lineRule="auto"/>
        <w:rPr>
          <w:rFonts w:ascii="宋体"/>
          <w:bCs/>
          <w:sz w:val="24"/>
        </w:rPr>
      </w:pPr>
      <w:r>
        <w:rPr>
          <w:rFonts w:ascii="宋体" w:hAnsi="宋体"/>
          <w:bCs/>
          <w:sz w:val="24"/>
        </w:rPr>
        <w:t>9.2</w:t>
      </w:r>
      <w:r>
        <w:rPr>
          <w:rFonts w:hint="eastAsia" w:ascii="宋体" w:hAnsi="宋体"/>
          <w:bCs/>
          <w:sz w:val="24"/>
        </w:rPr>
        <w:t>监理工作程序</w:t>
      </w:r>
    </w:p>
    <w:p>
      <w:pPr>
        <w:widowControl/>
        <w:jc w:val="left"/>
        <w:rPr>
          <w:rFonts w:ascii="宋体" w:hAnsi="宋体"/>
          <w:sz w:val="24"/>
        </w:rPr>
      </w:pPr>
      <w:r>
        <w:rPr>
          <w:rFonts w:ascii="宋体" w:hAnsi="宋体"/>
          <w:sz w:val="24"/>
        </w:rPr>
        <w:br w:type="page"/>
      </w:r>
    </w:p>
    <w:p>
      <w:pPr>
        <w:spacing w:line="360" w:lineRule="auto"/>
        <w:rPr>
          <w:rFonts w:ascii="宋体"/>
          <w:sz w:val="24"/>
        </w:rPr>
      </w:pPr>
      <w:r>
        <w:rPr>
          <w:rFonts w:ascii="宋体" w:hAnsi="宋体"/>
          <w:sz w:val="24"/>
        </w:rPr>
        <w:t>9.2.1</w:t>
      </w:r>
      <w:r>
        <w:rPr>
          <w:rFonts w:hint="eastAsia" w:ascii="宋体" w:hAnsi="宋体"/>
          <w:sz w:val="24"/>
        </w:rPr>
        <w:t>质量控制程序</w:t>
      </w:r>
    </w:p>
    <w:p>
      <w:pPr>
        <w:spacing w:line="360" w:lineRule="auto"/>
        <w:rPr>
          <w:rFonts w:ascii="宋体"/>
          <w:color w:val="000000"/>
          <w:sz w:val="24"/>
        </w:rPr>
      </w:pPr>
      <w:r>
        <w:rPr>
          <w:rFonts w:hint="eastAsia" w:ascii="宋体" w:hAnsi="宋体"/>
          <w:color w:val="000000"/>
          <w:sz w:val="24"/>
        </w:rPr>
        <w:object>
          <v:shape id="_x0000_i1025" o:spt="75" type="#_x0000_t75" style="height:652.05pt;width:413.4pt;" o:ole="t" fillcolor="#000005" filled="f" o:preferrelative="t" stroked="f" coordsize="21600,21600">
            <v:path/>
            <v:fill on="f" focussize="0,0"/>
            <v:stroke on="f" joinstyle="miter"/>
            <v:imagedata r:id="rId11" o:title=""/>
            <o:lock v:ext="edit" aspectratio="t"/>
            <w10:wrap type="none"/>
            <w10:anchorlock/>
          </v:shape>
          <o:OLEObject Type="Embed" ProgID="Word.Picture.8" ShapeID="_x0000_i1025" DrawAspect="Content" ObjectID="_1468075725" r:id="rId10">
            <o:LockedField>false</o:LockedField>
          </o:OLEObject>
        </w:object>
      </w:r>
    </w:p>
    <w:p>
      <w:pPr>
        <w:widowControl/>
        <w:jc w:val="left"/>
        <w:rPr>
          <w:rFonts w:ascii="宋体"/>
          <w:sz w:val="24"/>
        </w:rPr>
      </w:pPr>
      <w:r>
        <w:rPr>
          <w:rFonts w:ascii="宋体"/>
          <w:sz w:val="24"/>
        </w:rPr>
        <w:br w:type="page"/>
      </w:r>
    </w:p>
    <w:p>
      <w:pPr>
        <w:spacing w:line="360" w:lineRule="auto"/>
        <w:rPr>
          <w:rFonts w:ascii="宋体"/>
          <w:sz w:val="24"/>
        </w:rPr>
      </w:pPr>
      <w:r>
        <w:rPr>
          <w:rFonts w:ascii="宋体" w:hAnsi="宋体"/>
          <w:sz w:val="24"/>
        </w:rPr>
        <w:t xml:space="preserve">9.2.2 </w:t>
      </w:r>
      <w:r>
        <w:rPr>
          <w:rFonts w:hint="eastAsia" w:ascii="宋体" w:hAnsi="宋体"/>
          <w:sz w:val="24"/>
        </w:rPr>
        <w:t>进度控制程序</w:t>
      </w:r>
    </w:p>
    <w:p>
      <w:pPr>
        <w:spacing w:line="360" w:lineRule="auto"/>
        <w:rPr>
          <w:rFonts w:ascii="宋体"/>
          <w:sz w:val="24"/>
        </w:rPr>
      </w:pPr>
    </w:p>
    <w:p>
      <w:pPr>
        <w:spacing w:line="360" w:lineRule="auto"/>
        <w:jc w:val="center"/>
        <w:rPr>
          <w:rFonts w:ascii="宋体"/>
          <w:sz w:val="24"/>
        </w:rPr>
      </w:pPr>
      <w:r>
        <w:rPr>
          <w:rFonts w:hint="eastAsia" w:ascii="宋体" w:hAnsi="宋体"/>
          <w:color w:val="000000"/>
          <w:sz w:val="24"/>
        </w:rPr>
        <w:object>
          <v:shape id="_x0000_i1026" o:spt="75" type="#_x0000_t75" style="height:626.95pt;width:436.3pt;" o:ole="t" fillcolor="#000005" filled="f" o:preferrelative="t" stroked="f" coordsize="21600,21600">
            <v:path/>
            <v:fill on="f" focussize="0,0"/>
            <v:stroke on="f" joinstyle="miter"/>
            <v:imagedata r:id="rId13" o:title=""/>
            <o:lock v:ext="edit" aspectratio="t"/>
            <w10:wrap type="none"/>
            <w10:anchorlock/>
          </v:shape>
          <o:OLEObject Type="Embed" ProgID="Word.Picture.8" ShapeID="_x0000_i1026" DrawAspect="Content" ObjectID="_1468075726" r:id="rId12">
            <o:LockedField>false</o:LockedField>
          </o:OLEObject>
        </w:object>
      </w:r>
    </w:p>
    <w:p>
      <w:pPr>
        <w:spacing w:line="360" w:lineRule="auto"/>
        <w:rPr>
          <w:rFonts w:ascii="宋体"/>
          <w:sz w:val="24"/>
        </w:rPr>
      </w:pPr>
    </w:p>
    <w:p>
      <w:pPr>
        <w:spacing w:line="360" w:lineRule="auto"/>
        <w:rPr>
          <w:rFonts w:ascii="宋体"/>
          <w:sz w:val="24"/>
        </w:rPr>
      </w:pPr>
      <w:r>
        <w:rPr>
          <w:rFonts w:ascii="宋体" w:hAnsi="宋体"/>
          <w:sz w:val="24"/>
        </w:rPr>
        <w:t xml:space="preserve">9.2.3 </w:t>
      </w:r>
      <w:r>
        <w:rPr>
          <w:rFonts w:hint="eastAsia" w:ascii="宋体" w:hAnsi="宋体"/>
          <w:sz w:val="24"/>
        </w:rPr>
        <w:t>安全控制程序</w:t>
      </w:r>
    </w:p>
    <w:p>
      <w:pPr>
        <w:spacing w:line="360" w:lineRule="auto"/>
        <w:rPr>
          <w:rFonts w:ascii="宋体"/>
          <w:sz w:val="24"/>
        </w:rPr>
      </w:pPr>
    </w:p>
    <w:p>
      <w:pPr>
        <w:spacing w:line="360" w:lineRule="auto"/>
        <w:jc w:val="center"/>
        <w:rPr>
          <w:rFonts w:ascii="宋体"/>
          <w:sz w:val="24"/>
        </w:rPr>
      </w:pPr>
      <w:r>
        <w:rPr>
          <w:rFonts w:hint="eastAsia" w:ascii="宋体" w:hAnsi="宋体"/>
          <w:sz w:val="24"/>
        </w:rPr>
        <w:object>
          <v:shape id="_x0000_i1027" o:spt="75" type="#_x0000_t75" style="height:607.25pt;width:438.1pt;" o:ole="t" filled="f" o:preferrelative="t" stroked="f" coordsize="21600,21600">
            <v:path/>
            <v:fill on="f" focussize="0,0"/>
            <v:stroke on="f" joinstyle="miter"/>
            <v:imagedata r:id="rId15" o:title=""/>
            <o:lock v:ext="edit" aspectratio="t"/>
            <w10:wrap type="none"/>
            <w10:anchorlock/>
          </v:shape>
          <o:OLEObject Type="Embed" ProgID="Word.Picture.8" ShapeID="_x0000_i1027" DrawAspect="Content" ObjectID="_1468075727" r:id="rId14">
            <o:LockedField>false</o:LockedField>
          </o:OLEObject>
        </w:objec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sz w:val="24"/>
        </w:rPr>
        <w:t xml:space="preserve">9.2.4 </w:t>
      </w:r>
      <w:r>
        <w:rPr>
          <w:rFonts w:hint="eastAsia" w:ascii="宋体" w:hAnsi="宋体"/>
          <w:sz w:val="24"/>
        </w:rPr>
        <w:t>投资控制程序</w:t>
      </w:r>
    </w:p>
    <w:p>
      <w:pPr>
        <w:spacing w:line="360" w:lineRule="auto"/>
        <w:rPr>
          <w:rFonts w:ascii="宋体"/>
          <w:sz w:val="24"/>
        </w:rPr>
      </w:pPr>
    </w:p>
    <w:p>
      <w:pPr>
        <w:spacing w:line="360" w:lineRule="auto"/>
        <w:jc w:val="center"/>
        <w:rPr>
          <w:rFonts w:ascii="宋体"/>
          <w:sz w:val="24"/>
        </w:rPr>
      </w:pPr>
      <w:r>
        <w:rPr>
          <w:rFonts w:hint="eastAsia" w:ascii="宋体" w:hAnsi="宋体"/>
          <w:color w:val="000000"/>
          <w:sz w:val="24"/>
        </w:rPr>
        <w:object>
          <v:shape id="_x0000_i1028" o:spt="75" type="#_x0000_t75" style="height:598.4pt;width:430.65pt;" o:ole="t" fillcolor="#000005" filled="f" o:preferrelative="t" stroked="f" coordsize="21600,21600">
            <v:path/>
            <v:fill on="f" focussize="0,0"/>
            <v:stroke on="f" joinstyle="miter"/>
            <v:imagedata r:id="rId17" o:title=""/>
            <o:lock v:ext="edit" aspectratio="t"/>
            <w10:wrap type="none"/>
            <w10:anchorlock/>
          </v:shape>
          <o:OLEObject Type="Embed" ProgID="Word.Picture.8" ShapeID="_x0000_i1028" DrawAspect="Content" ObjectID="_1468075728" r:id="rId16">
            <o:LockedField>false</o:LockedField>
          </o:OLEObject>
        </w:objec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sz w:val="24"/>
        </w:rPr>
        <w:t xml:space="preserve">9.2.5 </w:t>
      </w:r>
      <w:r>
        <w:rPr>
          <w:rFonts w:hint="eastAsia" w:ascii="宋体" w:hAnsi="宋体"/>
          <w:sz w:val="24"/>
        </w:rPr>
        <w:t>开工申请控制程序</w:t>
      </w:r>
    </w:p>
    <w:p>
      <w:pPr>
        <w:spacing w:line="360" w:lineRule="auto"/>
        <w:rPr>
          <w:rFonts w:ascii="宋体"/>
          <w:sz w:val="24"/>
        </w:rPr>
      </w:pPr>
      <w:r>
        <w:pict>
          <v:shape id="_x0000_s1026" o:spid="_x0000_s1026" o:spt="75" type="#_x0000_t75" style="position:absolute;left:0pt;margin-left:21pt;margin-top:7.8pt;height:656.1pt;width:396.7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9" o:title=""/>
            <o:lock v:ext="edit" aspectratio="t"/>
            <w10:wrap type="square" side="right"/>
          </v:shape>
          <o:OLEObject Type="Embed" ProgID="Word.Picture.8" ShapeID="_x0000_s1026" DrawAspect="Content" ObjectID="_1468075729" r:id="rId18">
            <o:LockedField>false</o:LockedField>
          </o:OLEObject>
        </w:pict>
      </w:r>
      <w:r>
        <w:rPr>
          <w:rFonts w:hint="eastAsia" w:ascii="宋体"/>
          <w:sz w:val="24"/>
        </w:rPr>
        <w:t xml:space="preserve"> </w:t>
      </w:r>
    </w:p>
    <w:p>
      <w:pPr>
        <w:spacing w:line="360" w:lineRule="auto"/>
        <w:rPr>
          <w:rFonts w:ascii="宋体"/>
          <w:sz w:val="24"/>
        </w:rPr>
        <w:sectPr>
          <w:footerReference r:id="rId4" w:type="default"/>
          <w:pgSz w:w="11906" w:h="16838"/>
          <w:pgMar w:top="1134" w:right="964" w:bottom="1134" w:left="1361" w:header="851" w:footer="992" w:gutter="0"/>
          <w:pgNumType w:start="1" w:chapStyle="1"/>
          <w:cols w:space="425" w:num="1"/>
          <w:docGrid w:type="lines" w:linePitch="312" w:charSpace="0"/>
        </w:sectPr>
      </w:pPr>
    </w:p>
    <w:p>
      <w:pPr>
        <w:spacing w:line="360" w:lineRule="auto"/>
        <w:rPr>
          <w:rFonts w:ascii="宋体"/>
          <w:sz w:val="24"/>
        </w:rPr>
      </w:pPr>
      <w:r>
        <w:rPr>
          <w:rFonts w:ascii="宋体" w:hAnsi="宋体"/>
          <w:sz w:val="24"/>
        </w:rPr>
        <w:t>9.2.6</w:t>
      </w:r>
      <w:r>
        <w:rPr>
          <w:rFonts w:hint="eastAsia" w:ascii="宋体" w:hAnsi="宋体"/>
          <w:sz w:val="24"/>
        </w:rPr>
        <w:t>隐蔽、分项、分部工程、预验收验收程序</w:t>
      </w:r>
    </w:p>
    <w:p>
      <w:pPr>
        <w:spacing w:line="360" w:lineRule="auto"/>
        <w:rPr>
          <w:rFonts w:ascii="宋体" w:hAnsi="宋体"/>
          <w:sz w:val="24"/>
        </w:rPr>
      </w:pPr>
      <w:r>
        <w:rPr>
          <w:rFonts w:ascii="宋体" w:hAnsi="宋体"/>
          <w:sz w:val="24"/>
        </w:rPr>
        <w:t xml:space="preserve"> </w:t>
      </w:r>
    </w:p>
    <w:p>
      <w:pPr>
        <w:spacing w:line="360" w:lineRule="auto"/>
        <w:rPr>
          <w:rFonts w:ascii="宋体"/>
          <w:sz w:val="24"/>
        </w:rPr>
      </w:pPr>
      <w:r>
        <w:rPr>
          <w:rFonts w:ascii="宋体" w:hAnsi="宋体"/>
          <w:sz w:val="24"/>
        </w:rPr>
        <w:t xml:space="preserve">    </w:t>
      </w:r>
      <w:r>
        <w:rPr>
          <w:rFonts w:hint="eastAsia" w:ascii="宋体" w:hAnsi="宋体"/>
          <w:sz w:val="24"/>
        </w:rPr>
        <w:object>
          <v:shape id="_x0000_i1029" o:spt="75" type="#_x0000_t75" style="height:616.75pt;width:327.75pt;" o:ole="t" filled="f" o:preferrelative="t" stroked="f" coordsize="21600,21600">
            <v:path/>
            <v:fill on="f" focussize="0,0"/>
            <v:stroke on="f" joinstyle="miter"/>
            <v:imagedata r:id="rId21" o:title=""/>
            <o:lock v:ext="edit" aspectratio="t"/>
            <w10:wrap type="none"/>
            <w10:anchorlock/>
          </v:shape>
          <o:OLEObject Type="Embed" ProgID="Word.Picture.8" ShapeID="_x0000_i1029" DrawAspect="Content" ObjectID="_1468075730" r:id="rId20">
            <o:LockedField>false</o:LockedField>
          </o:OLEObject>
        </w:object>
      </w:r>
    </w:p>
    <w:p>
      <w:pPr>
        <w:tabs>
          <w:tab w:val="left" w:pos="0"/>
          <w:tab w:val="left" w:pos="1080"/>
        </w:tabs>
        <w:spacing w:line="360" w:lineRule="auto"/>
        <w:rPr>
          <w:rFonts w:ascii="宋体"/>
          <w:sz w:val="24"/>
          <w:szCs w:val="24"/>
        </w:rPr>
      </w:pPr>
    </w:p>
    <w:p/>
    <w:sectPr>
      <w:footerReference r:id="rId8" w:type="first"/>
      <w:headerReference r:id="rId5" w:type="default"/>
      <w:footerReference r:id="rId6" w:type="default"/>
      <w:footerReference r:id="rId7" w:type="even"/>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000000"/>
    <w:rsid w:val="00BE1545"/>
    <w:rsid w:val="00FC02BF"/>
    <w:rsid w:val="019F1377"/>
    <w:rsid w:val="01EC5C3E"/>
    <w:rsid w:val="02820350"/>
    <w:rsid w:val="029C1412"/>
    <w:rsid w:val="030516AD"/>
    <w:rsid w:val="03323B24"/>
    <w:rsid w:val="04ED064B"/>
    <w:rsid w:val="05235E1B"/>
    <w:rsid w:val="05665D07"/>
    <w:rsid w:val="05942874"/>
    <w:rsid w:val="06193AFD"/>
    <w:rsid w:val="061B11E8"/>
    <w:rsid w:val="061B2F96"/>
    <w:rsid w:val="06624721"/>
    <w:rsid w:val="06A05249"/>
    <w:rsid w:val="07342561"/>
    <w:rsid w:val="07416A2C"/>
    <w:rsid w:val="09FB55B8"/>
    <w:rsid w:val="0A894972"/>
    <w:rsid w:val="0A9E7CF1"/>
    <w:rsid w:val="0AAB0D8C"/>
    <w:rsid w:val="0B354AFA"/>
    <w:rsid w:val="0B663CE2"/>
    <w:rsid w:val="0B6B051B"/>
    <w:rsid w:val="0BFD111B"/>
    <w:rsid w:val="0C0462D7"/>
    <w:rsid w:val="0C5114BF"/>
    <w:rsid w:val="0C9B273A"/>
    <w:rsid w:val="0CFD33F5"/>
    <w:rsid w:val="0E056A05"/>
    <w:rsid w:val="107C6D27"/>
    <w:rsid w:val="11F50B3F"/>
    <w:rsid w:val="122356AC"/>
    <w:rsid w:val="12483364"/>
    <w:rsid w:val="12F157AA"/>
    <w:rsid w:val="131274CE"/>
    <w:rsid w:val="13C00FAB"/>
    <w:rsid w:val="14667AD2"/>
    <w:rsid w:val="14771CDF"/>
    <w:rsid w:val="14E05AD6"/>
    <w:rsid w:val="15190FE8"/>
    <w:rsid w:val="159468C1"/>
    <w:rsid w:val="17261B30"/>
    <w:rsid w:val="1768590F"/>
    <w:rsid w:val="19430B4A"/>
    <w:rsid w:val="1981715C"/>
    <w:rsid w:val="19FB2A6A"/>
    <w:rsid w:val="1A0C4C78"/>
    <w:rsid w:val="1A18186E"/>
    <w:rsid w:val="1A461F1D"/>
    <w:rsid w:val="1BC25F36"/>
    <w:rsid w:val="1C580648"/>
    <w:rsid w:val="1C5B1EE6"/>
    <w:rsid w:val="1C6C7C4F"/>
    <w:rsid w:val="1D570900"/>
    <w:rsid w:val="1E004AF3"/>
    <w:rsid w:val="1E380731"/>
    <w:rsid w:val="1EC21DA9"/>
    <w:rsid w:val="1F3F33F9"/>
    <w:rsid w:val="1FFC578E"/>
    <w:rsid w:val="207D242B"/>
    <w:rsid w:val="20D109C9"/>
    <w:rsid w:val="20E406FC"/>
    <w:rsid w:val="21274A8D"/>
    <w:rsid w:val="21717AB6"/>
    <w:rsid w:val="221E7C3E"/>
    <w:rsid w:val="22943A5C"/>
    <w:rsid w:val="23887A65"/>
    <w:rsid w:val="23A81EB5"/>
    <w:rsid w:val="23E615CB"/>
    <w:rsid w:val="246758CC"/>
    <w:rsid w:val="249917FE"/>
    <w:rsid w:val="24A02B8C"/>
    <w:rsid w:val="2533755C"/>
    <w:rsid w:val="259F2E44"/>
    <w:rsid w:val="25D56865"/>
    <w:rsid w:val="261F5032"/>
    <w:rsid w:val="270F3FF9"/>
    <w:rsid w:val="27BF77CD"/>
    <w:rsid w:val="29596B24"/>
    <w:rsid w:val="2A524929"/>
    <w:rsid w:val="2ACD2201"/>
    <w:rsid w:val="2B084FE7"/>
    <w:rsid w:val="2B597F39"/>
    <w:rsid w:val="2C4B5AD3"/>
    <w:rsid w:val="2CAD22EA"/>
    <w:rsid w:val="2CBF5B79"/>
    <w:rsid w:val="2D9B2143"/>
    <w:rsid w:val="2DE10AA4"/>
    <w:rsid w:val="2E440A2C"/>
    <w:rsid w:val="2E9372BE"/>
    <w:rsid w:val="2F430CE4"/>
    <w:rsid w:val="2F5702EB"/>
    <w:rsid w:val="2F875074"/>
    <w:rsid w:val="2FA33530"/>
    <w:rsid w:val="31271B1C"/>
    <w:rsid w:val="31BA4F9E"/>
    <w:rsid w:val="31E71DFA"/>
    <w:rsid w:val="31ED3189"/>
    <w:rsid w:val="31F77B64"/>
    <w:rsid w:val="320A3D3B"/>
    <w:rsid w:val="320F4EAD"/>
    <w:rsid w:val="32DD31FD"/>
    <w:rsid w:val="338B1FE9"/>
    <w:rsid w:val="338D69D1"/>
    <w:rsid w:val="33EA3E24"/>
    <w:rsid w:val="34056568"/>
    <w:rsid w:val="34C55C52"/>
    <w:rsid w:val="35E548A3"/>
    <w:rsid w:val="366559E4"/>
    <w:rsid w:val="37337890"/>
    <w:rsid w:val="37B81B43"/>
    <w:rsid w:val="386C3059"/>
    <w:rsid w:val="39561614"/>
    <w:rsid w:val="39673821"/>
    <w:rsid w:val="39E9692C"/>
    <w:rsid w:val="3A6A181A"/>
    <w:rsid w:val="3B284A6A"/>
    <w:rsid w:val="3B471B5C"/>
    <w:rsid w:val="3B5C4740"/>
    <w:rsid w:val="3C4816E7"/>
    <w:rsid w:val="3CAD36E0"/>
    <w:rsid w:val="3D204412"/>
    <w:rsid w:val="3D7F55DD"/>
    <w:rsid w:val="3DBD6105"/>
    <w:rsid w:val="3E4405D4"/>
    <w:rsid w:val="3E6D18D9"/>
    <w:rsid w:val="3E9F580B"/>
    <w:rsid w:val="3EEB27FE"/>
    <w:rsid w:val="3F577E93"/>
    <w:rsid w:val="402D7572"/>
    <w:rsid w:val="40A86BF9"/>
    <w:rsid w:val="40BA692C"/>
    <w:rsid w:val="40E165AE"/>
    <w:rsid w:val="414A4154"/>
    <w:rsid w:val="423B584A"/>
    <w:rsid w:val="439E731D"/>
    <w:rsid w:val="43D9356D"/>
    <w:rsid w:val="43FE2FD4"/>
    <w:rsid w:val="441D5B50"/>
    <w:rsid w:val="44896D41"/>
    <w:rsid w:val="45D16BF2"/>
    <w:rsid w:val="468123C6"/>
    <w:rsid w:val="475353E4"/>
    <w:rsid w:val="48CC544E"/>
    <w:rsid w:val="49282FCC"/>
    <w:rsid w:val="49AD34D2"/>
    <w:rsid w:val="4AA22801"/>
    <w:rsid w:val="4C371778"/>
    <w:rsid w:val="4C6562E6"/>
    <w:rsid w:val="4CAE1A3B"/>
    <w:rsid w:val="4CB70101"/>
    <w:rsid w:val="4D20220D"/>
    <w:rsid w:val="4D764D85"/>
    <w:rsid w:val="4D785BA5"/>
    <w:rsid w:val="4DC40DEA"/>
    <w:rsid w:val="4DF74D1B"/>
    <w:rsid w:val="4E08517B"/>
    <w:rsid w:val="4F820F5D"/>
    <w:rsid w:val="50B25872"/>
    <w:rsid w:val="50E84DEF"/>
    <w:rsid w:val="510F4A72"/>
    <w:rsid w:val="514209A3"/>
    <w:rsid w:val="515E50B1"/>
    <w:rsid w:val="51FA0C70"/>
    <w:rsid w:val="52707792"/>
    <w:rsid w:val="52720E14"/>
    <w:rsid w:val="52974D1F"/>
    <w:rsid w:val="534A1D91"/>
    <w:rsid w:val="536D782E"/>
    <w:rsid w:val="536F7A4A"/>
    <w:rsid w:val="53B65679"/>
    <w:rsid w:val="54161C73"/>
    <w:rsid w:val="546155E5"/>
    <w:rsid w:val="54AD4386"/>
    <w:rsid w:val="54EF0E42"/>
    <w:rsid w:val="55C0458D"/>
    <w:rsid w:val="55F34962"/>
    <w:rsid w:val="56650372"/>
    <w:rsid w:val="573C5E95"/>
    <w:rsid w:val="59DE4FE1"/>
    <w:rsid w:val="5A272E2C"/>
    <w:rsid w:val="5AA17C5B"/>
    <w:rsid w:val="5B0D3DD0"/>
    <w:rsid w:val="5B286E5C"/>
    <w:rsid w:val="5D380EAD"/>
    <w:rsid w:val="5D3F73CD"/>
    <w:rsid w:val="5E3646E2"/>
    <w:rsid w:val="5EFD0600"/>
    <w:rsid w:val="5FC829BC"/>
    <w:rsid w:val="6008725C"/>
    <w:rsid w:val="6062071A"/>
    <w:rsid w:val="60AD570E"/>
    <w:rsid w:val="61113EEE"/>
    <w:rsid w:val="6162299C"/>
    <w:rsid w:val="61A66D2D"/>
    <w:rsid w:val="61C15914"/>
    <w:rsid w:val="61CB6793"/>
    <w:rsid w:val="626F35C2"/>
    <w:rsid w:val="63AD6150"/>
    <w:rsid w:val="63C811DC"/>
    <w:rsid w:val="63F0603D"/>
    <w:rsid w:val="644D16E1"/>
    <w:rsid w:val="644F0FB6"/>
    <w:rsid w:val="6573035A"/>
    <w:rsid w:val="65C77271"/>
    <w:rsid w:val="6603474E"/>
    <w:rsid w:val="66D25ECE"/>
    <w:rsid w:val="670C7632"/>
    <w:rsid w:val="671958AB"/>
    <w:rsid w:val="67204E8B"/>
    <w:rsid w:val="672A2BB2"/>
    <w:rsid w:val="68A815DC"/>
    <w:rsid w:val="69872FA0"/>
    <w:rsid w:val="6AA47B81"/>
    <w:rsid w:val="6ACD532A"/>
    <w:rsid w:val="6AD77F57"/>
    <w:rsid w:val="6B2111D2"/>
    <w:rsid w:val="6B476E8A"/>
    <w:rsid w:val="6BAC13E3"/>
    <w:rsid w:val="6BC04E8F"/>
    <w:rsid w:val="6C101972"/>
    <w:rsid w:val="6C327B3B"/>
    <w:rsid w:val="6C4258A4"/>
    <w:rsid w:val="6C9C1458"/>
    <w:rsid w:val="6CFA617E"/>
    <w:rsid w:val="6D0D5EB2"/>
    <w:rsid w:val="6D6C595F"/>
    <w:rsid w:val="6DBD1686"/>
    <w:rsid w:val="6DC76061"/>
    <w:rsid w:val="6DDB1B0C"/>
    <w:rsid w:val="6EDF562C"/>
    <w:rsid w:val="6F5E0C47"/>
    <w:rsid w:val="6FAB550E"/>
    <w:rsid w:val="6FE078AE"/>
    <w:rsid w:val="707F2C23"/>
    <w:rsid w:val="71000205"/>
    <w:rsid w:val="71704C61"/>
    <w:rsid w:val="729F57FE"/>
    <w:rsid w:val="72AF5315"/>
    <w:rsid w:val="72C94629"/>
    <w:rsid w:val="72FB055A"/>
    <w:rsid w:val="73467A28"/>
    <w:rsid w:val="73F531FC"/>
    <w:rsid w:val="746F2562"/>
    <w:rsid w:val="75022074"/>
    <w:rsid w:val="752D18BD"/>
    <w:rsid w:val="75B25848"/>
    <w:rsid w:val="76746FA2"/>
    <w:rsid w:val="768216BE"/>
    <w:rsid w:val="77AE3DED"/>
    <w:rsid w:val="78EF46BD"/>
    <w:rsid w:val="79246A5D"/>
    <w:rsid w:val="792678D5"/>
    <w:rsid w:val="796B01E8"/>
    <w:rsid w:val="79CE0777"/>
    <w:rsid w:val="7A3F3423"/>
    <w:rsid w:val="7A835A05"/>
    <w:rsid w:val="7B0408F4"/>
    <w:rsid w:val="7B7C4818"/>
    <w:rsid w:val="7CED7166"/>
    <w:rsid w:val="7CFB7AD5"/>
    <w:rsid w:val="7D11554A"/>
    <w:rsid w:val="7DFF53A3"/>
    <w:rsid w:val="7EB10D93"/>
    <w:rsid w:val="7F0A04A3"/>
    <w:rsid w:val="7F1615DE"/>
    <w:rsid w:val="7FA501CC"/>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qFormat/>
    <w:uiPriority w:val="99"/>
    <w:pPr>
      <w:spacing w:line="480" w:lineRule="auto"/>
      <w:outlineLvl w:val="0"/>
    </w:pPr>
    <w:rPr>
      <w:b/>
      <w:sz w:val="28"/>
    </w:rPr>
  </w:style>
  <w:style w:type="paragraph" w:styleId="4">
    <w:name w:val="heading 2"/>
    <w:basedOn w:val="1"/>
    <w:next w:val="1"/>
    <w:qFormat/>
    <w:uiPriority w:val="0"/>
    <w:pPr>
      <w:keepNext/>
      <w:keepLines/>
      <w:adjustRightInd w:val="0"/>
      <w:spacing w:before="120" w:after="120"/>
      <w:jc w:val="center"/>
      <w:textAlignment w:val="baseline"/>
      <w:outlineLvl w:val="1"/>
    </w:pPr>
    <w:rPr>
      <w:rFonts w:hAnsi="宋体"/>
      <w:b/>
      <w:color w:val="000000"/>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Plain Text"/>
    <w:basedOn w:val="1"/>
    <w:unhideWhenUsed/>
    <w:qFormat/>
    <w:uiPriority w:val="99"/>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customStyle="1" w:styleId="13">
    <w:name w:val="answer_t"/>
    <w:basedOn w:val="10"/>
    <w:qFormat/>
    <w:uiPriority w:val="99"/>
    <w:rPr>
      <w:rFonts w:cs="Times New Roman"/>
    </w:rPr>
  </w:style>
  <w:style w:type="character" w:customStyle="1" w:styleId="14">
    <w:name w:val="标题 1 字符"/>
    <w:basedOn w:val="10"/>
    <w:link w:val="3"/>
    <w:qFormat/>
    <w:locked/>
    <w:uiPriority w:val="99"/>
    <w:rPr>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9661</Words>
  <Characters>11001</Characters>
  <Lines>0</Lines>
  <Paragraphs>0</Paragraphs>
  <TotalTime>8</TotalTime>
  <ScaleCrop>false</ScaleCrop>
  <LinksUpToDate>false</LinksUpToDate>
  <CharactersWithSpaces>11278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2023-12-09T09:24:20Z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2A4DD786AB084C58AE56560B3E4B80FF</vt:lpwstr>
  </property>
</Properties>
</file>