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both"/>
        <w:rPr>
          <w:rFonts w:hint="eastAsia" w:ascii="宋体" w:hAnsi="宋体" w:eastAsia="宋体" w:cs="宋体"/>
          <w:b/>
          <w:bCs w:val="0"/>
          <w:kern w:val="2"/>
          <w:sz w:val="36"/>
          <w:szCs w:val="36"/>
          <w:lang w:val="en-US" w:eastAsia="zh-CN" w:bidi="ar-SA"/>
        </w:rPr>
      </w:pPr>
      <w:bookmarkStart w:id="0" w:name="_Toc318380205"/>
    </w:p>
    <w:p>
      <w:pPr>
        <w:pStyle w:val="4"/>
        <w:spacing w:line="360" w:lineRule="auto"/>
        <w:jc w:val="both"/>
        <w:rPr>
          <w:rFonts w:hint="eastAsia" w:ascii="宋体" w:hAnsi="宋体" w:eastAsia="宋体" w:cs="宋体"/>
          <w:b/>
          <w:bCs w:val="0"/>
          <w:kern w:val="2"/>
          <w:sz w:val="36"/>
          <w:szCs w:val="36"/>
          <w:lang w:val="en-US" w:eastAsia="zh-CN" w:bidi="ar-SA"/>
        </w:rPr>
      </w:pPr>
      <w:r>
        <w:rPr>
          <w:rFonts w:hint="eastAsia" w:ascii="宋体" w:hAnsi="宋体" w:eastAsia="宋体" w:cs="宋体"/>
          <w:b/>
          <w:bCs w:val="0"/>
          <w:kern w:val="2"/>
          <w:sz w:val="36"/>
          <w:szCs w:val="36"/>
          <w:lang w:val="en-US" w:eastAsia="zh-CN" w:bidi="ar-SA"/>
        </w:rPr>
        <w:t>希必奥天津丹佛斯福源道厂区0.704MW分布式光伏发电项目</w:t>
      </w:r>
    </w:p>
    <w:p>
      <w:pPr>
        <w:jc w:val="center"/>
        <w:rPr>
          <w:rFonts w:hint="eastAsia" w:ascii="宋体" w:hAnsi="宋体" w:eastAsia="宋体" w:cs="宋体"/>
          <w:b/>
          <w:bCs/>
          <w:sz w:val="52"/>
          <w:szCs w:val="52"/>
        </w:rPr>
      </w:pPr>
      <w:r>
        <w:rPr>
          <w:rFonts w:hint="eastAsia" w:ascii="宋体" w:hAnsi="宋体" w:eastAsia="宋体" w:cs="宋体"/>
          <w:b/>
          <w:bCs/>
          <w:sz w:val="36"/>
          <w:szCs w:val="36"/>
          <w:lang w:val="en-US" w:eastAsia="zh-CN"/>
        </w:rPr>
        <w:t xml:space="preserve"> </w:t>
      </w:r>
    </w:p>
    <w:p>
      <w:pPr>
        <w:jc w:val="both"/>
        <w:rPr>
          <w:rFonts w:hint="eastAsia" w:ascii="宋体" w:hAnsi="宋体" w:eastAsia="宋体" w:cs="宋体"/>
          <w:b/>
          <w:sz w:val="30"/>
          <w:szCs w:val="30"/>
        </w:rPr>
      </w:pPr>
    </w:p>
    <w:p>
      <w:pPr>
        <w:jc w:val="center"/>
        <w:rPr>
          <w:rFonts w:hint="eastAsia" w:ascii="宋体" w:hAnsi="宋体" w:eastAsia="宋体" w:cs="宋体"/>
          <w:b/>
          <w:sz w:val="30"/>
          <w:szCs w:val="30"/>
        </w:rPr>
      </w:pPr>
    </w:p>
    <w:p>
      <w:pPr>
        <w:jc w:val="center"/>
        <w:rPr>
          <w:rFonts w:hint="eastAsia" w:ascii="宋体" w:hAnsi="宋体" w:eastAsia="宋体" w:cs="宋体"/>
          <w:sz w:val="30"/>
          <w:szCs w:val="30"/>
        </w:rPr>
      </w:pPr>
      <w:r>
        <w:rPr>
          <w:rFonts w:hint="eastAsia" w:ascii="宋体" w:hAnsi="宋体" w:eastAsia="宋体" w:cs="宋体"/>
          <w:b/>
          <w:sz w:val="30"/>
          <w:szCs w:val="30"/>
        </w:rPr>
        <w:t>电 气 监 理 实 施 细 则</w:t>
      </w:r>
    </w:p>
    <w:p>
      <w:pPr>
        <w:jc w:val="center"/>
        <w:rPr>
          <w:sz w:val="32"/>
          <w:szCs w:val="32"/>
        </w:rPr>
      </w:pPr>
    </w:p>
    <w:p>
      <w:pPr>
        <w:jc w:val="both"/>
        <w:rPr>
          <w:sz w:val="32"/>
          <w:szCs w:val="32"/>
        </w:rPr>
      </w:pPr>
    </w:p>
    <w:p>
      <w:pPr>
        <w:topLinePunct/>
        <w:snapToGrid w:val="0"/>
        <w:spacing w:before="60" w:after="60"/>
        <w:jc w:val="center"/>
        <w:rPr>
          <w:rFonts w:asciiTheme="majorEastAsia" w:hAnsiTheme="majorEastAsia" w:eastAsiaTheme="majorEastAsia" w:cstheme="majorEastAsia"/>
          <w:sz w:val="15"/>
          <w:szCs w:val="15"/>
        </w:rPr>
      </w:pPr>
    </w:p>
    <w:p>
      <w:pPr>
        <w:topLinePunct/>
        <w:snapToGrid w:val="0"/>
        <w:spacing w:before="60" w:after="60"/>
        <w:ind w:left="454" w:firstLine="2640" w:firstLineChars="1100"/>
        <w:jc w:val="both"/>
        <w:rPr>
          <w:rFonts w:hint="eastAsia" w:asciiTheme="majorEastAsia" w:hAnsiTheme="majorEastAsia" w:eastAsiaTheme="majorEastAsia" w:cstheme="majorEastAsia"/>
          <w:sz w:val="24"/>
          <w:szCs w:val="24"/>
        </w:rPr>
      </w:pPr>
    </w:p>
    <w:p>
      <w:pPr>
        <w:topLinePunct/>
        <w:snapToGrid w:val="0"/>
        <w:spacing w:before="60" w:after="60"/>
        <w:ind w:left="454" w:firstLine="2640" w:firstLineChars="1100"/>
        <w:jc w:val="both"/>
        <w:rPr>
          <w:rFonts w:hint="eastAsia" w:asciiTheme="majorEastAsia" w:hAnsiTheme="majorEastAsia" w:eastAsiaTheme="majorEastAsia" w:cstheme="majorEastAsia"/>
          <w:sz w:val="24"/>
          <w:szCs w:val="24"/>
        </w:rPr>
      </w:pPr>
    </w:p>
    <w:p>
      <w:pPr>
        <w:topLinePunct/>
        <w:snapToGrid w:val="0"/>
        <w:spacing w:before="60" w:after="60"/>
        <w:ind w:left="454" w:firstLine="2640" w:firstLineChars="1100"/>
        <w:jc w:val="both"/>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批准：</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 xml:space="preserve">      年   月   日</w:t>
      </w:r>
    </w:p>
    <w:p>
      <w:pPr>
        <w:topLinePunct/>
        <w:snapToGrid w:val="0"/>
        <w:spacing w:before="60" w:after="60"/>
        <w:ind w:left="454"/>
        <w:jc w:val="center"/>
        <w:rPr>
          <w:rFonts w:asciiTheme="majorEastAsia" w:hAnsiTheme="majorEastAsia" w:eastAsiaTheme="majorEastAsia" w:cstheme="majorEastAsia"/>
          <w:sz w:val="24"/>
          <w:szCs w:val="24"/>
        </w:rPr>
      </w:pPr>
    </w:p>
    <w:p>
      <w:pPr>
        <w:topLinePunct/>
        <w:snapToGrid w:val="0"/>
        <w:spacing w:before="60" w:after="60"/>
        <w:ind w:left="454"/>
        <w:jc w:val="center"/>
        <w:rPr>
          <w:rFonts w:asciiTheme="majorEastAsia" w:hAnsiTheme="majorEastAsia" w:eastAsiaTheme="majorEastAsia" w:cstheme="majorEastAsia"/>
          <w:sz w:val="24"/>
          <w:szCs w:val="24"/>
        </w:rPr>
      </w:pPr>
    </w:p>
    <w:p>
      <w:pPr>
        <w:topLinePunct/>
        <w:snapToGrid w:val="0"/>
        <w:spacing w:before="60" w:after="60"/>
        <w:ind w:left="454" w:firstLine="2640" w:firstLineChars="110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审核</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 xml:space="preserve">     年   月   日</w:t>
      </w:r>
    </w:p>
    <w:p>
      <w:pPr>
        <w:topLinePunct/>
        <w:snapToGrid w:val="0"/>
        <w:spacing w:before="60" w:after="60"/>
        <w:ind w:left="454"/>
        <w:jc w:val="center"/>
        <w:rPr>
          <w:rFonts w:hint="eastAsia" w:asciiTheme="majorEastAsia" w:hAnsiTheme="majorEastAsia" w:eastAsiaTheme="majorEastAsia" w:cstheme="majorEastAsia"/>
          <w:sz w:val="24"/>
          <w:szCs w:val="24"/>
        </w:rPr>
      </w:pPr>
    </w:p>
    <w:p>
      <w:pPr>
        <w:topLinePunct/>
        <w:snapToGrid w:val="0"/>
        <w:spacing w:before="60" w:after="60"/>
        <w:ind w:left="454"/>
        <w:jc w:val="center"/>
        <w:rPr>
          <w:rFonts w:hint="eastAsia" w:asciiTheme="majorEastAsia" w:hAnsiTheme="majorEastAsia" w:eastAsiaTheme="majorEastAsia" w:cstheme="majorEastAsia"/>
          <w:sz w:val="24"/>
          <w:szCs w:val="24"/>
        </w:rPr>
      </w:pPr>
    </w:p>
    <w:p>
      <w:pPr>
        <w:topLinePunct/>
        <w:snapToGrid w:val="0"/>
        <w:spacing w:before="60" w:after="60"/>
        <w:ind w:left="454" w:firstLine="2640" w:firstLineChars="1100"/>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4"/>
          <w:szCs w:val="24"/>
        </w:rPr>
        <w:t>编制：</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 xml:space="preserve">     年   月   日</w:t>
      </w:r>
    </w:p>
    <w:p>
      <w:pPr>
        <w:topLinePunct/>
        <w:snapToGrid w:val="0"/>
        <w:spacing w:before="60" w:after="60"/>
        <w:ind w:left="454"/>
        <w:rPr>
          <w:rFonts w:asciiTheme="majorEastAsia" w:hAnsiTheme="majorEastAsia" w:eastAsiaTheme="majorEastAsia" w:cstheme="majorEastAsia"/>
          <w:szCs w:val="21"/>
        </w:rPr>
      </w:pPr>
    </w:p>
    <w:p>
      <w:pPr>
        <w:topLinePunct/>
        <w:snapToGrid w:val="0"/>
        <w:spacing w:before="60" w:after="60"/>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 xml:space="preserve">                       </w:t>
      </w:r>
    </w:p>
    <w:p>
      <w:pPr>
        <w:topLinePunct/>
        <w:snapToGrid w:val="0"/>
        <w:spacing w:before="60" w:after="60"/>
        <w:rPr>
          <w:rFonts w:asciiTheme="majorEastAsia" w:hAnsiTheme="majorEastAsia" w:eastAsiaTheme="majorEastAsia" w:cstheme="majorEastAsia"/>
          <w:szCs w:val="21"/>
        </w:rPr>
      </w:pPr>
    </w:p>
    <w:p>
      <w:pPr>
        <w:topLinePunct/>
        <w:snapToGrid w:val="0"/>
        <w:spacing w:before="60" w:after="60"/>
        <w:rPr>
          <w:rFonts w:asciiTheme="majorEastAsia" w:hAnsiTheme="majorEastAsia" w:eastAsiaTheme="majorEastAsia" w:cstheme="majorEastAsia"/>
          <w:szCs w:val="21"/>
        </w:rPr>
      </w:pPr>
    </w:p>
    <w:p>
      <w:pPr>
        <w:topLinePunct/>
        <w:snapToGrid w:val="0"/>
        <w:spacing w:before="60" w:after="60"/>
        <w:rPr>
          <w:rFonts w:asciiTheme="majorEastAsia" w:hAnsiTheme="majorEastAsia" w:eastAsiaTheme="majorEastAsia" w:cstheme="majorEastAsia"/>
          <w:szCs w:val="21"/>
        </w:rPr>
      </w:pPr>
    </w:p>
    <w:p>
      <w:pPr>
        <w:topLinePunct/>
        <w:snapToGrid w:val="0"/>
        <w:spacing w:before="60" w:after="60"/>
        <w:jc w:val="center"/>
        <w:rPr>
          <w:rFonts w:asciiTheme="majorEastAsia" w:hAnsiTheme="majorEastAsia" w:eastAsiaTheme="majorEastAsia" w:cstheme="majorEastAsia"/>
          <w:szCs w:val="21"/>
        </w:rPr>
      </w:pPr>
    </w:p>
    <w:p>
      <w:pPr>
        <w:spacing w:line="360" w:lineRule="auto"/>
        <w:jc w:val="center"/>
        <w:rPr>
          <w:rFonts w:hint="eastAsia" w:ascii="宋体" w:hAnsi="宋体"/>
          <w:color w:val="000000"/>
          <w:sz w:val="24"/>
          <w:szCs w:val="24"/>
          <w:lang w:val="en-US" w:eastAsia="zh-CN"/>
        </w:rPr>
      </w:pPr>
    </w:p>
    <w:p>
      <w:pPr>
        <w:spacing w:line="360" w:lineRule="auto"/>
        <w:jc w:val="center"/>
        <w:rPr>
          <w:rFonts w:hint="eastAsia" w:ascii="宋体" w:hAnsi="宋体"/>
          <w:color w:val="000000"/>
          <w:sz w:val="24"/>
          <w:szCs w:val="24"/>
          <w:lang w:val="en-US" w:eastAsia="zh-CN"/>
        </w:rPr>
      </w:pPr>
    </w:p>
    <w:p>
      <w:pPr>
        <w:spacing w:line="240" w:lineRule="auto"/>
        <w:jc w:val="center"/>
        <w:rPr>
          <w:rFonts w:asciiTheme="majorEastAsia" w:hAnsiTheme="majorEastAsia" w:eastAsiaTheme="majorEastAsia" w:cstheme="majorEastAsia"/>
          <w:color w:val="000000"/>
          <w:sz w:val="24"/>
          <w:szCs w:val="24"/>
          <w:shd w:val="clear" w:color="auto" w:fill="FFFFFF"/>
        </w:rPr>
      </w:pPr>
      <w:r>
        <w:rPr>
          <w:rFonts w:hint="eastAsia" w:ascii="宋体" w:hAnsi="宋体"/>
          <w:color w:val="000000"/>
          <w:sz w:val="24"/>
          <w:szCs w:val="24"/>
          <w:lang w:val="en-US" w:eastAsia="zh-CN"/>
        </w:rPr>
        <w:t>常州正衡电力工程监理有限公司</w:t>
      </w:r>
    </w:p>
    <w:p>
      <w:pPr>
        <w:pStyle w:val="4"/>
        <w:spacing w:line="240" w:lineRule="auto"/>
        <w:jc w:val="center"/>
        <w:rPr>
          <w:rFonts w:hint="eastAsia" w:ascii="宋体" w:hAnsi="宋体" w:eastAsia="宋体" w:cs="Times New Roman"/>
          <w:b w:val="0"/>
          <w:color w:val="000000"/>
          <w:kern w:val="2"/>
          <w:sz w:val="24"/>
          <w:szCs w:val="24"/>
          <w:lang w:val="en-US" w:eastAsia="zh-CN" w:bidi="ar-SA"/>
        </w:rPr>
      </w:pPr>
      <w:r>
        <w:rPr>
          <w:rFonts w:hint="eastAsia" w:ascii="宋体" w:hAnsi="宋体" w:eastAsia="宋体" w:cs="Times New Roman"/>
          <w:b w:val="0"/>
          <w:color w:val="000000"/>
          <w:kern w:val="2"/>
          <w:sz w:val="24"/>
          <w:szCs w:val="24"/>
          <w:lang w:val="en-US" w:eastAsia="zh-CN" w:bidi="ar-SA"/>
        </w:rPr>
        <w:t>希必奥天津丹佛斯福源道厂区0.704MW分布式光伏发电项目</w:t>
      </w:r>
    </w:p>
    <w:p>
      <w:pPr>
        <w:pStyle w:val="4"/>
        <w:spacing w:line="240" w:lineRule="auto"/>
        <w:jc w:val="center"/>
        <w:rPr>
          <w:rFonts w:hint="eastAsia" w:ascii="宋体" w:hAnsi="宋体" w:eastAsia="宋体" w:cs="Times New Roman"/>
          <w:b w:val="0"/>
          <w:color w:val="000000"/>
          <w:kern w:val="2"/>
          <w:sz w:val="24"/>
          <w:szCs w:val="24"/>
          <w:lang w:val="en-US" w:eastAsia="zh-CN" w:bidi="ar-SA"/>
        </w:rPr>
      </w:pPr>
      <w:r>
        <w:rPr>
          <w:rFonts w:hint="eastAsia" w:ascii="宋体" w:hAnsi="宋体" w:eastAsia="宋体" w:cs="Times New Roman"/>
          <w:b w:val="0"/>
          <w:color w:val="000000"/>
          <w:kern w:val="2"/>
          <w:sz w:val="24"/>
          <w:szCs w:val="24"/>
          <w:lang w:val="en-US" w:eastAsia="zh-CN" w:bidi="ar-SA"/>
        </w:rPr>
        <w:t>监理项目部（章）</w:t>
      </w:r>
    </w:p>
    <w:p>
      <w:pPr>
        <w:tabs>
          <w:tab w:val="left" w:pos="3560"/>
        </w:tabs>
        <w:topLinePunct/>
        <w:snapToGrid w:val="0"/>
        <w:spacing w:line="360" w:lineRule="auto"/>
        <w:ind w:firstLine="4080" w:firstLineChars="1700"/>
        <w:jc w:val="both"/>
        <w:rPr>
          <w:rFonts w:hint="default" w:asciiTheme="majorEastAsia" w:hAnsiTheme="majorEastAsia" w:eastAsiaTheme="majorEastAsia" w:cstheme="majorEastAsia"/>
          <w:kern w:val="2"/>
          <w:sz w:val="24"/>
          <w:szCs w:val="24"/>
          <w:lang w:val="en-US" w:eastAsia="zh-CN" w:bidi="ar-SA"/>
        </w:rPr>
        <w:sectPr>
          <w:pgSz w:w="11906" w:h="16838"/>
          <w:pgMar w:top="1134" w:right="964" w:bottom="1134" w:left="1361" w:header="851" w:footer="992" w:gutter="0"/>
          <w:pgNumType w:start="1" w:chapStyle="1"/>
          <w:cols w:space="425" w:num="1"/>
          <w:docGrid w:type="lines" w:linePitch="312" w:charSpace="0"/>
        </w:sectPr>
      </w:pPr>
      <w:r>
        <w:rPr>
          <w:rFonts w:hint="eastAsia" w:ascii="宋体" w:hAnsi="宋体"/>
          <w:color w:val="000000"/>
          <w:sz w:val="24"/>
          <w:szCs w:val="24"/>
          <w:lang w:val="en-US" w:eastAsia="zh-CN"/>
        </w:rPr>
        <w:t>2024年3月</w:t>
      </w:r>
    </w:p>
    <w:p>
      <w:pPr>
        <w:pStyle w:val="8"/>
        <w:tabs>
          <w:tab w:val="right" w:leader="dot" w:pos="9571"/>
        </w:tabs>
        <w:jc w:val="center"/>
        <w:rPr>
          <w:rStyle w:val="12"/>
          <w:rFonts w:ascii="宋体" w:hAnsi="宋体" w:cs="宋体"/>
          <w:b/>
          <w:bCs/>
          <w:color w:val="000000" w:themeColor="text1"/>
          <w:sz w:val="52"/>
          <w:szCs w:val="52"/>
          <w:u w:val="none"/>
          <w14:textFill>
            <w14:solidFill>
              <w14:schemeClr w14:val="tx1"/>
            </w14:solidFill>
          </w14:textFill>
        </w:rPr>
      </w:pPr>
      <w:r>
        <w:rPr>
          <w:rStyle w:val="12"/>
          <w:rFonts w:hint="eastAsia" w:ascii="宋体" w:hAnsi="宋体" w:cs="宋体"/>
          <w:b/>
          <w:bCs/>
          <w:color w:val="000000" w:themeColor="text1"/>
          <w:sz w:val="52"/>
          <w:szCs w:val="52"/>
          <w:u w:val="none"/>
          <w14:textFill>
            <w14:solidFill>
              <w14:schemeClr w14:val="tx1"/>
            </w14:solidFill>
          </w14:textFill>
        </w:rPr>
        <w:t>目录</w:t>
      </w:r>
    </w:p>
    <w:p>
      <w:pPr>
        <w:pStyle w:val="8"/>
        <w:tabs>
          <w:tab w:val="right" w:leader="dot" w:pos="9571"/>
        </w:tabs>
        <w:rPr>
          <w:rStyle w:val="13"/>
          <w:sz w:val="24"/>
          <w:szCs w:val="24"/>
        </w:rPr>
      </w:pPr>
    </w:p>
    <w:p>
      <w:pPr>
        <w:pStyle w:val="8"/>
        <w:tabs>
          <w:tab w:val="right" w:leader="dot" w:pos="9571"/>
        </w:tabs>
        <w:spacing w:line="480" w:lineRule="auto"/>
        <w:rPr>
          <w:rFonts w:asciiTheme="minorEastAsia" w:hAnsiTheme="minorEastAsia" w:eastAsiaTheme="minorEastAsia" w:cstheme="minorBidi"/>
          <w:sz w:val="28"/>
          <w:szCs w:val="28"/>
        </w:rPr>
      </w:pPr>
      <w:r>
        <w:rPr>
          <w:rStyle w:val="13"/>
          <w:sz w:val="24"/>
          <w:szCs w:val="24"/>
        </w:rPr>
        <w:fldChar w:fldCharType="begin"/>
      </w:r>
      <w:r>
        <w:rPr>
          <w:rStyle w:val="13"/>
          <w:sz w:val="24"/>
          <w:szCs w:val="24"/>
        </w:rPr>
        <w:instrText xml:space="preserve"> TOC \o "1-2" \h \z \u </w:instrText>
      </w:r>
      <w:r>
        <w:rPr>
          <w:rStyle w:val="13"/>
          <w:sz w:val="24"/>
          <w:szCs w:val="24"/>
        </w:rPr>
        <w:fldChar w:fldCharType="separate"/>
      </w:r>
      <w:r>
        <w:fldChar w:fldCharType="begin"/>
      </w:r>
      <w:r>
        <w:instrText xml:space="preserve"> HYPERLINK \l "_Toc12100589" </w:instrText>
      </w:r>
      <w:r>
        <w:fldChar w:fldCharType="separate"/>
      </w:r>
      <w:r>
        <w:rPr>
          <w:rStyle w:val="12"/>
          <w:rFonts w:asciiTheme="minorEastAsia" w:hAnsiTheme="minorEastAsia" w:eastAsiaTheme="minorEastAsia"/>
          <w:sz w:val="28"/>
          <w:szCs w:val="28"/>
        </w:rPr>
        <w:t>1  监理实施细则编制的依据</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_Toc12100589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8"/>
        <w:tabs>
          <w:tab w:val="right" w:leader="dot" w:pos="9571"/>
        </w:tabs>
        <w:spacing w:line="480" w:lineRule="auto"/>
        <w:rPr>
          <w:rFonts w:asciiTheme="minorEastAsia" w:hAnsiTheme="minorEastAsia" w:eastAsiaTheme="minorEastAsia" w:cstheme="minorBidi"/>
          <w:sz w:val="28"/>
          <w:szCs w:val="28"/>
        </w:rPr>
      </w:pPr>
      <w:r>
        <w:fldChar w:fldCharType="begin"/>
      </w:r>
      <w:r>
        <w:instrText xml:space="preserve"> HYPERLINK \l "_Toc12100590" </w:instrText>
      </w:r>
      <w:r>
        <w:fldChar w:fldCharType="separate"/>
      </w:r>
      <w:r>
        <w:rPr>
          <w:rStyle w:val="12"/>
          <w:rFonts w:asciiTheme="minorEastAsia" w:hAnsiTheme="minorEastAsia" w:eastAsiaTheme="minorEastAsia"/>
          <w:sz w:val="28"/>
          <w:szCs w:val="28"/>
        </w:rPr>
        <w:t>2  本专业工程概况及特点</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_Toc12100590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8"/>
        <w:tabs>
          <w:tab w:val="right" w:leader="dot" w:pos="9571"/>
        </w:tabs>
        <w:spacing w:line="480" w:lineRule="auto"/>
        <w:rPr>
          <w:rFonts w:asciiTheme="minorEastAsia" w:hAnsiTheme="minorEastAsia" w:eastAsiaTheme="minorEastAsia" w:cstheme="minorBidi"/>
          <w:sz w:val="28"/>
          <w:szCs w:val="28"/>
        </w:rPr>
      </w:pPr>
      <w:r>
        <w:fldChar w:fldCharType="begin"/>
      </w:r>
      <w:r>
        <w:instrText xml:space="preserve"> HYPERLINK \l "_Toc12100591" </w:instrText>
      </w:r>
      <w:r>
        <w:fldChar w:fldCharType="separate"/>
      </w:r>
      <w:r>
        <w:rPr>
          <w:rStyle w:val="12"/>
          <w:rFonts w:asciiTheme="minorEastAsia" w:hAnsiTheme="minorEastAsia" w:eastAsiaTheme="minorEastAsia"/>
          <w:sz w:val="28"/>
          <w:szCs w:val="28"/>
        </w:rPr>
        <w:t>3  本专业工程监理范围</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_Toc12100591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8"/>
        <w:tabs>
          <w:tab w:val="right" w:leader="dot" w:pos="9571"/>
        </w:tabs>
        <w:spacing w:line="480" w:lineRule="auto"/>
        <w:rPr>
          <w:rFonts w:asciiTheme="minorEastAsia" w:hAnsiTheme="minorEastAsia" w:eastAsiaTheme="minorEastAsia" w:cstheme="minorBidi"/>
          <w:sz w:val="28"/>
          <w:szCs w:val="28"/>
        </w:rPr>
      </w:pPr>
      <w:r>
        <w:fldChar w:fldCharType="begin"/>
      </w:r>
      <w:r>
        <w:instrText xml:space="preserve"> HYPERLINK \l "_Toc12100592" </w:instrText>
      </w:r>
      <w:r>
        <w:fldChar w:fldCharType="separate"/>
      </w:r>
      <w:r>
        <w:rPr>
          <w:rStyle w:val="12"/>
          <w:rFonts w:asciiTheme="minorEastAsia" w:hAnsiTheme="minorEastAsia" w:eastAsiaTheme="minorEastAsia"/>
          <w:sz w:val="28"/>
          <w:szCs w:val="28"/>
        </w:rPr>
        <w:t>4  监理工作主要内容</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_Toc12100592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8"/>
        <w:tabs>
          <w:tab w:val="right" w:leader="dot" w:pos="9571"/>
        </w:tabs>
        <w:spacing w:line="480" w:lineRule="auto"/>
        <w:rPr>
          <w:rFonts w:asciiTheme="minorEastAsia" w:hAnsiTheme="minorEastAsia" w:eastAsiaTheme="minorEastAsia" w:cstheme="minorBidi"/>
          <w:sz w:val="28"/>
          <w:szCs w:val="28"/>
        </w:rPr>
      </w:pPr>
      <w:r>
        <w:fldChar w:fldCharType="begin"/>
      </w:r>
      <w:r>
        <w:instrText xml:space="preserve"> HYPERLINK \l "_Toc12100593" </w:instrText>
      </w:r>
      <w:r>
        <w:fldChar w:fldCharType="separate"/>
      </w:r>
      <w:r>
        <w:rPr>
          <w:rStyle w:val="12"/>
          <w:rFonts w:asciiTheme="minorEastAsia" w:hAnsiTheme="minorEastAsia" w:eastAsiaTheme="minorEastAsia"/>
          <w:sz w:val="28"/>
          <w:szCs w:val="28"/>
        </w:rPr>
        <w:t>5  电气监理的质量控制</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_Toc12100593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8"/>
        <w:tabs>
          <w:tab w:val="right" w:leader="dot" w:pos="9571"/>
        </w:tabs>
        <w:spacing w:line="480" w:lineRule="auto"/>
        <w:rPr>
          <w:rFonts w:asciiTheme="minorEastAsia" w:hAnsiTheme="minorEastAsia" w:eastAsiaTheme="minorEastAsia" w:cstheme="minorBidi"/>
          <w:sz w:val="28"/>
          <w:szCs w:val="28"/>
        </w:rPr>
      </w:pPr>
      <w:r>
        <w:fldChar w:fldCharType="begin"/>
      </w:r>
      <w:r>
        <w:instrText xml:space="preserve"> HYPERLINK \l "_Toc12100594" </w:instrText>
      </w:r>
      <w:r>
        <w:fldChar w:fldCharType="separate"/>
      </w:r>
      <w:r>
        <w:rPr>
          <w:rStyle w:val="12"/>
          <w:rFonts w:asciiTheme="minorEastAsia" w:hAnsiTheme="minorEastAsia" w:eastAsiaTheme="minorEastAsia"/>
          <w:sz w:val="28"/>
          <w:szCs w:val="28"/>
        </w:rPr>
        <w:t>6  火灾报警系统</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_Toc12100594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8"/>
        <w:tabs>
          <w:tab w:val="right" w:leader="dot" w:pos="9571"/>
        </w:tabs>
        <w:spacing w:line="480" w:lineRule="auto"/>
        <w:rPr>
          <w:rFonts w:asciiTheme="minorEastAsia" w:hAnsiTheme="minorEastAsia" w:eastAsiaTheme="minorEastAsia" w:cstheme="minorBidi"/>
          <w:sz w:val="28"/>
          <w:szCs w:val="28"/>
        </w:rPr>
      </w:pPr>
      <w:r>
        <w:fldChar w:fldCharType="begin"/>
      </w:r>
      <w:r>
        <w:instrText xml:space="preserve"> HYPERLINK \l "_Toc12100595" </w:instrText>
      </w:r>
      <w:r>
        <w:fldChar w:fldCharType="separate"/>
      </w:r>
      <w:r>
        <w:rPr>
          <w:rStyle w:val="12"/>
          <w:rFonts w:asciiTheme="minorEastAsia" w:hAnsiTheme="minorEastAsia" w:eastAsiaTheme="minorEastAsia"/>
          <w:sz w:val="28"/>
          <w:szCs w:val="28"/>
        </w:rPr>
        <w:t>7  旁站监理控制</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_Toc12100595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8"/>
        <w:tabs>
          <w:tab w:val="right" w:leader="dot" w:pos="9571"/>
        </w:tabs>
        <w:spacing w:line="480" w:lineRule="auto"/>
        <w:rPr>
          <w:rFonts w:asciiTheme="minorEastAsia" w:hAnsiTheme="minorEastAsia" w:eastAsiaTheme="minorEastAsia" w:cstheme="minorBidi"/>
          <w:sz w:val="28"/>
          <w:szCs w:val="28"/>
        </w:rPr>
      </w:pPr>
      <w:r>
        <w:fldChar w:fldCharType="begin"/>
      </w:r>
      <w:r>
        <w:instrText xml:space="preserve"> HYPERLINK \l "_Toc12100596" </w:instrText>
      </w:r>
      <w:r>
        <w:fldChar w:fldCharType="separate"/>
      </w:r>
      <w:r>
        <w:rPr>
          <w:rStyle w:val="12"/>
          <w:rFonts w:asciiTheme="minorEastAsia" w:hAnsiTheme="minorEastAsia" w:eastAsiaTheme="minorEastAsia"/>
          <w:sz w:val="28"/>
          <w:szCs w:val="28"/>
        </w:rPr>
        <w:t>8  质量目标</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_Toc12100596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8"/>
        <w:tabs>
          <w:tab w:val="right" w:leader="dot" w:pos="9571"/>
        </w:tabs>
        <w:spacing w:line="480" w:lineRule="auto"/>
        <w:rPr>
          <w:rFonts w:asciiTheme="minorHAnsi" w:hAnsiTheme="minorHAnsi" w:eastAsiaTheme="minorEastAsia" w:cstheme="minorBidi"/>
          <w:szCs w:val="22"/>
        </w:rPr>
      </w:pPr>
      <w:r>
        <w:fldChar w:fldCharType="begin"/>
      </w:r>
      <w:r>
        <w:instrText xml:space="preserve"> HYPERLINK \l "_Toc12100597" </w:instrText>
      </w:r>
      <w:r>
        <w:fldChar w:fldCharType="separate"/>
      </w:r>
      <w:r>
        <w:rPr>
          <w:rStyle w:val="12"/>
          <w:rFonts w:asciiTheme="minorEastAsia" w:hAnsiTheme="minorEastAsia" w:eastAsiaTheme="minorEastAsia"/>
          <w:sz w:val="28"/>
          <w:szCs w:val="28"/>
        </w:rPr>
        <w:t>9  监理工作方法及程序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_Toc12100597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3"/>
        <w:rPr>
          <w:rStyle w:val="13"/>
          <w:sz w:val="24"/>
          <w:szCs w:val="24"/>
        </w:rPr>
      </w:pPr>
      <w:r>
        <w:rPr>
          <w:rStyle w:val="13"/>
          <w:sz w:val="24"/>
          <w:szCs w:val="24"/>
        </w:rPr>
        <w:fldChar w:fldCharType="end"/>
      </w:r>
    </w:p>
    <w:p>
      <w:pPr>
        <w:pStyle w:val="3"/>
        <w:rPr>
          <w:rStyle w:val="13"/>
        </w:rPr>
      </w:pPr>
    </w:p>
    <w:p>
      <w:pPr>
        <w:pStyle w:val="3"/>
        <w:rPr>
          <w:rStyle w:val="13"/>
        </w:rPr>
      </w:pPr>
    </w:p>
    <w:p>
      <w:pPr>
        <w:pStyle w:val="3"/>
        <w:rPr>
          <w:rStyle w:val="13"/>
        </w:rPr>
      </w:pPr>
    </w:p>
    <w:p>
      <w:pPr>
        <w:pStyle w:val="3"/>
        <w:rPr>
          <w:rStyle w:val="13"/>
        </w:rPr>
      </w:pPr>
    </w:p>
    <w:p>
      <w:pPr>
        <w:pStyle w:val="3"/>
        <w:rPr>
          <w:rStyle w:val="13"/>
        </w:rPr>
      </w:pPr>
    </w:p>
    <w:p>
      <w:pPr>
        <w:pStyle w:val="3"/>
        <w:rPr>
          <w:rStyle w:val="13"/>
        </w:rPr>
      </w:pPr>
    </w:p>
    <w:p>
      <w:pPr>
        <w:pStyle w:val="3"/>
        <w:rPr>
          <w:rStyle w:val="13"/>
        </w:rPr>
      </w:pPr>
    </w:p>
    <w:p>
      <w:pPr>
        <w:pStyle w:val="3"/>
        <w:rPr>
          <w:rStyle w:val="13"/>
        </w:rPr>
      </w:pPr>
    </w:p>
    <w:p>
      <w:pPr>
        <w:rPr>
          <w:rStyle w:val="13"/>
        </w:rPr>
      </w:pPr>
    </w:p>
    <w:p>
      <w:pPr>
        <w:rPr>
          <w:rStyle w:val="13"/>
        </w:rPr>
      </w:pPr>
    </w:p>
    <w:p>
      <w:pPr>
        <w:rPr>
          <w:rStyle w:val="13"/>
        </w:rPr>
      </w:pPr>
    </w:p>
    <w:p>
      <w:pPr>
        <w:rPr>
          <w:rStyle w:val="13"/>
        </w:rPr>
      </w:pPr>
    </w:p>
    <w:p>
      <w:pPr>
        <w:rPr>
          <w:rStyle w:val="13"/>
        </w:rPr>
      </w:pPr>
    </w:p>
    <w:p>
      <w:pPr>
        <w:rPr>
          <w:rStyle w:val="13"/>
        </w:rPr>
      </w:pPr>
    </w:p>
    <w:p>
      <w:pPr>
        <w:pStyle w:val="3"/>
        <w:rPr>
          <w:rFonts w:ascii="宋体" w:hAnsi="宋体"/>
          <w:b w:val="0"/>
          <w:sz w:val="24"/>
          <w:szCs w:val="24"/>
        </w:rPr>
        <w:sectPr>
          <w:footerReference r:id="rId3" w:type="default"/>
          <w:pgSz w:w="11906" w:h="16838"/>
          <w:pgMar w:top="1134" w:right="964" w:bottom="1134" w:left="1361" w:header="851" w:footer="992" w:gutter="0"/>
          <w:pgNumType w:start="1" w:chapStyle="1"/>
          <w:cols w:space="425" w:num="1"/>
          <w:docGrid w:type="lines" w:linePitch="312" w:charSpace="0"/>
        </w:sectPr>
      </w:pPr>
    </w:p>
    <w:p>
      <w:pPr>
        <w:pStyle w:val="3"/>
      </w:pPr>
      <w:bookmarkStart w:id="1" w:name="_Toc12100589"/>
      <w:r>
        <w:t xml:space="preserve">1  </w:t>
      </w:r>
      <w:r>
        <w:rPr>
          <w:rFonts w:hint="eastAsia"/>
        </w:rPr>
        <w:t>监理实施细则编制的依据</w:t>
      </w:r>
      <w:bookmarkEnd w:id="0"/>
      <w:bookmarkEnd w:id="1"/>
    </w:p>
    <w:p>
      <w:pPr>
        <w:spacing w:line="360" w:lineRule="auto"/>
        <w:rPr>
          <w:rFonts w:ascii="宋体"/>
          <w:sz w:val="24"/>
          <w:szCs w:val="24"/>
        </w:rPr>
      </w:pPr>
      <w:bookmarkStart w:id="2" w:name="_Toc318380206"/>
      <w:r>
        <w:rPr>
          <w:rFonts w:ascii="宋体" w:hAnsi="宋体"/>
          <w:sz w:val="24"/>
          <w:szCs w:val="24"/>
        </w:rPr>
        <w:t xml:space="preserve">1.1  </w:t>
      </w:r>
      <w:r>
        <w:rPr>
          <w:rFonts w:hint="eastAsia" w:ascii="宋体" w:hAnsi="宋体"/>
          <w:sz w:val="24"/>
          <w:szCs w:val="24"/>
        </w:rPr>
        <w:t>《中华人民共和国建筑法》</w:t>
      </w:r>
    </w:p>
    <w:p>
      <w:pPr>
        <w:spacing w:line="360" w:lineRule="auto"/>
        <w:rPr>
          <w:rFonts w:ascii="宋体"/>
          <w:sz w:val="24"/>
          <w:szCs w:val="24"/>
        </w:rPr>
      </w:pPr>
      <w:r>
        <w:rPr>
          <w:rFonts w:ascii="宋体" w:hAnsi="宋体"/>
          <w:sz w:val="24"/>
          <w:szCs w:val="24"/>
        </w:rPr>
        <w:t xml:space="preserve">1.2  </w:t>
      </w:r>
      <w:r>
        <w:rPr>
          <w:rFonts w:hint="eastAsia" w:ascii="宋体" w:hAnsi="宋体"/>
          <w:sz w:val="24"/>
          <w:szCs w:val="24"/>
        </w:rPr>
        <w:t>《中华人民共和国合同法》</w:t>
      </w:r>
    </w:p>
    <w:p>
      <w:pPr>
        <w:spacing w:line="360" w:lineRule="auto"/>
        <w:rPr>
          <w:rFonts w:ascii="宋体"/>
          <w:sz w:val="24"/>
          <w:szCs w:val="24"/>
        </w:rPr>
      </w:pPr>
      <w:r>
        <w:rPr>
          <w:rFonts w:ascii="宋体" w:hAnsi="宋体"/>
          <w:sz w:val="24"/>
          <w:szCs w:val="24"/>
        </w:rPr>
        <w:t xml:space="preserve">1.3  </w:t>
      </w:r>
      <w:r>
        <w:rPr>
          <w:rFonts w:hint="eastAsia" w:ascii="宋体" w:hAnsi="宋体"/>
          <w:sz w:val="24"/>
          <w:szCs w:val="24"/>
        </w:rPr>
        <w:t>《中华人民共和国招标投标法》</w:t>
      </w:r>
    </w:p>
    <w:p>
      <w:pPr>
        <w:spacing w:line="360" w:lineRule="auto"/>
        <w:rPr>
          <w:rFonts w:hint="eastAsia" w:ascii="宋体" w:hAnsi="宋体"/>
          <w:sz w:val="24"/>
          <w:szCs w:val="24"/>
        </w:rPr>
      </w:pPr>
      <w:r>
        <w:rPr>
          <w:rFonts w:ascii="宋体" w:hAnsi="宋体"/>
          <w:sz w:val="24"/>
          <w:szCs w:val="24"/>
        </w:rPr>
        <w:t xml:space="preserve">1.4  </w:t>
      </w:r>
      <w:r>
        <w:rPr>
          <w:rFonts w:hint="eastAsia" w:ascii="宋体" w:hAnsi="宋体"/>
          <w:sz w:val="24"/>
          <w:szCs w:val="24"/>
        </w:rPr>
        <w:t>《建设工程质量管理条例》</w:t>
      </w:r>
    </w:p>
    <w:p>
      <w:pPr>
        <w:spacing w:line="360" w:lineRule="auto"/>
        <w:rPr>
          <w:rFonts w:ascii="宋体"/>
          <w:sz w:val="24"/>
          <w:szCs w:val="24"/>
        </w:rPr>
      </w:pPr>
      <w:r>
        <w:rPr>
          <w:rFonts w:ascii="宋体" w:hAnsi="宋体"/>
          <w:sz w:val="24"/>
          <w:szCs w:val="24"/>
        </w:rPr>
        <w:t xml:space="preserve">1.5  </w:t>
      </w:r>
      <w:r>
        <w:rPr>
          <w:rFonts w:hint="eastAsia" w:ascii="宋体" w:hAnsi="宋体"/>
          <w:sz w:val="24"/>
          <w:szCs w:val="24"/>
        </w:rPr>
        <w:t>《建设工程安全生产管理条例》</w:t>
      </w:r>
    </w:p>
    <w:p>
      <w:pPr>
        <w:spacing w:line="360" w:lineRule="auto"/>
        <w:rPr>
          <w:rFonts w:ascii="宋体" w:hAnsi="宋体"/>
          <w:sz w:val="24"/>
          <w:szCs w:val="24"/>
        </w:rPr>
      </w:pPr>
      <w:bookmarkStart w:id="3" w:name="_Toc1026885"/>
      <w:r>
        <w:rPr>
          <w:rFonts w:ascii="宋体" w:hAnsi="宋体"/>
          <w:sz w:val="24"/>
          <w:szCs w:val="24"/>
        </w:rPr>
        <w:t xml:space="preserve">1.6  </w:t>
      </w:r>
      <w:r>
        <w:rPr>
          <w:rFonts w:hint="eastAsia" w:ascii="宋体" w:hAnsi="宋体"/>
          <w:sz w:val="24"/>
          <w:szCs w:val="24"/>
        </w:rPr>
        <w:t>《建设工程监理规范》</w:t>
      </w:r>
      <w:r>
        <w:rPr>
          <w:rFonts w:ascii="宋体" w:hAnsi="宋体"/>
          <w:sz w:val="24"/>
          <w:szCs w:val="24"/>
        </w:rPr>
        <w:t>GBT50319</w:t>
      </w:r>
    </w:p>
    <w:p>
      <w:pPr>
        <w:spacing w:line="360" w:lineRule="auto"/>
        <w:rPr>
          <w:rFonts w:ascii="宋体" w:hAnsi="宋体"/>
          <w:sz w:val="24"/>
          <w:szCs w:val="24"/>
        </w:rPr>
      </w:pPr>
      <w:r>
        <w:rPr>
          <w:rFonts w:ascii="宋体" w:hAnsi="宋体"/>
          <w:sz w:val="24"/>
          <w:szCs w:val="24"/>
        </w:rPr>
        <w:t xml:space="preserve">1.7  </w:t>
      </w:r>
      <w:r>
        <w:rPr>
          <w:rFonts w:hint="eastAsia" w:ascii="宋体" w:hAnsi="宋体"/>
          <w:sz w:val="24"/>
          <w:szCs w:val="24"/>
        </w:rPr>
        <w:t>《光伏发电工程施工规范》</w:t>
      </w:r>
      <w:r>
        <w:rPr>
          <w:rFonts w:ascii="宋体" w:hAnsi="宋体"/>
          <w:sz w:val="24"/>
          <w:szCs w:val="24"/>
        </w:rPr>
        <w:t xml:space="preserve">GB50794      </w:t>
      </w:r>
    </w:p>
    <w:p>
      <w:pPr>
        <w:rPr>
          <w:rFonts w:ascii="宋体"/>
          <w:sz w:val="24"/>
          <w:szCs w:val="24"/>
        </w:rPr>
      </w:pPr>
      <w:r>
        <w:rPr>
          <w:rFonts w:ascii="宋体" w:hAnsi="宋体"/>
          <w:sz w:val="24"/>
          <w:szCs w:val="24"/>
        </w:rPr>
        <w:t xml:space="preserve">1.8  </w:t>
      </w:r>
      <w:r>
        <w:rPr>
          <w:rFonts w:hint="eastAsia" w:ascii="宋体" w:hAnsi="宋体"/>
          <w:sz w:val="24"/>
          <w:szCs w:val="24"/>
        </w:rPr>
        <w:t>《光伏发电工程验收规范》</w:t>
      </w:r>
      <w:r>
        <w:rPr>
          <w:rFonts w:ascii="宋体" w:hAnsi="宋体"/>
          <w:sz w:val="24"/>
          <w:szCs w:val="24"/>
        </w:rPr>
        <w:t xml:space="preserve">GB50796   </w:t>
      </w:r>
    </w:p>
    <w:p>
      <w:pPr>
        <w:spacing w:line="360" w:lineRule="auto"/>
        <w:rPr>
          <w:rFonts w:ascii="宋体" w:hAnsi="宋体"/>
          <w:sz w:val="24"/>
          <w:szCs w:val="24"/>
        </w:rPr>
      </w:pPr>
      <w:r>
        <w:rPr>
          <w:rFonts w:ascii="宋体" w:hAnsi="宋体"/>
          <w:sz w:val="24"/>
          <w:szCs w:val="24"/>
        </w:rPr>
        <w:t xml:space="preserve">1.9  </w:t>
      </w:r>
      <w:r>
        <w:rPr>
          <w:rFonts w:hint="eastAsia" w:ascii="宋体" w:hAnsi="宋体"/>
          <w:sz w:val="24"/>
          <w:szCs w:val="24"/>
        </w:rPr>
        <w:t>《电气设备交接试验标准》</w:t>
      </w:r>
      <w:r>
        <w:rPr>
          <w:rFonts w:ascii="宋体" w:hAnsi="宋体"/>
          <w:sz w:val="24"/>
          <w:szCs w:val="24"/>
        </w:rPr>
        <w:t xml:space="preserve">GB 50150  </w:t>
      </w:r>
    </w:p>
    <w:p>
      <w:pPr>
        <w:spacing w:line="360" w:lineRule="auto"/>
        <w:rPr>
          <w:rFonts w:ascii="宋体" w:hAnsi="宋体"/>
          <w:sz w:val="24"/>
          <w:szCs w:val="24"/>
        </w:rPr>
      </w:pPr>
      <w:r>
        <w:rPr>
          <w:rFonts w:ascii="宋体" w:hAnsi="宋体"/>
          <w:sz w:val="24"/>
          <w:szCs w:val="24"/>
        </w:rPr>
        <w:t xml:space="preserve">1.10 </w:t>
      </w:r>
      <w:r>
        <w:rPr>
          <w:rFonts w:hint="eastAsia" w:ascii="宋体" w:hAnsi="宋体"/>
          <w:sz w:val="24"/>
          <w:szCs w:val="24"/>
        </w:rPr>
        <w:t>《电气装置安装工程</w:t>
      </w:r>
      <w:r>
        <w:rPr>
          <w:rFonts w:ascii="宋体" w:hAnsi="宋体"/>
          <w:sz w:val="24"/>
          <w:szCs w:val="24"/>
        </w:rPr>
        <w:t xml:space="preserve"> </w:t>
      </w:r>
      <w:r>
        <w:rPr>
          <w:rFonts w:hint="eastAsia" w:ascii="宋体" w:hAnsi="宋体"/>
          <w:sz w:val="24"/>
          <w:szCs w:val="24"/>
        </w:rPr>
        <w:t>高压电器施工及验收规范》</w:t>
      </w:r>
      <w:r>
        <w:rPr>
          <w:rFonts w:ascii="宋体" w:hAnsi="宋体"/>
          <w:sz w:val="24"/>
          <w:szCs w:val="24"/>
        </w:rPr>
        <w:t>GB 50147</w:t>
      </w:r>
    </w:p>
    <w:p>
      <w:pPr>
        <w:spacing w:line="360" w:lineRule="auto"/>
        <w:rPr>
          <w:rFonts w:ascii="宋体" w:hAnsi="宋体"/>
          <w:sz w:val="24"/>
          <w:szCs w:val="24"/>
        </w:rPr>
      </w:pPr>
      <w:r>
        <w:rPr>
          <w:rFonts w:ascii="宋体" w:hAnsi="宋体"/>
          <w:sz w:val="24"/>
          <w:szCs w:val="24"/>
        </w:rPr>
        <w:t xml:space="preserve">1.11 </w:t>
      </w:r>
      <w:r>
        <w:rPr>
          <w:rFonts w:hint="eastAsia" w:ascii="宋体" w:hAnsi="宋体"/>
          <w:sz w:val="24"/>
          <w:szCs w:val="24"/>
        </w:rPr>
        <w:t>《电气装置安装工程</w:t>
      </w:r>
      <w:r>
        <w:rPr>
          <w:rFonts w:ascii="宋体" w:hAnsi="宋体"/>
          <w:sz w:val="24"/>
          <w:szCs w:val="24"/>
        </w:rPr>
        <w:t xml:space="preserve"> </w:t>
      </w:r>
      <w:r>
        <w:rPr>
          <w:rFonts w:hint="eastAsia" w:ascii="宋体" w:hAnsi="宋体"/>
          <w:sz w:val="24"/>
          <w:szCs w:val="24"/>
        </w:rPr>
        <w:t>母线装置施工及验收规范》</w:t>
      </w:r>
      <w:r>
        <w:rPr>
          <w:rFonts w:ascii="宋体" w:hAnsi="宋体"/>
          <w:sz w:val="24"/>
          <w:szCs w:val="24"/>
        </w:rPr>
        <w:t xml:space="preserve">GB 50149 </w:t>
      </w:r>
    </w:p>
    <w:p>
      <w:pPr>
        <w:spacing w:line="360" w:lineRule="auto"/>
        <w:rPr>
          <w:rFonts w:ascii="宋体" w:hAnsi="宋体"/>
          <w:sz w:val="24"/>
          <w:szCs w:val="24"/>
        </w:rPr>
      </w:pPr>
      <w:r>
        <w:rPr>
          <w:rFonts w:ascii="宋体" w:hAnsi="宋体"/>
          <w:sz w:val="24"/>
          <w:szCs w:val="24"/>
        </w:rPr>
        <w:t xml:space="preserve">1.12 </w:t>
      </w:r>
      <w:r>
        <w:rPr>
          <w:rFonts w:hint="eastAsia" w:ascii="宋体" w:hAnsi="宋体"/>
          <w:sz w:val="24"/>
          <w:szCs w:val="24"/>
        </w:rPr>
        <w:t>《电气装置盘、柜及二次回路施工及验收规范》</w:t>
      </w:r>
      <w:r>
        <w:rPr>
          <w:rFonts w:ascii="宋体" w:hAnsi="宋体"/>
          <w:sz w:val="24"/>
          <w:szCs w:val="24"/>
        </w:rPr>
        <w:t>GB 50171</w:t>
      </w:r>
    </w:p>
    <w:p>
      <w:pPr>
        <w:spacing w:line="360" w:lineRule="auto"/>
        <w:rPr>
          <w:rFonts w:ascii="宋体"/>
          <w:sz w:val="24"/>
          <w:szCs w:val="24"/>
        </w:rPr>
      </w:pPr>
      <w:r>
        <w:rPr>
          <w:rFonts w:ascii="宋体" w:hAnsi="宋体"/>
          <w:sz w:val="24"/>
          <w:szCs w:val="24"/>
        </w:rPr>
        <w:t xml:space="preserve">1.13 </w:t>
      </w:r>
      <w:r>
        <w:rPr>
          <w:rFonts w:hint="eastAsia" w:ascii="宋体" w:hAnsi="宋体"/>
          <w:sz w:val="24"/>
          <w:szCs w:val="24"/>
        </w:rPr>
        <w:t>《电气装置安装工程电缆线路施工及验收规范》</w:t>
      </w:r>
      <w:r>
        <w:rPr>
          <w:rFonts w:ascii="宋体" w:hAnsi="宋体"/>
          <w:sz w:val="24"/>
          <w:szCs w:val="24"/>
        </w:rPr>
        <w:t>GB50168</w:t>
      </w:r>
    </w:p>
    <w:p>
      <w:pPr>
        <w:spacing w:line="360" w:lineRule="auto"/>
        <w:rPr>
          <w:rFonts w:ascii="宋体"/>
          <w:sz w:val="24"/>
          <w:szCs w:val="24"/>
        </w:rPr>
      </w:pPr>
      <w:r>
        <w:rPr>
          <w:rFonts w:ascii="宋体" w:hAnsi="宋体"/>
          <w:sz w:val="24"/>
          <w:szCs w:val="24"/>
        </w:rPr>
        <w:t xml:space="preserve">1.14 </w:t>
      </w:r>
      <w:r>
        <w:rPr>
          <w:rFonts w:hint="eastAsia" w:ascii="宋体" w:hAnsi="宋体"/>
          <w:sz w:val="24"/>
          <w:szCs w:val="24"/>
        </w:rPr>
        <w:t>《电气装置安装工程</w:t>
      </w:r>
      <w:r>
        <w:rPr>
          <w:rFonts w:ascii="宋体" w:hAnsi="宋体"/>
          <w:sz w:val="24"/>
          <w:szCs w:val="24"/>
        </w:rPr>
        <w:t xml:space="preserve"> </w:t>
      </w:r>
      <w:r>
        <w:rPr>
          <w:rFonts w:hint="eastAsia" w:ascii="宋体" w:hAnsi="宋体"/>
          <w:sz w:val="24"/>
          <w:szCs w:val="24"/>
        </w:rPr>
        <w:t>接地装置施工及验收规范》</w:t>
      </w:r>
      <w:r>
        <w:rPr>
          <w:rFonts w:ascii="宋体" w:hAnsi="宋体"/>
          <w:sz w:val="24"/>
          <w:szCs w:val="24"/>
        </w:rPr>
        <w:t xml:space="preserve">GB 50169  </w:t>
      </w:r>
    </w:p>
    <w:p>
      <w:pPr>
        <w:spacing w:line="360" w:lineRule="auto"/>
        <w:rPr>
          <w:rFonts w:ascii="宋体"/>
          <w:sz w:val="24"/>
          <w:szCs w:val="24"/>
        </w:rPr>
      </w:pPr>
      <w:r>
        <w:rPr>
          <w:rFonts w:ascii="宋体" w:hAnsi="宋体"/>
          <w:sz w:val="24"/>
          <w:szCs w:val="24"/>
        </w:rPr>
        <w:t xml:space="preserve">1.15 </w:t>
      </w:r>
      <w:r>
        <w:rPr>
          <w:rFonts w:hint="eastAsia" w:ascii="宋体" w:hAnsi="宋体"/>
          <w:sz w:val="24"/>
          <w:szCs w:val="24"/>
        </w:rPr>
        <w:t>《建筑电气照明装置施工与验收规范》</w:t>
      </w:r>
      <w:r>
        <w:rPr>
          <w:rFonts w:ascii="宋体" w:hAnsi="宋体"/>
          <w:sz w:val="24"/>
          <w:szCs w:val="24"/>
        </w:rPr>
        <w:t xml:space="preserve">GB 50617 </w:t>
      </w:r>
    </w:p>
    <w:p>
      <w:pPr>
        <w:spacing w:line="360" w:lineRule="auto"/>
        <w:rPr>
          <w:rFonts w:ascii="宋体" w:hAnsi="宋体"/>
          <w:sz w:val="24"/>
          <w:szCs w:val="24"/>
        </w:rPr>
      </w:pPr>
      <w:r>
        <w:rPr>
          <w:rFonts w:ascii="宋体" w:hAnsi="宋体"/>
          <w:sz w:val="24"/>
          <w:szCs w:val="24"/>
        </w:rPr>
        <w:t xml:space="preserve">1.16 </w:t>
      </w:r>
      <w:r>
        <w:rPr>
          <w:rFonts w:hint="eastAsia" w:ascii="宋体" w:hAnsi="宋体"/>
          <w:sz w:val="24"/>
          <w:szCs w:val="24"/>
        </w:rPr>
        <w:t>《电力工程竣工图文件编制规定》</w:t>
      </w:r>
      <w:r>
        <w:rPr>
          <w:rFonts w:ascii="宋体" w:hAnsi="宋体"/>
          <w:sz w:val="24"/>
          <w:szCs w:val="24"/>
        </w:rPr>
        <w:t>DL/T5229</w:t>
      </w:r>
    </w:p>
    <w:p>
      <w:pPr>
        <w:spacing w:line="360" w:lineRule="auto"/>
        <w:rPr>
          <w:rFonts w:ascii="宋体"/>
          <w:sz w:val="24"/>
          <w:szCs w:val="24"/>
        </w:rPr>
      </w:pPr>
      <w:r>
        <w:rPr>
          <w:rFonts w:ascii="宋体" w:hAnsi="宋体"/>
          <w:sz w:val="24"/>
          <w:szCs w:val="24"/>
        </w:rPr>
        <w:t xml:space="preserve">1.17 </w:t>
      </w:r>
      <w:r>
        <w:rPr>
          <w:rFonts w:hint="eastAsia" w:ascii="宋体" w:hAnsi="宋体"/>
          <w:sz w:val="24"/>
          <w:szCs w:val="24"/>
        </w:rPr>
        <w:t>《工程建设标准强制性条文》</w:t>
      </w:r>
      <w:r>
        <w:rPr>
          <w:rFonts w:ascii="宋体" w:hAnsi="宋体"/>
          <w:sz w:val="24"/>
          <w:szCs w:val="24"/>
        </w:rPr>
        <w:t xml:space="preserve"> </w:t>
      </w:r>
      <w:r>
        <w:rPr>
          <w:rFonts w:hint="eastAsia" w:ascii="宋体" w:hAnsi="宋体"/>
          <w:sz w:val="24"/>
          <w:szCs w:val="24"/>
        </w:rPr>
        <w:t>电力工程部分</w:t>
      </w:r>
    </w:p>
    <w:p>
      <w:pPr>
        <w:spacing w:line="360" w:lineRule="auto"/>
        <w:rPr>
          <w:rFonts w:ascii="宋体"/>
          <w:sz w:val="24"/>
          <w:szCs w:val="24"/>
        </w:rPr>
      </w:pPr>
      <w:r>
        <w:rPr>
          <w:rFonts w:ascii="宋体" w:hAnsi="宋体"/>
          <w:sz w:val="24"/>
          <w:szCs w:val="24"/>
        </w:rPr>
        <w:t xml:space="preserve">1.18 </w:t>
      </w:r>
      <w:r>
        <w:rPr>
          <w:rFonts w:hint="eastAsia" w:ascii="宋体" w:hAnsi="宋体"/>
          <w:sz w:val="24"/>
          <w:szCs w:val="24"/>
        </w:rPr>
        <w:t>已批准的监理规划</w:t>
      </w:r>
    </w:p>
    <w:p>
      <w:pPr>
        <w:spacing w:line="360" w:lineRule="auto"/>
        <w:rPr>
          <w:rFonts w:ascii="宋体"/>
          <w:sz w:val="24"/>
          <w:szCs w:val="24"/>
        </w:rPr>
      </w:pPr>
      <w:r>
        <w:rPr>
          <w:rFonts w:ascii="宋体" w:hAnsi="宋体"/>
          <w:sz w:val="24"/>
          <w:szCs w:val="24"/>
        </w:rPr>
        <w:t xml:space="preserve">1.19 </w:t>
      </w:r>
      <w:r>
        <w:rPr>
          <w:rFonts w:hint="eastAsia" w:ascii="宋体" w:hAnsi="宋体"/>
          <w:sz w:val="24"/>
          <w:szCs w:val="24"/>
        </w:rPr>
        <w:t>本工程承包合同、监理合同</w:t>
      </w:r>
      <w:bookmarkEnd w:id="3"/>
    </w:p>
    <w:p>
      <w:pPr>
        <w:spacing w:line="360" w:lineRule="auto"/>
        <w:rPr>
          <w:rFonts w:ascii="宋体"/>
          <w:sz w:val="24"/>
          <w:szCs w:val="24"/>
        </w:rPr>
      </w:pPr>
      <w:r>
        <w:rPr>
          <w:rFonts w:ascii="宋体" w:hAnsi="宋体"/>
          <w:sz w:val="24"/>
          <w:szCs w:val="24"/>
        </w:rPr>
        <w:t xml:space="preserve">1.20 </w:t>
      </w:r>
      <w:r>
        <w:rPr>
          <w:rFonts w:hint="eastAsia" w:ascii="宋体" w:hAnsi="宋体"/>
          <w:sz w:val="24"/>
          <w:szCs w:val="24"/>
        </w:rPr>
        <w:t>本工程勘察、设计文件</w:t>
      </w:r>
    </w:p>
    <w:p>
      <w:pPr>
        <w:pStyle w:val="3"/>
        <w:rPr>
          <w:rFonts w:hint="eastAsia"/>
        </w:rPr>
      </w:pPr>
      <w:bookmarkStart w:id="4" w:name="_Toc12100590"/>
      <w:r>
        <w:t>2</w:t>
      </w:r>
      <w:r>
        <w:rPr>
          <w:rFonts w:hint="eastAsia"/>
        </w:rPr>
        <w:t>本专业工程概况及特点</w:t>
      </w:r>
      <w:bookmarkEnd w:id="2"/>
      <w:bookmarkEnd w:id="4"/>
      <w:bookmarkStart w:id="5" w:name="_Toc21511"/>
      <w:bookmarkStart w:id="6" w:name="_Toc12100591"/>
      <w:bookmarkStart w:id="7" w:name="_Toc318380207"/>
    </w:p>
    <w:bookmarkEnd w:id="5"/>
    <w:p>
      <w:pPr>
        <w:pStyle w:val="4"/>
        <w:spacing w:line="360" w:lineRule="auto"/>
        <w:jc w:val="both"/>
        <w:rPr>
          <w:rFonts w:hint="eastAsia" w:ascii="Times New Roman" w:hAnsi="Times New Roman" w:eastAsia="宋体" w:cs="Times New Roman"/>
          <w:b w:val="0"/>
          <w:color w:val="auto"/>
          <w:kern w:val="2"/>
          <w:sz w:val="24"/>
          <w:szCs w:val="24"/>
          <w:lang w:val="en-US" w:eastAsia="zh-CN" w:bidi="ar-SA"/>
        </w:rPr>
      </w:pPr>
      <w:r>
        <w:rPr>
          <w:rFonts w:hint="eastAsia" w:ascii="Times New Roman" w:hAnsi="Times New Roman" w:eastAsia="宋体" w:cs="Times New Roman"/>
          <w:b w:val="0"/>
          <w:color w:val="auto"/>
          <w:kern w:val="2"/>
          <w:sz w:val="24"/>
          <w:szCs w:val="24"/>
          <w:lang w:val="en-US" w:eastAsia="zh-CN" w:bidi="ar-SA"/>
        </w:rPr>
        <w:t>项目名称：</w:t>
      </w:r>
      <w:r>
        <w:rPr>
          <w:rFonts w:hint="eastAsia" w:ascii="Times New Roman" w:hAnsi="Times New Roman" w:eastAsia="宋体" w:cs="Times New Roman"/>
          <w:b w:val="0"/>
          <w:color w:val="auto"/>
          <w:kern w:val="2"/>
          <w:sz w:val="24"/>
          <w:szCs w:val="24"/>
          <w:lang w:val="en-US" w:eastAsia="zh-CN" w:bidi="ar-SA"/>
        </w:rPr>
        <w:t>希必奥天津丹佛斯福源道厂区0.704MW分布式光伏发电项目</w:t>
      </w:r>
    </w:p>
    <w:p>
      <w:pPr>
        <w:pStyle w:val="4"/>
        <w:spacing w:line="360" w:lineRule="auto"/>
        <w:jc w:val="both"/>
        <w:rPr>
          <w:rFonts w:hint="eastAsia" w:ascii="Times New Roman" w:hAnsi="Times New Roman" w:eastAsia="宋体" w:cs="Times New Roman"/>
          <w:b w:val="0"/>
          <w:color w:val="auto"/>
          <w:kern w:val="2"/>
          <w:sz w:val="24"/>
          <w:szCs w:val="24"/>
          <w:lang w:val="en-US" w:eastAsia="zh-CN" w:bidi="ar-SA"/>
        </w:rPr>
      </w:pPr>
      <w:r>
        <w:rPr>
          <w:rFonts w:hint="eastAsia" w:ascii="Times New Roman" w:hAnsi="Times New Roman" w:eastAsia="宋体" w:cs="Times New Roman"/>
          <w:b w:val="0"/>
          <w:color w:val="auto"/>
          <w:kern w:val="2"/>
          <w:sz w:val="24"/>
          <w:szCs w:val="24"/>
          <w:lang w:val="en-US" w:eastAsia="zh-CN" w:bidi="ar-SA"/>
        </w:rPr>
        <w:t xml:space="preserve">工程地点：天津市武清区福源道5号 </w:t>
      </w:r>
    </w:p>
    <w:p>
      <w:pPr>
        <w:pStyle w:val="4"/>
        <w:spacing w:line="360" w:lineRule="auto"/>
        <w:jc w:val="both"/>
        <w:rPr>
          <w:rFonts w:hint="eastAsia" w:ascii="Times New Roman" w:hAnsi="Times New Roman" w:eastAsia="宋体" w:cs="Times New Roman"/>
          <w:b w:val="0"/>
          <w:color w:val="auto"/>
          <w:kern w:val="2"/>
          <w:sz w:val="24"/>
          <w:szCs w:val="24"/>
          <w:lang w:val="en-US" w:eastAsia="zh-CN" w:bidi="ar-SA"/>
        </w:rPr>
      </w:pPr>
      <w:r>
        <w:rPr>
          <w:rFonts w:hint="eastAsia" w:ascii="Times New Roman" w:hAnsi="Times New Roman" w:eastAsia="宋体" w:cs="Times New Roman"/>
          <w:b w:val="0"/>
          <w:color w:val="auto"/>
          <w:kern w:val="2"/>
          <w:sz w:val="24"/>
          <w:szCs w:val="24"/>
          <w:lang w:val="en-US" w:eastAsia="zh-CN" w:bidi="ar-SA"/>
        </w:rPr>
        <w:t>建设单位：天津希必奥光伏发电有限公司</w:t>
      </w:r>
    </w:p>
    <w:p>
      <w:pPr>
        <w:keepNext w:val="0"/>
        <w:keepLines w:val="0"/>
        <w:widowControl/>
        <w:suppressLineNumbers w:val="0"/>
        <w:spacing w:line="360" w:lineRule="auto"/>
        <w:jc w:val="left"/>
        <w:rPr>
          <w:rFonts w:hint="eastAsia" w:ascii="Times New Roman" w:hAnsi="Times New Roman" w:eastAsia="宋体" w:cs="Times New Roman"/>
          <w:b w:val="0"/>
          <w:color w:val="auto"/>
          <w:kern w:val="2"/>
          <w:sz w:val="24"/>
          <w:szCs w:val="24"/>
          <w:lang w:val="en-US" w:eastAsia="zh-CN" w:bidi="ar-SA"/>
        </w:rPr>
      </w:pPr>
      <w:r>
        <w:rPr>
          <w:rFonts w:hint="eastAsia" w:ascii="Times New Roman" w:hAnsi="Times New Roman" w:eastAsia="宋体" w:cs="Times New Roman"/>
          <w:b w:val="0"/>
          <w:color w:val="auto"/>
          <w:kern w:val="2"/>
          <w:sz w:val="24"/>
          <w:szCs w:val="24"/>
          <w:lang w:val="en-US" w:eastAsia="zh-CN" w:bidi="ar-SA"/>
        </w:rPr>
        <w:t>监理单位：常州正衡电力工程监理有限公司</w:t>
      </w:r>
    </w:p>
    <w:p>
      <w:pPr>
        <w:pStyle w:val="4"/>
        <w:spacing w:line="360" w:lineRule="auto"/>
        <w:jc w:val="both"/>
        <w:rPr>
          <w:rFonts w:hint="eastAsia" w:ascii="Times New Roman" w:hAnsi="Times New Roman" w:eastAsia="宋体" w:cs="Times New Roman"/>
          <w:b w:val="0"/>
          <w:color w:val="auto"/>
          <w:kern w:val="2"/>
          <w:sz w:val="24"/>
          <w:szCs w:val="24"/>
          <w:lang w:val="en-US" w:eastAsia="zh-CN" w:bidi="ar-SA"/>
        </w:rPr>
      </w:pPr>
      <w:r>
        <w:rPr>
          <w:rFonts w:hint="eastAsia" w:ascii="Times New Roman" w:hAnsi="Times New Roman" w:eastAsia="宋体" w:cs="Times New Roman"/>
          <w:b w:val="0"/>
          <w:color w:val="auto"/>
          <w:kern w:val="2"/>
          <w:sz w:val="24"/>
          <w:szCs w:val="24"/>
          <w:lang w:val="en-US" w:eastAsia="zh-CN" w:bidi="ar-SA"/>
        </w:rPr>
        <w:t>施工单位：浙江华伏太阳能科技有限公司</w:t>
      </w:r>
    </w:p>
    <w:p>
      <w:pPr>
        <w:pStyle w:val="4"/>
        <w:spacing w:line="360" w:lineRule="auto"/>
        <w:jc w:val="both"/>
        <w:rPr>
          <w:rFonts w:hint="eastAsia" w:ascii="Times New Roman" w:hAnsi="Times New Roman" w:eastAsia="宋体" w:cs="Times New Roman"/>
          <w:b w:val="0"/>
          <w:color w:val="auto"/>
          <w:kern w:val="2"/>
          <w:sz w:val="24"/>
          <w:szCs w:val="24"/>
          <w:lang w:val="en-US" w:eastAsia="zh-CN" w:bidi="ar-SA"/>
        </w:rPr>
      </w:pPr>
      <w:r>
        <w:rPr>
          <w:rFonts w:hint="eastAsia" w:ascii="Times New Roman" w:hAnsi="Times New Roman" w:eastAsia="宋体" w:cs="Times New Roman"/>
          <w:b w:val="0"/>
          <w:color w:val="auto"/>
          <w:kern w:val="2"/>
          <w:sz w:val="24"/>
          <w:szCs w:val="24"/>
          <w:lang w:val="en-US" w:eastAsia="zh-CN" w:bidi="ar-SA"/>
        </w:rPr>
        <w:t>设计单位：大连海旭电力工程设计有限公司</w:t>
      </w:r>
    </w:p>
    <w:p>
      <w:pPr>
        <w:spacing w:line="360" w:lineRule="auto"/>
        <w:ind w:left="0" w:leftChars="0" w:firstLine="480" w:firstLineChars="200"/>
        <w:rPr>
          <w:rFonts w:hint="default" w:ascii="宋体" w:hAnsi="宋体" w:eastAsia="宋体" w:cs="宋体"/>
          <w:sz w:val="20"/>
          <w:szCs w:val="20"/>
          <w:lang w:val="en-US" w:eastAsia="zh-CN"/>
        </w:rPr>
      </w:pPr>
      <w:r>
        <w:rPr>
          <w:rFonts w:hint="eastAsia" w:ascii="Times New Roman" w:hAnsi="Times New Roman" w:eastAsia="宋体" w:cs="Times New Roman"/>
          <w:b w:val="0"/>
          <w:color w:val="auto"/>
          <w:kern w:val="2"/>
          <w:sz w:val="24"/>
          <w:szCs w:val="24"/>
          <w:lang w:val="en-US" w:eastAsia="zh-CN" w:bidi="ar-SA"/>
        </w:rPr>
        <w:t>本工程共1栋厂房屋面、2处汽车车棚、1处非机动车车棚，太阳能光伏组件选用580WP的单晶硅组件，全部采用固定式发电系统，接入5台110KW、1台50KW、1台25KW、1台5KW组串式逆变器把直流电转换成交流后经过2台低压光伏并网柜后接入电网。采用自发自用余电上网模式，并网电压380伏，装机容量0.704MW。</w:t>
      </w:r>
    </w:p>
    <w:p>
      <w:pPr>
        <w:pStyle w:val="3"/>
      </w:pPr>
      <w:r>
        <w:t>3</w:t>
      </w:r>
      <w:r>
        <w:rPr>
          <w:rFonts w:hint="eastAsia"/>
        </w:rPr>
        <w:t>本专业工程监理范围</w:t>
      </w:r>
      <w:bookmarkEnd w:id="6"/>
      <w:bookmarkEnd w:id="7"/>
    </w:p>
    <w:p>
      <w:pPr>
        <w:spacing w:line="360" w:lineRule="auto"/>
        <w:ind w:firstLine="480" w:firstLineChars="200"/>
        <w:rPr>
          <w:rFonts w:hint="eastAsia" w:cs="Times New Roman"/>
          <w:sz w:val="24"/>
          <w:szCs w:val="24"/>
          <w:lang w:val="en-US" w:eastAsia="zh-CN"/>
        </w:rPr>
      </w:pPr>
      <w:bookmarkStart w:id="8" w:name="_Toc12100592"/>
      <w:bookmarkStart w:id="9" w:name="_Toc318380208"/>
      <w:r>
        <w:rPr>
          <w:rFonts w:hint="eastAsia" w:cs="Times New Roman"/>
          <w:sz w:val="24"/>
          <w:szCs w:val="24"/>
          <w:lang w:val="en-US" w:eastAsia="zh-CN"/>
        </w:rPr>
        <w:t>监理人负责对本工程全部工作（包括但不限于光伏厂区土建工程建筑施工，屋面支架安装、屋面组件安装、电气设备安装、外线及光伏车棚等施工、调试直至竣工验收，资料收集、整理及移交，并网发电和完成试运行阶段及缺陷整改至移交等全过程监理工作）自施工准备期直至竣工验收及结算等实施全方位、全过程监理，包括但不限于工程质量控制、进度控制、造价控制、安全文明施工控制、现场环境控制及合同管理、信息管理及工作协调实施全面管理，对项目全过程监理及质保期服务等。</w:t>
      </w:r>
    </w:p>
    <w:p>
      <w:pPr>
        <w:pStyle w:val="3"/>
      </w:pPr>
      <w:r>
        <w:t>4</w:t>
      </w:r>
      <w:r>
        <w:rPr>
          <w:rFonts w:hint="eastAsia"/>
        </w:rPr>
        <w:t>监理工作主要内容</w:t>
      </w:r>
      <w:bookmarkEnd w:id="8"/>
      <w:bookmarkEnd w:id="9"/>
    </w:p>
    <w:p>
      <w:pPr>
        <w:tabs>
          <w:tab w:val="left" w:pos="720"/>
        </w:tabs>
        <w:spacing w:line="360" w:lineRule="auto"/>
        <w:rPr>
          <w:rFonts w:ascii="宋体"/>
          <w:sz w:val="24"/>
          <w:szCs w:val="24"/>
        </w:rPr>
      </w:pPr>
      <w:r>
        <w:rPr>
          <w:rFonts w:ascii="宋体" w:hAnsi="宋体"/>
          <w:sz w:val="24"/>
          <w:szCs w:val="24"/>
        </w:rPr>
        <w:t>4.1</w:t>
      </w:r>
      <w:r>
        <w:rPr>
          <w:rFonts w:hint="eastAsia" w:ascii="宋体" w:hAnsi="宋体"/>
          <w:sz w:val="24"/>
          <w:szCs w:val="24"/>
        </w:rPr>
        <w:t>参与本专业施工图设计交底和图纸会审，提出修改和审查意见。</w:t>
      </w:r>
    </w:p>
    <w:p>
      <w:pPr>
        <w:tabs>
          <w:tab w:val="left" w:pos="720"/>
        </w:tabs>
        <w:spacing w:line="360" w:lineRule="auto"/>
        <w:rPr>
          <w:rFonts w:ascii="宋体"/>
          <w:sz w:val="24"/>
          <w:szCs w:val="24"/>
        </w:rPr>
      </w:pPr>
      <w:r>
        <w:rPr>
          <w:rFonts w:ascii="宋体" w:hAnsi="宋体"/>
          <w:sz w:val="24"/>
          <w:szCs w:val="24"/>
        </w:rPr>
        <w:t>4.2</w:t>
      </w:r>
      <w:r>
        <w:rPr>
          <w:rFonts w:hint="eastAsia" w:ascii="宋体" w:hAnsi="宋体"/>
          <w:sz w:val="24"/>
          <w:szCs w:val="24"/>
        </w:rPr>
        <w:t>审核施工单位提交的《施工组织设计》有关章节、《一般</w:t>
      </w:r>
      <w:r>
        <w:rPr>
          <w:rFonts w:ascii="宋体" w:hAnsi="宋体"/>
          <w:sz w:val="24"/>
          <w:szCs w:val="24"/>
        </w:rPr>
        <w:t>/</w:t>
      </w:r>
      <w:r>
        <w:rPr>
          <w:rFonts w:hint="eastAsia" w:ascii="宋体" w:hAnsi="宋体"/>
          <w:sz w:val="24"/>
          <w:szCs w:val="24"/>
        </w:rPr>
        <w:t>专项施工方案》、《作业指导书》等，并督促其贯彻执行。</w:t>
      </w:r>
    </w:p>
    <w:p>
      <w:pPr>
        <w:tabs>
          <w:tab w:val="left" w:pos="720"/>
        </w:tabs>
        <w:spacing w:line="360" w:lineRule="auto"/>
        <w:rPr>
          <w:rFonts w:ascii="宋体"/>
          <w:sz w:val="24"/>
          <w:szCs w:val="24"/>
        </w:rPr>
      </w:pPr>
      <w:r>
        <w:rPr>
          <w:rFonts w:ascii="宋体" w:hAnsi="宋体"/>
          <w:sz w:val="24"/>
          <w:szCs w:val="24"/>
        </w:rPr>
        <w:t>4.3</w:t>
      </w:r>
      <w:r>
        <w:rPr>
          <w:rFonts w:hint="eastAsia" w:ascii="宋体" w:hAnsi="宋体"/>
          <w:sz w:val="24"/>
          <w:szCs w:val="24"/>
        </w:rPr>
        <w:t>审定电气专业开工报告。</w:t>
      </w:r>
    </w:p>
    <w:p>
      <w:pPr>
        <w:tabs>
          <w:tab w:val="left" w:pos="720"/>
        </w:tabs>
        <w:spacing w:line="360" w:lineRule="auto"/>
        <w:rPr>
          <w:rFonts w:ascii="宋体"/>
          <w:sz w:val="24"/>
          <w:szCs w:val="24"/>
        </w:rPr>
      </w:pPr>
      <w:r>
        <w:rPr>
          <w:rFonts w:ascii="宋体" w:hAnsi="宋体"/>
          <w:sz w:val="24"/>
          <w:szCs w:val="24"/>
        </w:rPr>
        <w:t>4.4</w:t>
      </w:r>
      <w:r>
        <w:rPr>
          <w:rFonts w:hint="eastAsia" w:ascii="宋体" w:hAnsi="宋体"/>
          <w:sz w:val="24"/>
          <w:szCs w:val="24"/>
        </w:rPr>
        <w:t>审查施工单位的“资质”，特别是施工单位的质量体系和安全管理体系。</w:t>
      </w:r>
    </w:p>
    <w:p>
      <w:pPr>
        <w:tabs>
          <w:tab w:val="left" w:pos="720"/>
        </w:tabs>
        <w:spacing w:line="360" w:lineRule="auto"/>
        <w:rPr>
          <w:rFonts w:ascii="宋体"/>
          <w:sz w:val="24"/>
          <w:szCs w:val="24"/>
        </w:rPr>
      </w:pPr>
      <w:r>
        <w:rPr>
          <w:rFonts w:ascii="宋体" w:hAnsi="宋体"/>
          <w:sz w:val="24"/>
          <w:szCs w:val="24"/>
        </w:rPr>
        <w:t>4.5</w:t>
      </w:r>
      <w:r>
        <w:rPr>
          <w:rFonts w:hint="eastAsia" w:ascii="宋体" w:hAnsi="宋体"/>
          <w:sz w:val="24"/>
          <w:szCs w:val="24"/>
        </w:rPr>
        <w:t>严格按业主与施工承包商合同规定的《验规》、《验标》、《规程》及厂家设计单位的图纸，对施工质量、工期、安全进行认真检查和有效控制。</w:t>
      </w:r>
    </w:p>
    <w:p>
      <w:pPr>
        <w:tabs>
          <w:tab w:val="left" w:pos="720"/>
        </w:tabs>
        <w:spacing w:line="360" w:lineRule="auto"/>
        <w:rPr>
          <w:rFonts w:ascii="宋体"/>
          <w:sz w:val="24"/>
          <w:szCs w:val="24"/>
        </w:rPr>
      </w:pPr>
      <w:r>
        <w:rPr>
          <w:rFonts w:ascii="宋体" w:hAnsi="宋体"/>
          <w:sz w:val="24"/>
          <w:szCs w:val="24"/>
        </w:rPr>
        <w:t>4.6</w:t>
      </w:r>
      <w:r>
        <w:rPr>
          <w:rFonts w:hint="eastAsia" w:ascii="宋体" w:hAnsi="宋体"/>
          <w:sz w:val="24"/>
          <w:szCs w:val="24"/>
        </w:rPr>
        <w:t>审查施工单位报审的《电气专业项目验收划分表》，并在具体实施中进行监督检查。</w:t>
      </w:r>
    </w:p>
    <w:p>
      <w:pPr>
        <w:tabs>
          <w:tab w:val="left" w:pos="720"/>
        </w:tabs>
        <w:spacing w:line="360" w:lineRule="auto"/>
        <w:rPr>
          <w:rFonts w:ascii="宋体"/>
          <w:sz w:val="24"/>
          <w:szCs w:val="24"/>
        </w:rPr>
      </w:pPr>
      <w:r>
        <w:rPr>
          <w:rFonts w:ascii="宋体" w:hAnsi="宋体"/>
          <w:sz w:val="24"/>
          <w:szCs w:val="24"/>
        </w:rPr>
        <w:t>4.7</w:t>
      </w:r>
      <w:r>
        <w:rPr>
          <w:rFonts w:hint="eastAsia" w:ascii="宋体" w:hAnsi="宋体"/>
          <w:sz w:val="24"/>
          <w:szCs w:val="24"/>
        </w:rPr>
        <w:t>核查施工单位的施工质量，对关键工序、隐蔽工程进行旁站，检查分部工程、单位工程和施工技术记录（一、二、三级验收记录），参加阶段性工程和隐蔽工程的质量检验及签证。</w:t>
      </w:r>
    </w:p>
    <w:p>
      <w:pPr>
        <w:tabs>
          <w:tab w:val="left" w:pos="720"/>
        </w:tabs>
        <w:spacing w:line="360" w:lineRule="auto"/>
        <w:rPr>
          <w:rFonts w:ascii="宋体"/>
          <w:sz w:val="24"/>
          <w:szCs w:val="24"/>
        </w:rPr>
      </w:pPr>
      <w:r>
        <w:rPr>
          <w:rFonts w:ascii="宋体" w:hAnsi="宋体"/>
          <w:sz w:val="24"/>
          <w:szCs w:val="24"/>
        </w:rPr>
        <w:t>4.8</w:t>
      </w:r>
      <w:r>
        <w:rPr>
          <w:rFonts w:hint="eastAsia" w:ascii="宋体" w:hAnsi="宋体"/>
          <w:sz w:val="24"/>
          <w:szCs w:val="24"/>
        </w:rPr>
        <w:t>根据本专业监理工程实施情况做好监理日记，协助编制监理月报。</w:t>
      </w:r>
    </w:p>
    <w:p>
      <w:pPr>
        <w:tabs>
          <w:tab w:val="left" w:pos="720"/>
        </w:tabs>
        <w:spacing w:line="360" w:lineRule="auto"/>
        <w:rPr>
          <w:rFonts w:ascii="宋体"/>
          <w:sz w:val="24"/>
          <w:szCs w:val="24"/>
        </w:rPr>
      </w:pPr>
      <w:r>
        <w:rPr>
          <w:rFonts w:ascii="宋体" w:hAnsi="宋体"/>
          <w:sz w:val="24"/>
          <w:szCs w:val="24"/>
        </w:rPr>
        <w:t>4.9</w:t>
      </w:r>
      <w:r>
        <w:rPr>
          <w:rFonts w:hint="eastAsia" w:ascii="宋体" w:hAnsi="宋体"/>
          <w:sz w:val="24"/>
          <w:szCs w:val="24"/>
        </w:rPr>
        <w:t>认真检查进场设备、材料、构配件的原始凭证，出厂质保书、检测报告。认真做好本专业监理资料的收集、汇总及整理。</w:t>
      </w:r>
    </w:p>
    <w:p>
      <w:pPr>
        <w:tabs>
          <w:tab w:val="left" w:pos="720"/>
        </w:tabs>
        <w:spacing w:line="360" w:lineRule="auto"/>
        <w:rPr>
          <w:rFonts w:ascii="宋体"/>
          <w:sz w:val="24"/>
          <w:szCs w:val="24"/>
        </w:rPr>
      </w:pPr>
      <w:r>
        <w:rPr>
          <w:rFonts w:ascii="宋体" w:hAnsi="宋体"/>
          <w:sz w:val="24"/>
          <w:szCs w:val="24"/>
        </w:rPr>
        <w:t>4.10</w:t>
      </w:r>
      <w:r>
        <w:rPr>
          <w:rFonts w:hint="eastAsia" w:ascii="宋体" w:hAnsi="宋体"/>
          <w:sz w:val="24"/>
          <w:szCs w:val="24"/>
        </w:rPr>
        <w:t>对工程质量进行抽检或平行检验，合格时予以验收和签证。</w:t>
      </w:r>
    </w:p>
    <w:p>
      <w:pPr>
        <w:tabs>
          <w:tab w:val="left" w:pos="720"/>
        </w:tabs>
        <w:spacing w:line="360" w:lineRule="auto"/>
        <w:rPr>
          <w:rFonts w:ascii="宋体"/>
          <w:sz w:val="24"/>
          <w:szCs w:val="24"/>
        </w:rPr>
      </w:pPr>
      <w:r>
        <w:rPr>
          <w:rFonts w:ascii="宋体" w:hAnsi="宋体"/>
          <w:sz w:val="24"/>
          <w:szCs w:val="24"/>
        </w:rPr>
        <w:t>4.11</w:t>
      </w:r>
      <w:r>
        <w:rPr>
          <w:rFonts w:hint="eastAsia" w:ascii="宋体" w:hAnsi="宋体"/>
          <w:sz w:val="24"/>
          <w:szCs w:val="24"/>
        </w:rPr>
        <w:t>审核施工单位本专业的工程计量和原始凭证。</w:t>
      </w:r>
    </w:p>
    <w:p>
      <w:pPr>
        <w:tabs>
          <w:tab w:val="left" w:pos="720"/>
        </w:tabs>
        <w:spacing w:line="360" w:lineRule="auto"/>
        <w:rPr>
          <w:rFonts w:ascii="宋体"/>
          <w:sz w:val="24"/>
          <w:szCs w:val="24"/>
        </w:rPr>
      </w:pPr>
      <w:r>
        <w:rPr>
          <w:rFonts w:ascii="宋体" w:hAnsi="宋体"/>
          <w:sz w:val="24"/>
          <w:szCs w:val="24"/>
        </w:rPr>
        <w:t>4.12</w:t>
      </w:r>
      <w:r>
        <w:rPr>
          <w:rFonts w:hint="eastAsia" w:ascii="宋体" w:hAnsi="宋体"/>
          <w:sz w:val="24"/>
          <w:szCs w:val="24"/>
        </w:rPr>
        <w:t>参与工程建设中重大技术质量、安全事故和处理。</w:t>
      </w:r>
    </w:p>
    <w:p>
      <w:pPr>
        <w:tabs>
          <w:tab w:val="left" w:pos="720"/>
        </w:tabs>
        <w:spacing w:line="360" w:lineRule="auto"/>
        <w:rPr>
          <w:rFonts w:ascii="宋体"/>
          <w:sz w:val="24"/>
          <w:szCs w:val="24"/>
        </w:rPr>
      </w:pPr>
      <w:r>
        <w:rPr>
          <w:rFonts w:ascii="宋体" w:hAnsi="宋体"/>
          <w:sz w:val="24"/>
          <w:szCs w:val="24"/>
        </w:rPr>
        <w:t>4.13</w:t>
      </w:r>
      <w:r>
        <w:rPr>
          <w:rFonts w:hint="eastAsia" w:ascii="宋体" w:hAnsi="宋体"/>
          <w:sz w:val="24"/>
          <w:szCs w:val="24"/>
        </w:rPr>
        <w:t>完成总监（代表）临时交办的工作。</w:t>
      </w:r>
      <w:bookmarkStart w:id="10" w:name="_Toc318380210"/>
    </w:p>
    <w:p>
      <w:pPr>
        <w:pStyle w:val="3"/>
      </w:pPr>
      <w:bookmarkStart w:id="11" w:name="_Toc12100593"/>
      <w:r>
        <w:t>5</w:t>
      </w:r>
      <w:r>
        <w:rPr>
          <w:rFonts w:hint="eastAsia"/>
        </w:rPr>
        <w:t>电气监理的质量控制</w:t>
      </w:r>
      <w:bookmarkEnd w:id="10"/>
      <w:bookmarkEnd w:id="11"/>
    </w:p>
    <w:p>
      <w:pPr>
        <w:tabs>
          <w:tab w:val="left" w:pos="0"/>
          <w:tab w:val="left" w:pos="1080"/>
        </w:tabs>
        <w:spacing w:line="360" w:lineRule="auto"/>
        <w:rPr>
          <w:rFonts w:ascii="宋体"/>
          <w:sz w:val="24"/>
          <w:szCs w:val="24"/>
        </w:rPr>
      </w:pPr>
      <w:r>
        <w:rPr>
          <w:rFonts w:ascii="宋体" w:hAnsi="宋体"/>
          <w:sz w:val="24"/>
          <w:szCs w:val="24"/>
        </w:rPr>
        <w:t>5.1</w:t>
      </w:r>
      <w:r>
        <w:rPr>
          <w:rFonts w:hint="eastAsia" w:ascii="宋体" w:hAnsi="宋体"/>
          <w:sz w:val="24"/>
          <w:szCs w:val="24"/>
        </w:rPr>
        <w:t>方阵支架安装验收。</w:t>
      </w:r>
    </w:p>
    <w:p>
      <w:pPr>
        <w:tabs>
          <w:tab w:val="left" w:pos="0"/>
          <w:tab w:val="left" w:pos="1080"/>
        </w:tabs>
        <w:spacing w:line="360" w:lineRule="auto"/>
        <w:rPr>
          <w:rFonts w:ascii="宋体"/>
          <w:sz w:val="24"/>
          <w:szCs w:val="24"/>
        </w:rPr>
      </w:pPr>
      <w:r>
        <w:rPr>
          <w:rFonts w:ascii="宋体" w:hAnsi="宋体"/>
          <w:sz w:val="24"/>
          <w:szCs w:val="24"/>
        </w:rPr>
        <w:t>5.2</w:t>
      </w:r>
      <w:r>
        <w:rPr>
          <w:rFonts w:hint="eastAsia" w:ascii="宋体" w:hAnsi="宋体"/>
          <w:sz w:val="24"/>
          <w:szCs w:val="24"/>
        </w:rPr>
        <w:t>电气设备基础验收。</w:t>
      </w:r>
    </w:p>
    <w:p>
      <w:pPr>
        <w:tabs>
          <w:tab w:val="left" w:pos="0"/>
          <w:tab w:val="left" w:pos="1080"/>
        </w:tabs>
        <w:spacing w:line="360" w:lineRule="auto"/>
        <w:rPr>
          <w:rFonts w:hint="eastAsia" w:ascii="宋体" w:eastAsia="宋体"/>
          <w:sz w:val="24"/>
          <w:szCs w:val="24"/>
          <w:lang w:eastAsia="zh-CN"/>
        </w:rPr>
      </w:pPr>
      <w:bookmarkStart w:id="12" w:name="_Toc19841"/>
      <w:bookmarkStart w:id="13" w:name="_Toc24212"/>
      <w:bookmarkStart w:id="14" w:name="_Toc11428"/>
      <w:r>
        <w:rPr>
          <w:rFonts w:ascii="宋体" w:hAnsi="宋体"/>
          <w:sz w:val="24"/>
          <w:szCs w:val="24"/>
        </w:rPr>
        <w:t>5</w:t>
      </w:r>
      <w:r>
        <w:rPr>
          <w:rFonts w:ascii="宋体"/>
          <w:sz w:val="24"/>
          <w:szCs w:val="24"/>
        </w:rPr>
        <w:t>.</w:t>
      </w:r>
      <w:r>
        <w:rPr>
          <w:rFonts w:ascii="宋体" w:hAnsi="宋体"/>
          <w:sz w:val="24"/>
          <w:szCs w:val="24"/>
        </w:rPr>
        <w:t>3</w:t>
      </w:r>
      <w:r>
        <w:rPr>
          <w:rFonts w:hint="eastAsia" w:ascii="宋体" w:hAnsi="宋体"/>
          <w:sz w:val="24"/>
          <w:szCs w:val="24"/>
        </w:rPr>
        <w:t>组件安装</w:t>
      </w:r>
      <w:bookmarkEnd w:id="12"/>
      <w:bookmarkEnd w:id="13"/>
      <w:bookmarkEnd w:id="14"/>
      <w:r>
        <w:rPr>
          <w:rFonts w:hint="eastAsia" w:ascii="宋体" w:hAnsi="宋体"/>
          <w:sz w:val="24"/>
          <w:szCs w:val="24"/>
        </w:rPr>
        <w:t>质量控制</w:t>
      </w:r>
      <w:r>
        <w:rPr>
          <w:rFonts w:hint="eastAsia" w:ascii="宋体" w:hAnsi="宋体"/>
          <w:sz w:val="24"/>
          <w:szCs w:val="24"/>
          <w:lang w:eastAsia="zh-CN"/>
        </w:rPr>
        <w:t>。</w:t>
      </w:r>
      <w:bookmarkStart w:id="51" w:name="_GoBack"/>
      <w:bookmarkEnd w:id="51"/>
    </w:p>
    <w:p>
      <w:pPr>
        <w:tabs>
          <w:tab w:val="left" w:pos="0"/>
          <w:tab w:val="left" w:pos="1080"/>
        </w:tabs>
        <w:spacing w:line="360" w:lineRule="auto"/>
        <w:rPr>
          <w:rFonts w:hint="eastAsia" w:ascii="宋体" w:eastAsia="宋体"/>
          <w:sz w:val="24"/>
          <w:szCs w:val="24"/>
          <w:lang w:eastAsia="zh-CN"/>
        </w:rPr>
      </w:pPr>
      <w:r>
        <w:rPr>
          <w:rFonts w:ascii="宋体" w:hAnsi="宋体"/>
          <w:sz w:val="24"/>
          <w:szCs w:val="24"/>
        </w:rPr>
        <w:t>5.3.1</w:t>
      </w:r>
      <w:r>
        <w:rPr>
          <w:rFonts w:hint="eastAsia" w:ascii="宋体" w:hAnsi="宋体"/>
          <w:sz w:val="24"/>
          <w:szCs w:val="24"/>
        </w:rPr>
        <w:t>安装工艺流程：</w:t>
      </w:r>
      <w:r>
        <w:rPr>
          <w:rFonts w:hint="eastAsia" w:ascii="宋体" w:hAnsi="宋体"/>
          <w:sz w:val="24"/>
          <w:szCs w:val="24"/>
          <w:lang w:val="en-US" w:eastAsia="zh-CN"/>
        </w:rPr>
        <w:t>支架基础预制完成吊装屋面-排放完成-支架安装-</w:t>
      </w:r>
      <w:r>
        <w:rPr>
          <w:rFonts w:hint="eastAsia" w:ascii="宋体" w:hAnsi="宋体"/>
          <w:sz w:val="24"/>
          <w:szCs w:val="24"/>
        </w:rPr>
        <w:t>组件运至施工现场</w:t>
      </w:r>
      <w:r>
        <w:rPr>
          <w:rFonts w:ascii="宋体" w:hAnsi="宋体"/>
          <w:sz w:val="24"/>
          <w:szCs w:val="24"/>
        </w:rPr>
        <w:t xml:space="preserve">       </w:t>
      </w:r>
      <w:r>
        <w:rPr>
          <w:rFonts w:hint="eastAsia" w:ascii="宋体" w:hAnsi="宋体"/>
          <w:sz w:val="24"/>
          <w:szCs w:val="24"/>
        </w:rPr>
        <w:t>组件调平</w:t>
      </w:r>
      <w:r>
        <w:rPr>
          <w:rFonts w:hint="eastAsia" w:ascii="宋体" w:hAnsi="宋体"/>
          <w:sz w:val="24"/>
          <w:szCs w:val="24"/>
          <w:lang w:val="en-US" w:eastAsia="zh-CN"/>
        </w:rPr>
        <w:t>-</w:t>
      </w:r>
      <w:r>
        <w:rPr>
          <w:rFonts w:hint="eastAsia" w:ascii="宋体" w:hAnsi="宋体"/>
          <w:sz w:val="24"/>
          <w:szCs w:val="24"/>
        </w:rPr>
        <w:t>组件螺栓复紧</w:t>
      </w:r>
      <w:r>
        <w:rPr>
          <w:rFonts w:hint="eastAsia" w:ascii="宋体" w:hAnsi="宋体"/>
          <w:sz w:val="24"/>
          <w:szCs w:val="24"/>
          <w:lang w:eastAsia="zh-CN"/>
        </w:rPr>
        <w:t>。</w:t>
      </w:r>
    </w:p>
    <w:p>
      <w:pPr>
        <w:tabs>
          <w:tab w:val="left" w:pos="0"/>
          <w:tab w:val="left" w:pos="1080"/>
        </w:tabs>
        <w:spacing w:line="360" w:lineRule="auto"/>
        <w:rPr>
          <w:rFonts w:ascii="宋体"/>
          <w:sz w:val="24"/>
          <w:szCs w:val="24"/>
        </w:rPr>
      </w:pPr>
      <w:r>
        <w:rPr>
          <w:rFonts w:ascii="宋体" w:hAnsi="宋体"/>
          <w:sz w:val="24"/>
          <w:szCs w:val="24"/>
        </w:rPr>
        <w:t>5.3.2</w:t>
      </w:r>
      <w:r>
        <w:rPr>
          <w:rFonts w:hint="eastAsia" w:ascii="宋体" w:hAnsi="宋体"/>
          <w:sz w:val="24"/>
          <w:szCs w:val="24"/>
        </w:rPr>
        <w:t>组件在存放、搬运、吊装等过程中不得碰撞受损。光伏组件吊装时，其底部要衬垫木，背板面不得受到任何碰撞和重压</w:t>
      </w:r>
      <w:r>
        <w:rPr>
          <w:rFonts w:ascii="宋体"/>
          <w:sz w:val="24"/>
          <w:szCs w:val="24"/>
        </w:rPr>
        <w:t>,</w:t>
      </w:r>
      <w:r>
        <w:rPr>
          <w:rFonts w:hint="eastAsia" w:ascii="宋体" w:hAnsi="宋体"/>
          <w:sz w:val="24"/>
          <w:szCs w:val="24"/>
        </w:rPr>
        <w:t>严禁踩踏和挤压组件。</w:t>
      </w:r>
    </w:p>
    <w:p>
      <w:pPr>
        <w:tabs>
          <w:tab w:val="left" w:pos="0"/>
          <w:tab w:val="left" w:pos="1080"/>
        </w:tabs>
        <w:spacing w:line="360" w:lineRule="auto"/>
        <w:rPr>
          <w:rFonts w:ascii="宋体"/>
          <w:sz w:val="24"/>
          <w:szCs w:val="24"/>
        </w:rPr>
      </w:pPr>
      <w:r>
        <w:rPr>
          <w:rFonts w:ascii="宋体" w:hAnsi="宋体"/>
          <w:sz w:val="24"/>
          <w:szCs w:val="24"/>
        </w:rPr>
        <w:t>5.3.3</w:t>
      </w:r>
      <w:r>
        <w:rPr>
          <w:rFonts w:hint="eastAsia" w:ascii="宋体" w:hAnsi="宋体"/>
          <w:sz w:val="24"/>
          <w:szCs w:val="24"/>
        </w:rPr>
        <w:t>光伏组件横向间隙和纵向间隙满足设计要求，相邻组件间高低差小于</w:t>
      </w:r>
      <w:r>
        <w:rPr>
          <w:rFonts w:ascii="宋体" w:hAnsi="宋体"/>
          <w:sz w:val="24"/>
          <w:szCs w:val="24"/>
        </w:rPr>
        <w:t>2mm</w:t>
      </w:r>
      <w:r>
        <w:rPr>
          <w:rFonts w:hint="eastAsia" w:ascii="宋体" w:hAnsi="宋体"/>
          <w:sz w:val="24"/>
          <w:szCs w:val="24"/>
        </w:rPr>
        <w:t>。</w:t>
      </w:r>
    </w:p>
    <w:p>
      <w:pPr>
        <w:tabs>
          <w:tab w:val="left" w:pos="0"/>
          <w:tab w:val="left" w:pos="1080"/>
        </w:tabs>
        <w:spacing w:line="360" w:lineRule="auto"/>
        <w:rPr>
          <w:rFonts w:ascii="宋体"/>
          <w:sz w:val="24"/>
          <w:szCs w:val="24"/>
        </w:rPr>
      </w:pPr>
      <w:r>
        <w:rPr>
          <w:rFonts w:ascii="宋体" w:hAnsi="宋体"/>
          <w:sz w:val="24"/>
          <w:szCs w:val="24"/>
        </w:rPr>
        <w:t>5.3.4</w:t>
      </w:r>
      <w:r>
        <w:rPr>
          <w:rFonts w:hint="eastAsia" w:ascii="宋体" w:hAnsi="宋体"/>
          <w:sz w:val="24"/>
          <w:szCs w:val="24"/>
        </w:rPr>
        <w:t>光伏组件在安装时表面应铺有效遮光物，防止电击危险。光伏组件的输出电缆不得发生短路。</w:t>
      </w:r>
    </w:p>
    <w:p>
      <w:pPr>
        <w:tabs>
          <w:tab w:val="left" w:pos="0"/>
          <w:tab w:val="left" w:pos="1080"/>
        </w:tabs>
        <w:spacing w:line="360" w:lineRule="auto"/>
        <w:rPr>
          <w:rFonts w:ascii="宋体"/>
          <w:sz w:val="24"/>
          <w:szCs w:val="24"/>
        </w:rPr>
      </w:pPr>
      <w:r>
        <w:rPr>
          <w:rFonts w:ascii="宋体" w:hAnsi="宋体"/>
          <w:sz w:val="24"/>
          <w:szCs w:val="24"/>
        </w:rPr>
        <w:t>5.3.5</w:t>
      </w:r>
      <w:r>
        <w:rPr>
          <w:rFonts w:hint="eastAsia" w:ascii="宋体" w:hAnsi="宋体"/>
          <w:sz w:val="24"/>
          <w:szCs w:val="24"/>
        </w:rPr>
        <w:t>光伏组件与</w:t>
      </w:r>
      <w:r>
        <w:rPr>
          <w:rFonts w:ascii="宋体" w:hAnsi="宋体"/>
          <w:sz w:val="24"/>
          <w:szCs w:val="24"/>
        </w:rPr>
        <w:t>C</w:t>
      </w:r>
      <w:r>
        <w:rPr>
          <w:rFonts w:hint="eastAsia" w:ascii="宋体" w:hAnsi="宋体"/>
          <w:sz w:val="24"/>
          <w:szCs w:val="24"/>
        </w:rPr>
        <w:t>型钢接触面不吻合时，应用金属片调整垫平，方可紧固，严禁强行压紧。</w:t>
      </w:r>
    </w:p>
    <w:p>
      <w:pPr>
        <w:tabs>
          <w:tab w:val="left" w:pos="0"/>
          <w:tab w:val="left" w:pos="1080"/>
        </w:tabs>
        <w:spacing w:line="360" w:lineRule="auto"/>
        <w:rPr>
          <w:rFonts w:ascii="宋体"/>
          <w:sz w:val="24"/>
          <w:szCs w:val="24"/>
        </w:rPr>
      </w:pPr>
      <w:r>
        <w:rPr>
          <w:rFonts w:ascii="宋体" w:hAnsi="宋体"/>
          <w:sz w:val="24"/>
          <w:szCs w:val="24"/>
        </w:rPr>
        <w:t>5.3.6</w:t>
      </w:r>
      <w:r>
        <w:rPr>
          <w:rFonts w:hint="eastAsia" w:ascii="宋体" w:hAnsi="宋体"/>
          <w:sz w:val="24"/>
          <w:szCs w:val="24"/>
        </w:rPr>
        <w:t>连接完成或部分连接完成的光伏组件，遇有光伏组件破裂的情况应及时设置限制接近的措施，并由专业人员处置。</w:t>
      </w:r>
    </w:p>
    <w:p>
      <w:pPr>
        <w:tabs>
          <w:tab w:val="left" w:pos="0"/>
          <w:tab w:val="left" w:pos="1080"/>
        </w:tabs>
        <w:spacing w:line="360" w:lineRule="auto"/>
        <w:rPr>
          <w:rFonts w:ascii="宋体"/>
          <w:sz w:val="24"/>
          <w:szCs w:val="24"/>
        </w:rPr>
      </w:pPr>
      <w:r>
        <w:rPr>
          <w:rFonts w:ascii="宋体" w:hAnsi="宋体"/>
          <w:sz w:val="24"/>
          <w:szCs w:val="24"/>
        </w:rPr>
        <w:t>5.3.7</w:t>
      </w:r>
      <w:r>
        <w:rPr>
          <w:rFonts w:hint="eastAsia" w:ascii="宋体" w:hAnsi="宋体"/>
          <w:sz w:val="24"/>
          <w:szCs w:val="24"/>
        </w:rPr>
        <w:t>接通光伏组件电路后，应注意热斑效应的影响，不得局部遮挡光伏组件。</w:t>
      </w:r>
    </w:p>
    <w:p>
      <w:pPr>
        <w:tabs>
          <w:tab w:val="left" w:pos="0"/>
          <w:tab w:val="left" w:pos="1080"/>
        </w:tabs>
        <w:spacing w:line="360" w:lineRule="auto"/>
        <w:rPr>
          <w:rFonts w:hint="default" w:ascii="宋体" w:eastAsia="宋体"/>
          <w:sz w:val="24"/>
          <w:szCs w:val="24"/>
          <w:lang w:val="en-US" w:eastAsia="zh-CN"/>
        </w:rPr>
      </w:pPr>
      <w:r>
        <w:rPr>
          <w:rFonts w:ascii="宋体" w:hAnsi="宋体"/>
          <w:sz w:val="24"/>
          <w:szCs w:val="24"/>
        </w:rPr>
        <w:t xml:space="preserve">5.3.8 </w:t>
      </w:r>
      <w:r>
        <w:rPr>
          <w:rFonts w:hint="eastAsia" w:ascii="宋体" w:hAnsi="宋体"/>
          <w:sz w:val="24"/>
          <w:szCs w:val="24"/>
        </w:rPr>
        <w:t>光伏组件：</w:t>
      </w:r>
      <w:r>
        <w:rPr>
          <w:rFonts w:hint="eastAsia" w:ascii="宋体" w:hAnsi="宋体"/>
          <w:sz w:val="24"/>
          <w:szCs w:val="24"/>
          <w:lang w:val="en-US" w:eastAsia="zh-CN"/>
        </w:rPr>
        <w:t>580WP高效组件。</w:t>
      </w:r>
    </w:p>
    <w:p>
      <w:pPr>
        <w:tabs>
          <w:tab w:val="left" w:pos="0"/>
          <w:tab w:val="left" w:pos="1080"/>
        </w:tabs>
        <w:spacing w:line="360" w:lineRule="auto"/>
        <w:rPr>
          <w:rFonts w:ascii="宋体"/>
          <w:sz w:val="24"/>
          <w:szCs w:val="24"/>
        </w:rPr>
      </w:pPr>
      <w:bookmarkStart w:id="15" w:name="_Toc19083"/>
      <w:bookmarkStart w:id="16" w:name="_Toc3378"/>
      <w:bookmarkStart w:id="17" w:name="_Toc6451"/>
      <w:bookmarkStart w:id="18" w:name="_Toc12142"/>
      <w:bookmarkStart w:id="19" w:name="_Toc23303"/>
      <w:bookmarkStart w:id="20" w:name="_Toc18760"/>
      <w:bookmarkStart w:id="21" w:name="_Toc16095"/>
      <w:bookmarkStart w:id="22" w:name="_Toc557"/>
      <w:bookmarkStart w:id="23" w:name="_Toc8378"/>
      <w:bookmarkStart w:id="24" w:name="_Toc22529"/>
      <w:bookmarkStart w:id="25" w:name="_Toc24822"/>
      <w:bookmarkStart w:id="26" w:name="_Toc6916"/>
      <w:bookmarkStart w:id="27" w:name="_Toc31821"/>
      <w:bookmarkStart w:id="28" w:name="_Toc32162"/>
      <w:r>
        <w:rPr>
          <w:rFonts w:ascii="宋体" w:hAnsi="宋体"/>
          <w:sz w:val="24"/>
          <w:szCs w:val="24"/>
        </w:rPr>
        <w:t xml:space="preserve">5.4 </w:t>
      </w:r>
      <w:r>
        <w:rPr>
          <w:rFonts w:hint="eastAsia" w:ascii="宋体" w:hAnsi="宋体"/>
          <w:sz w:val="24"/>
          <w:szCs w:val="24"/>
        </w:rPr>
        <w:t>电缆</w:t>
      </w:r>
      <w:bookmarkEnd w:id="15"/>
      <w:bookmarkEnd w:id="16"/>
      <w:bookmarkEnd w:id="17"/>
      <w:bookmarkEnd w:id="18"/>
      <w:bookmarkEnd w:id="19"/>
      <w:bookmarkEnd w:id="20"/>
      <w:bookmarkEnd w:id="21"/>
      <w:bookmarkEnd w:id="22"/>
      <w:r>
        <w:rPr>
          <w:rFonts w:hint="eastAsia" w:ascii="宋体" w:hAnsi="宋体"/>
          <w:sz w:val="24"/>
          <w:szCs w:val="24"/>
        </w:rPr>
        <w:t>施工质量控制</w:t>
      </w:r>
    </w:p>
    <w:p>
      <w:pPr>
        <w:tabs>
          <w:tab w:val="left" w:pos="0"/>
          <w:tab w:val="left" w:pos="1080"/>
        </w:tabs>
        <w:spacing w:line="360" w:lineRule="auto"/>
        <w:rPr>
          <w:rFonts w:ascii="宋体"/>
          <w:sz w:val="24"/>
          <w:szCs w:val="24"/>
        </w:rPr>
      </w:pPr>
      <w:r>
        <w:rPr>
          <w:rFonts w:ascii="宋体" w:hAnsi="宋体"/>
          <w:sz w:val="24"/>
          <w:szCs w:val="24"/>
        </w:rPr>
        <w:t>5.4.1</w:t>
      </w:r>
      <w:r>
        <w:rPr>
          <w:rFonts w:hint="eastAsia" w:ascii="宋体" w:hAnsi="宋体"/>
          <w:sz w:val="24"/>
          <w:szCs w:val="24"/>
        </w:rPr>
        <w:t>电缆桥架安装</w:t>
      </w:r>
    </w:p>
    <w:p>
      <w:pPr>
        <w:tabs>
          <w:tab w:val="left" w:pos="0"/>
          <w:tab w:val="left" w:pos="1080"/>
        </w:tabs>
        <w:spacing w:line="360" w:lineRule="auto"/>
        <w:rPr>
          <w:rFonts w:ascii="宋体"/>
          <w:sz w:val="24"/>
          <w:szCs w:val="24"/>
        </w:rPr>
      </w:pPr>
      <w:r>
        <w:rPr>
          <w:rFonts w:ascii="宋体" w:hAnsi="宋体"/>
          <w:sz w:val="24"/>
          <w:szCs w:val="24"/>
        </w:rPr>
        <w:t>5.4.1.1</w:t>
      </w:r>
      <w:r>
        <w:rPr>
          <w:rFonts w:hint="eastAsia" w:ascii="宋体" w:hAnsi="宋体"/>
          <w:sz w:val="24"/>
          <w:szCs w:val="24"/>
        </w:rPr>
        <w:t>电缆桥架安装前</w:t>
      </w:r>
      <w:r>
        <w:rPr>
          <w:rFonts w:ascii="宋体"/>
          <w:sz w:val="24"/>
          <w:szCs w:val="24"/>
        </w:rPr>
        <w:t>,</w:t>
      </w:r>
      <w:r>
        <w:rPr>
          <w:rFonts w:hint="eastAsia" w:ascii="宋体" w:hAnsi="宋体"/>
          <w:sz w:val="24"/>
          <w:szCs w:val="24"/>
        </w:rPr>
        <w:t>应详细核对电缆桥架的型号、数量是否符合设计要求。检查有无变形，如有变形应做校正处理。桥架安装前应按照图纸要求距离摆放到位。</w:t>
      </w:r>
    </w:p>
    <w:p>
      <w:pPr>
        <w:tabs>
          <w:tab w:val="left" w:pos="0"/>
          <w:tab w:val="left" w:pos="1080"/>
        </w:tabs>
        <w:spacing w:line="360" w:lineRule="auto"/>
        <w:rPr>
          <w:rFonts w:ascii="宋体"/>
          <w:sz w:val="24"/>
          <w:szCs w:val="24"/>
        </w:rPr>
      </w:pPr>
      <w:r>
        <w:rPr>
          <w:rFonts w:ascii="宋体" w:hAnsi="宋体"/>
          <w:sz w:val="24"/>
          <w:szCs w:val="24"/>
        </w:rPr>
        <w:t>5.4.1.2</w:t>
      </w:r>
      <w:r>
        <w:rPr>
          <w:rFonts w:hint="eastAsia" w:ascii="宋体" w:hAnsi="宋体"/>
          <w:sz w:val="24"/>
          <w:szCs w:val="24"/>
        </w:rPr>
        <w:t>按照设计长度、高度、走向将基础槽钢焊接或用螺栓固定在预埋件上，然后连接直线段两端电缆桥架支吊架，使用水平尺检测支吊架的水平度及垂直度，合格后焊接或固定牢固。</w:t>
      </w:r>
    </w:p>
    <w:p>
      <w:pPr>
        <w:tabs>
          <w:tab w:val="left" w:pos="0"/>
          <w:tab w:val="left" w:pos="1080"/>
        </w:tabs>
        <w:spacing w:line="360" w:lineRule="auto"/>
        <w:rPr>
          <w:rFonts w:ascii="宋体"/>
          <w:sz w:val="24"/>
          <w:szCs w:val="24"/>
        </w:rPr>
      </w:pPr>
      <w:r>
        <w:rPr>
          <w:rFonts w:ascii="宋体" w:hAnsi="宋体"/>
          <w:sz w:val="24"/>
          <w:szCs w:val="24"/>
        </w:rPr>
        <w:t>5.4.1.3</w:t>
      </w:r>
      <w:r>
        <w:rPr>
          <w:rFonts w:hint="eastAsia" w:ascii="宋体" w:hAnsi="宋体"/>
          <w:sz w:val="24"/>
          <w:szCs w:val="24"/>
        </w:rPr>
        <w:t>在两端电缆桥架支吊架的上下两平面挂好粉线，以其两点为标准点进行中间电缆桥架支吊架的安装。</w:t>
      </w:r>
    </w:p>
    <w:p>
      <w:pPr>
        <w:tabs>
          <w:tab w:val="left" w:pos="0"/>
          <w:tab w:val="left" w:pos="1080"/>
        </w:tabs>
        <w:spacing w:line="360" w:lineRule="auto"/>
        <w:rPr>
          <w:rFonts w:ascii="宋体"/>
          <w:sz w:val="24"/>
          <w:szCs w:val="24"/>
        </w:rPr>
      </w:pPr>
      <w:r>
        <w:rPr>
          <w:rFonts w:ascii="宋体" w:hAnsi="宋体"/>
          <w:sz w:val="24"/>
          <w:szCs w:val="24"/>
        </w:rPr>
        <w:t>5.4.1.4</w:t>
      </w:r>
      <w:r>
        <w:rPr>
          <w:rFonts w:hint="eastAsia" w:ascii="宋体" w:hAnsi="宋体"/>
          <w:sz w:val="24"/>
          <w:szCs w:val="24"/>
        </w:rPr>
        <w:t>按照设计将梯形、槽式电缆桥架放置在支吊架上，接口处用连板连接，连接螺栓紧固。转弯处使用弯通、三通、四通进行连接。</w:t>
      </w:r>
    </w:p>
    <w:p>
      <w:pPr>
        <w:tabs>
          <w:tab w:val="left" w:pos="0"/>
          <w:tab w:val="left" w:pos="1080"/>
        </w:tabs>
        <w:spacing w:line="360" w:lineRule="auto"/>
        <w:rPr>
          <w:rFonts w:ascii="宋体"/>
          <w:sz w:val="24"/>
          <w:szCs w:val="24"/>
        </w:rPr>
      </w:pPr>
      <w:r>
        <w:rPr>
          <w:rFonts w:ascii="宋体" w:hAnsi="宋体"/>
          <w:sz w:val="24"/>
          <w:szCs w:val="24"/>
        </w:rPr>
        <w:t>5.4.1.5</w:t>
      </w:r>
      <w:r>
        <w:rPr>
          <w:rFonts w:hint="eastAsia" w:ascii="宋体" w:hAnsi="宋体"/>
          <w:sz w:val="24"/>
          <w:szCs w:val="24"/>
        </w:rPr>
        <w:t>其它直线段电缆桥架支吊架以此方法焊接，保证同一设计标高的各层支吊架高度一致。电缆桥架连接完毕后进行桥架接地线的焊接。对所有焊接部位进行防腐处理。</w:t>
      </w:r>
    </w:p>
    <w:p>
      <w:pPr>
        <w:tabs>
          <w:tab w:val="left" w:pos="0"/>
          <w:tab w:val="left" w:pos="1080"/>
        </w:tabs>
        <w:spacing w:line="360" w:lineRule="auto"/>
        <w:rPr>
          <w:rFonts w:ascii="宋体"/>
          <w:sz w:val="24"/>
          <w:szCs w:val="24"/>
        </w:rPr>
      </w:pPr>
      <w:r>
        <w:rPr>
          <w:rFonts w:ascii="宋体" w:hAnsi="宋体"/>
          <w:sz w:val="24"/>
          <w:szCs w:val="24"/>
        </w:rPr>
        <w:t>5.4.2</w:t>
      </w:r>
      <w:r>
        <w:rPr>
          <w:rFonts w:hint="eastAsia" w:ascii="宋体" w:hAnsi="宋体"/>
          <w:sz w:val="24"/>
          <w:szCs w:val="24"/>
        </w:rPr>
        <w:t>电缆管安装</w:t>
      </w:r>
    </w:p>
    <w:p>
      <w:pPr>
        <w:tabs>
          <w:tab w:val="left" w:pos="0"/>
          <w:tab w:val="left" w:pos="600"/>
        </w:tabs>
        <w:spacing w:line="360" w:lineRule="auto"/>
        <w:rPr>
          <w:rFonts w:ascii="宋体"/>
          <w:sz w:val="24"/>
          <w:szCs w:val="24"/>
        </w:rPr>
      </w:pPr>
      <w:r>
        <w:rPr>
          <w:rFonts w:ascii="宋体" w:hAnsi="宋体"/>
          <w:sz w:val="24"/>
          <w:szCs w:val="24"/>
        </w:rPr>
        <w:t>5.4.2.1</w:t>
      </w:r>
      <w:r>
        <w:rPr>
          <w:rFonts w:hint="eastAsia" w:ascii="宋体" w:hAnsi="宋体"/>
          <w:sz w:val="24"/>
          <w:szCs w:val="24"/>
        </w:rPr>
        <w:t>按照设计要求切割电缆管，切割后的电缆管，应用锉刀把管口打磨干净，管口应无毛刺和尖锐棱角。</w:t>
      </w:r>
    </w:p>
    <w:p>
      <w:pPr>
        <w:tabs>
          <w:tab w:val="left" w:pos="0"/>
          <w:tab w:val="left" w:pos="1080"/>
        </w:tabs>
        <w:spacing w:line="360" w:lineRule="auto"/>
        <w:rPr>
          <w:rFonts w:ascii="宋体"/>
          <w:sz w:val="24"/>
          <w:szCs w:val="24"/>
        </w:rPr>
      </w:pPr>
      <w:r>
        <w:rPr>
          <w:rFonts w:ascii="宋体" w:hAnsi="宋体"/>
          <w:sz w:val="24"/>
          <w:szCs w:val="24"/>
        </w:rPr>
        <w:t>5.4.2.2</w:t>
      </w:r>
      <w:r>
        <w:rPr>
          <w:rFonts w:hint="eastAsia" w:ascii="宋体" w:hAnsi="宋体"/>
          <w:sz w:val="24"/>
          <w:szCs w:val="24"/>
        </w:rPr>
        <w:t>管材弯制前需按图量好尺寸，然后进行弯制。管材的弯曲半径不应小于管外径的</w:t>
      </w:r>
      <w:r>
        <w:rPr>
          <w:rFonts w:ascii="宋体" w:hAnsi="宋体"/>
          <w:sz w:val="24"/>
          <w:szCs w:val="24"/>
        </w:rPr>
        <w:t>6</w:t>
      </w:r>
      <w:r>
        <w:rPr>
          <w:rFonts w:hint="eastAsia" w:ascii="宋体" w:hAnsi="宋体"/>
          <w:sz w:val="24"/>
          <w:szCs w:val="24"/>
        </w:rPr>
        <w:t>倍。</w:t>
      </w:r>
    </w:p>
    <w:p>
      <w:pPr>
        <w:tabs>
          <w:tab w:val="left" w:pos="0"/>
          <w:tab w:val="left" w:pos="1080"/>
        </w:tabs>
        <w:spacing w:line="360" w:lineRule="auto"/>
        <w:rPr>
          <w:rFonts w:ascii="宋体"/>
          <w:sz w:val="24"/>
          <w:szCs w:val="24"/>
        </w:rPr>
      </w:pPr>
      <w:r>
        <w:rPr>
          <w:rFonts w:ascii="宋体" w:hAnsi="宋体"/>
          <w:sz w:val="24"/>
          <w:szCs w:val="24"/>
        </w:rPr>
        <w:t>5.4.2.3</w:t>
      </w:r>
      <w:r>
        <w:rPr>
          <w:rFonts w:hint="eastAsia" w:ascii="宋体" w:hAnsi="宋体"/>
          <w:sz w:val="24"/>
          <w:szCs w:val="24"/>
        </w:rPr>
        <w:t>将弯制好的电缆管与直管或弯管按照施工图纸连接好。电缆管连接应牢固，密封应良好。套接的套管长度应大于电缆管外径的</w:t>
      </w:r>
      <w:r>
        <w:rPr>
          <w:rFonts w:ascii="宋体" w:hAnsi="宋体"/>
          <w:sz w:val="24"/>
          <w:szCs w:val="24"/>
        </w:rPr>
        <w:t>2.2</w:t>
      </w:r>
      <w:r>
        <w:rPr>
          <w:rFonts w:hint="eastAsia" w:ascii="宋体" w:hAnsi="宋体"/>
          <w:sz w:val="24"/>
          <w:szCs w:val="24"/>
        </w:rPr>
        <w:t>倍。</w:t>
      </w:r>
    </w:p>
    <w:p>
      <w:pPr>
        <w:tabs>
          <w:tab w:val="left" w:pos="0"/>
          <w:tab w:val="left" w:pos="1080"/>
        </w:tabs>
        <w:spacing w:line="360" w:lineRule="auto"/>
        <w:rPr>
          <w:rFonts w:ascii="宋体"/>
          <w:sz w:val="24"/>
          <w:szCs w:val="24"/>
        </w:rPr>
      </w:pPr>
      <w:r>
        <w:rPr>
          <w:rFonts w:ascii="宋体" w:hAnsi="宋体"/>
          <w:sz w:val="24"/>
          <w:szCs w:val="24"/>
        </w:rPr>
        <w:t>5.4.2.4</w:t>
      </w:r>
      <w:r>
        <w:rPr>
          <w:rFonts w:hint="eastAsia" w:ascii="宋体" w:hAnsi="宋体"/>
          <w:sz w:val="24"/>
          <w:szCs w:val="24"/>
        </w:rPr>
        <w:t>按照设计位置，电缆管固定牢固。电缆管应横平竖直，间距均匀一致，排管排列整齐，弯管弯度一致，固定牢固，附件齐全，接地可靠。</w:t>
      </w:r>
    </w:p>
    <w:p>
      <w:pPr>
        <w:tabs>
          <w:tab w:val="left" w:pos="0"/>
          <w:tab w:val="left" w:pos="1080"/>
        </w:tabs>
        <w:spacing w:line="360" w:lineRule="auto"/>
        <w:rPr>
          <w:rFonts w:ascii="宋体"/>
          <w:sz w:val="24"/>
          <w:szCs w:val="24"/>
        </w:rPr>
      </w:pPr>
      <w:r>
        <w:rPr>
          <w:rFonts w:ascii="宋体" w:hAnsi="宋体"/>
          <w:sz w:val="24"/>
          <w:szCs w:val="24"/>
        </w:rPr>
        <w:t>5.4.2.5</w:t>
      </w:r>
      <w:r>
        <w:rPr>
          <w:rFonts w:hint="eastAsia" w:ascii="宋体" w:hAnsi="宋体"/>
          <w:sz w:val="24"/>
          <w:szCs w:val="24"/>
        </w:rPr>
        <w:t>敷设完毕的电缆管，管口应密封好，防止掉进杂物堵塞电缆管。</w:t>
      </w:r>
    </w:p>
    <w:p>
      <w:pPr>
        <w:tabs>
          <w:tab w:val="left" w:pos="0"/>
          <w:tab w:val="left" w:pos="600"/>
        </w:tabs>
        <w:spacing w:line="360" w:lineRule="auto"/>
        <w:rPr>
          <w:rFonts w:ascii="宋体"/>
          <w:sz w:val="24"/>
          <w:szCs w:val="24"/>
        </w:rPr>
      </w:pPr>
      <w:r>
        <w:rPr>
          <w:rFonts w:ascii="宋体" w:hAnsi="宋体"/>
          <w:sz w:val="24"/>
          <w:szCs w:val="24"/>
        </w:rPr>
        <w:t>5.4.3</w:t>
      </w:r>
      <w:r>
        <w:rPr>
          <w:rFonts w:hint="eastAsia" w:ascii="宋体" w:hAnsi="宋体"/>
          <w:sz w:val="24"/>
          <w:szCs w:val="24"/>
        </w:rPr>
        <w:t>电缆敷设</w:t>
      </w:r>
    </w:p>
    <w:p>
      <w:pPr>
        <w:tabs>
          <w:tab w:val="left" w:pos="0"/>
          <w:tab w:val="left" w:pos="1080"/>
        </w:tabs>
        <w:spacing w:line="360" w:lineRule="auto"/>
        <w:rPr>
          <w:rFonts w:ascii="宋体"/>
          <w:sz w:val="24"/>
          <w:szCs w:val="24"/>
        </w:rPr>
      </w:pPr>
      <w:r>
        <w:rPr>
          <w:rFonts w:ascii="宋体" w:hAnsi="宋体"/>
          <w:sz w:val="24"/>
          <w:szCs w:val="24"/>
        </w:rPr>
        <w:t>5.4.3.1</w:t>
      </w:r>
      <w:r>
        <w:rPr>
          <w:rFonts w:hint="eastAsia" w:ascii="宋体" w:hAnsi="宋体"/>
          <w:sz w:val="24"/>
          <w:szCs w:val="24"/>
        </w:rPr>
        <w:t>电缆盘应提前运至现场。应详细核对电缆的型号、数量是否符合设计要求。电缆外观应无损伤，绝缘良好。当对电缆的密封有怀疑时，应进行潮湿判断。</w:t>
      </w:r>
    </w:p>
    <w:p>
      <w:pPr>
        <w:tabs>
          <w:tab w:val="left" w:pos="0"/>
          <w:tab w:val="left" w:pos="600"/>
        </w:tabs>
        <w:spacing w:line="360" w:lineRule="auto"/>
        <w:rPr>
          <w:rFonts w:ascii="宋体"/>
          <w:sz w:val="24"/>
          <w:szCs w:val="24"/>
        </w:rPr>
      </w:pPr>
      <w:r>
        <w:rPr>
          <w:rFonts w:ascii="宋体" w:hAnsi="宋体"/>
          <w:sz w:val="24"/>
          <w:szCs w:val="24"/>
        </w:rPr>
        <w:t>5.4.3.2</w:t>
      </w:r>
      <w:r>
        <w:rPr>
          <w:rFonts w:hint="eastAsia" w:ascii="宋体" w:hAnsi="宋体"/>
          <w:sz w:val="24"/>
          <w:szCs w:val="24"/>
        </w:rPr>
        <w:t>将电缆盘放在平稳坚实的盘架上，钢轴的强度应能承载电缆盘的重量。电缆要从盘的上端引出且不能与支架及地面有摩擦，不能有铠装压扁，电缆，光缆绞拧，护层折裂等机械损伤。电缆敷设通道畅通，排水良好。电缆支架的防腐层完整符合要求。电缆敷设前应按照设计和实际路径计算每根电缆的长度，合理安排每盘电缆，减少电缆的中间接头。</w:t>
      </w:r>
    </w:p>
    <w:p>
      <w:pPr>
        <w:tabs>
          <w:tab w:val="left" w:pos="0"/>
          <w:tab w:val="left" w:pos="1080"/>
        </w:tabs>
        <w:spacing w:line="360" w:lineRule="auto"/>
        <w:rPr>
          <w:rFonts w:ascii="宋体"/>
          <w:sz w:val="24"/>
          <w:szCs w:val="24"/>
        </w:rPr>
      </w:pPr>
      <w:r>
        <w:rPr>
          <w:rFonts w:ascii="宋体" w:hAnsi="宋体"/>
          <w:sz w:val="24"/>
          <w:szCs w:val="24"/>
        </w:rPr>
        <w:t>5.4.3.3</w:t>
      </w:r>
      <w:r>
        <w:rPr>
          <w:rFonts w:hint="eastAsia" w:ascii="宋体" w:hAnsi="宋体"/>
          <w:sz w:val="24"/>
          <w:szCs w:val="24"/>
        </w:rPr>
        <w:t>电缆的敷设要有专人负责，并在专人统一指挥下有序的进行。合理安排敷设人员，人员站位不应过密或过疏。</w:t>
      </w:r>
    </w:p>
    <w:p>
      <w:pPr>
        <w:tabs>
          <w:tab w:val="left" w:pos="0"/>
          <w:tab w:val="left" w:pos="600"/>
        </w:tabs>
        <w:spacing w:line="360" w:lineRule="auto"/>
        <w:rPr>
          <w:rFonts w:ascii="宋体"/>
          <w:sz w:val="24"/>
          <w:szCs w:val="24"/>
        </w:rPr>
      </w:pPr>
      <w:r>
        <w:rPr>
          <w:rFonts w:ascii="宋体" w:hAnsi="宋体"/>
          <w:sz w:val="24"/>
          <w:szCs w:val="24"/>
        </w:rPr>
        <w:t>5.4.3.4</w:t>
      </w:r>
      <w:r>
        <w:rPr>
          <w:rFonts w:hint="eastAsia" w:ascii="宋体" w:hAnsi="宋体"/>
          <w:sz w:val="24"/>
          <w:szCs w:val="24"/>
        </w:rPr>
        <w:t>按设计要求分层敷设电缆，电缆在电缆架内摆放整齐，转角处留有裕度且电缆不得交叉，转角处两侧用卡带将电缆固定牢固，电缆弯曲半径符合规范要求。电缆敷设到终端留有备用长度切断后应立即封好。</w:t>
      </w:r>
    </w:p>
    <w:p>
      <w:pPr>
        <w:tabs>
          <w:tab w:val="left" w:pos="0"/>
          <w:tab w:val="left" w:pos="600"/>
        </w:tabs>
        <w:spacing w:line="360" w:lineRule="auto"/>
        <w:rPr>
          <w:rFonts w:ascii="宋体"/>
          <w:sz w:val="24"/>
          <w:szCs w:val="24"/>
        </w:rPr>
      </w:pPr>
      <w:r>
        <w:rPr>
          <w:rFonts w:ascii="宋体" w:hAnsi="宋体"/>
          <w:sz w:val="24"/>
          <w:szCs w:val="24"/>
        </w:rPr>
        <w:t>5.4.3.5</w:t>
      </w:r>
      <w:r>
        <w:rPr>
          <w:rFonts w:hint="eastAsia" w:ascii="宋体" w:hAnsi="宋体"/>
          <w:sz w:val="24"/>
          <w:szCs w:val="24"/>
        </w:rPr>
        <w:t>每一根电缆挂标识牌，电缆标识牌必需标注电缆起止点，电缆型号及电缆标号，电缆牌要经久耐用，设备移交时所有电缆牌不得用临时电缆牌，需为永久电缆牌且所有电缆牌一致。同一盘内的电缆排挂设高度相同，且电缆排均应挂设在电缆束的外围，便于查找。电缆牌上的字体规整，不得手写。</w:t>
      </w:r>
    </w:p>
    <w:p>
      <w:pPr>
        <w:tabs>
          <w:tab w:val="left" w:pos="0"/>
          <w:tab w:val="left" w:pos="600"/>
        </w:tabs>
        <w:spacing w:line="360" w:lineRule="auto"/>
        <w:rPr>
          <w:rFonts w:ascii="宋体"/>
          <w:sz w:val="24"/>
          <w:szCs w:val="24"/>
        </w:rPr>
      </w:pPr>
      <w:r>
        <w:rPr>
          <w:rFonts w:ascii="宋体" w:hAnsi="宋体"/>
          <w:sz w:val="24"/>
          <w:szCs w:val="24"/>
        </w:rPr>
        <w:t>5.4.3.6</w:t>
      </w:r>
      <w:r>
        <w:rPr>
          <w:rFonts w:hint="eastAsia" w:ascii="宋体" w:hAnsi="宋体"/>
          <w:sz w:val="24"/>
          <w:szCs w:val="24"/>
        </w:rPr>
        <w:t>直埋电缆敷设，电缆沟深度符合规范或设计要求，电缆下方应铺填</w:t>
      </w:r>
      <w:r>
        <w:rPr>
          <w:rFonts w:ascii="宋体" w:hAnsi="宋体"/>
          <w:sz w:val="24"/>
          <w:szCs w:val="24"/>
        </w:rPr>
        <w:t>10cm</w:t>
      </w:r>
      <w:r>
        <w:rPr>
          <w:rFonts w:hint="eastAsia" w:ascii="宋体" w:hAnsi="宋体"/>
          <w:sz w:val="24"/>
          <w:szCs w:val="24"/>
        </w:rPr>
        <w:t>的细沙，上方铺填</w:t>
      </w:r>
      <w:r>
        <w:rPr>
          <w:rFonts w:ascii="宋体" w:hAnsi="宋体"/>
          <w:sz w:val="24"/>
          <w:szCs w:val="24"/>
        </w:rPr>
        <w:t>20cm</w:t>
      </w:r>
      <w:r>
        <w:rPr>
          <w:rFonts w:hint="eastAsia" w:ascii="宋体" w:hAnsi="宋体"/>
          <w:sz w:val="24"/>
          <w:szCs w:val="24"/>
        </w:rPr>
        <w:t>的细沙，并有防止挖掘的措施。</w:t>
      </w:r>
    </w:p>
    <w:p>
      <w:pPr>
        <w:tabs>
          <w:tab w:val="left" w:pos="0"/>
          <w:tab w:val="left" w:pos="600"/>
        </w:tabs>
        <w:spacing w:line="360" w:lineRule="auto"/>
        <w:rPr>
          <w:rFonts w:ascii="宋体"/>
          <w:sz w:val="24"/>
          <w:szCs w:val="24"/>
        </w:rPr>
      </w:pPr>
      <w:r>
        <w:rPr>
          <w:rFonts w:ascii="宋体"/>
          <w:sz w:val="24"/>
          <w:szCs w:val="24"/>
        </w:rPr>
        <w:t xml:space="preserve">5.4.3.7 </w:t>
      </w:r>
      <w:r>
        <w:rPr>
          <w:rFonts w:hint="eastAsia" w:ascii="宋体" w:hAnsi="宋体"/>
          <w:sz w:val="24"/>
          <w:szCs w:val="24"/>
        </w:rPr>
        <w:t>电缆接引时在接触面涂抹导电膏，且接线牢固可靠，相序正确。线芯间应有空气间隙或增加绝缘隔离措施。</w:t>
      </w:r>
    </w:p>
    <w:p>
      <w:pPr>
        <w:tabs>
          <w:tab w:val="left" w:pos="0"/>
          <w:tab w:val="left" w:pos="1080"/>
        </w:tabs>
        <w:spacing w:line="360" w:lineRule="auto"/>
        <w:rPr>
          <w:rFonts w:ascii="宋体"/>
          <w:sz w:val="24"/>
          <w:szCs w:val="24"/>
        </w:rPr>
      </w:pPr>
      <w:r>
        <w:rPr>
          <w:rFonts w:ascii="宋体" w:hAnsi="宋体"/>
          <w:sz w:val="24"/>
          <w:szCs w:val="24"/>
        </w:rPr>
        <w:t>5.4.3.8</w:t>
      </w:r>
      <w:r>
        <w:rPr>
          <w:rFonts w:hint="eastAsia" w:ascii="宋体" w:hAnsi="宋体"/>
          <w:sz w:val="24"/>
          <w:szCs w:val="24"/>
        </w:rPr>
        <w:t>所有保护系统控制电缆屏蔽层两侧均应可靠接地。</w:t>
      </w:r>
    </w:p>
    <w:p>
      <w:pPr>
        <w:tabs>
          <w:tab w:val="left" w:pos="0"/>
          <w:tab w:val="left" w:pos="600"/>
        </w:tabs>
        <w:spacing w:line="360" w:lineRule="auto"/>
        <w:rPr>
          <w:rFonts w:ascii="宋体" w:hAnsi="宋体"/>
          <w:sz w:val="24"/>
          <w:szCs w:val="24"/>
        </w:rPr>
      </w:pPr>
      <w:r>
        <w:rPr>
          <w:rFonts w:ascii="宋体" w:hAnsi="宋体"/>
          <w:sz w:val="24"/>
          <w:szCs w:val="24"/>
        </w:rPr>
        <w:t>5.4.3.9</w:t>
      </w:r>
      <w:r>
        <w:rPr>
          <w:rFonts w:hint="eastAsia" w:ascii="宋体" w:hAnsi="宋体"/>
          <w:sz w:val="24"/>
          <w:szCs w:val="24"/>
        </w:rPr>
        <w:t>电缆按照消防要求进行防火处理，盘柜接线完毕后，用专用封堵材料对电缆孔洞进行封堵。</w:t>
      </w:r>
    </w:p>
    <w:p>
      <w:pPr>
        <w:tabs>
          <w:tab w:val="left" w:pos="0"/>
          <w:tab w:val="left" w:pos="1080"/>
        </w:tabs>
        <w:spacing w:line="360" w:lineRule="auto"/>
        <w:rPr>
          <w:rFonts w:ascii="宋体"/>
          <w:sz w:val="24"/>
          <w:szCs w:val="24"/>
        </w:rPr>
      </w:pPr>
      <w:r>
        <w:rPr>
          <w:rFonts w:hint="eastAsia" w:ascii="宋体" w:hAnsi="宋体"/>
          <w:sz w:val="24"/>
          <w:szCs w:val="24"/>
        </w:rPr>
        <w:t>电缆平行、交叉时的最小净距（</w:t>
      </w:r>
      <w:r>
        <w:rPr>
          <w:rFonts w:ascii="宋体" w:hAnsi="宋体"/>
          <w:sz w:val="24"/>
          <w:szCs w:val="24"/>
        </w:rPr>
        <w:t>mm</w:t>
      </w:r>
      <w:r>
        <w:rPr>
          <w:rFonts w:hint="eastAsia" w:ascii="宋体" w:hAnsi="宋体"/>
          <w:sz w:val="24"/>
          <w:szCs w:val="24"/>
        </w:rPr>
        <w:t>）</w:t>
      </w:r>
    </w:p>
    <w:tbl>
      <w:tblPr>
        <w:tblStyle w:val="9"/>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8"/>
        <w:gridCol w:w="162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8" w:type="dxa"/>
            <w:gridSpan w:val="2"/>
            <w:vMerge w:val="restart"/>
            <w:vAlign w:val="center"/>
          </w:tcPr>
          <w:p>
            <w:pPr>
              <w:tabs>
                <w:tab w:val="left" w:pos="0"/>
                <w:tab w:val="left" w:pos="1080"/>
              </w:tabs>
              <w:spacing w:line="360" w:lineRule="auto"/>
              <w:jc w:val="center"/>
              <w:rPr>
                <w:rFonts w:ascii="宋体"/>
                <w:sz w:val="24"/>
                <w:szCs w:val="24"/>
              </w:rPr>
            </w:pPr>
            <w:r>
              <w:rPr>
                <w:rFonts w:hint="eastAsia" w:ascii="宋体"/>
                <w:sz w:val="24"/>
                <w:szCs w:val="24"/>
              </w:rPr>
              <w:t>项</w:t>
            </w:r>
            <w:r>
              <w:rPr>
                <w:rFonts w:ascii="宋体"/>
                <w:sz w:val="24"/>
                <w:szCs w:val="24"/>
              </w:rPr>
              <w:t xml:space="preserve">     </w:t>
            </w:r>
            <w:r>
              <w:rPr>
                <w:rFonts w:hint="eastAsia" w:ascii="宋体"/>
                <w:sz w:val="24"/>
                <w:szCs w:val="24"/>
              </w:rPr>
              <w:t>目</w:t>
            </w:r>
          </w:p>
        </w:tc>
        <w:tc>
          <w:tcPr>
            <w:tcW w:w="3060" w:type="dxa"/>
            <w:gridSpan w:val="2"/>
            <w:vAlign w:val="center"/>
          </w:tcPr>
          <w:p>
            <w:pPr>
              <w:tabs>
                <w:tab w:val="left" w:pos="0"/>
                <w:tab w:val="left" w:pos="1080"/>
              </w:tabs>
              <w:spacing w:line="360" w:lineRule="auto"/>
              <w:jc w:val="center"/>
              <w:rPr>
                <w:rFonts w:ascii="宋体"/>
                <w:sz w:val="24"/>
                <w:szCs w:val="24"/>
              </w:rPr>
            </w:pPr>
            <w:r>
              <w:rPr>
                <w:rFonts w:hint="eastAsia" w:ascii="宋体"/>
                <w:sz w:val="24"/>
                <w:szCs w:val="24"/>
              </w:rPr>
              <w:t>最小净距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8" w:type="dxa"/>
            <w:gridSpan w:val="2"/>
            <w:vMerge w:val="continue"/>
            <w:vAlign w:val="center"/>
          </w:tcPr>
          <w:p>
            <w:pPr>
              <w:tabs>
                <w:tab w:val="left" w:pos="0"/>
                <w:tab w:val="left" w:pos="1080"/>
              </w:tabs>
              <w:spacing w:line="360" w:lineRule="auto"/>
              <w:jc w:val="center"/>
              <w:rPr>
                <w:rFonts w:ascii="宋体"/>
                <w:sz w:val="24"/>
                <w:szCs w:val="24"/>
              </w:rPr>
            </w:pPr>
          </w:p>
        </w:tc>
        <w:tc>
          <w:tcPr>
            <w:tcW w:w="1440" w:type="dxa"/>
            <w:vAlign w:val="center"/>
          </w:tcPr>
          <w:p>
            <w:pPr>
              <w:tabs>
                <w:tab w:val="left" w:pos="0"/>
                <w:tab w:val="left" w:pos="1080"/>
              </w:tabs>
              <w:spacing w:line="360" w:lineRule="auto"/>
              <w:jc w:val="center"/>
              <w:rPr>
                <w:rFonts w:ascii="宋体"/>
                <w:sz w:val="24"/>
                <w:szCs w:val="24"/>
              </w:rPr>
            </w:pPr>
            <w:r>
              <w:rPr>
                <w:rFonts w:hint="eastAsia" w:ascii="宋体"/>
                <w:sz w:val="24"/>
                <w:szCs w:val="24"/>
              </w:rPr>
              <w:t>平行</w:t>
            </w:r>
          </w:p>
        </w:tc>
        <w:tc>
          <w:tcPr>
            <w:tcW w:w="1620" w:type="dxa"/>
            <w:vAlign w:val="center"/>
          </w:tcPr>
          <w:p>
            <w:pPr>
              <w:tabs>
                <w:tab w:val="left" w:pos="0"/>
                <w:tab w:val="left" w:pos="1080"/>
              </w:tabs>
              <w:spacing w:line="360" w:lineRule="auto"/>
              <w:jc w:val="center"/>
              <w:rPr>
                <w:rFonts w:ascii="宋体"/>
                <w:sz w:val="24"/>
                <w:szCs w:val="24"/>
              </w:rPr>
            </w:pPr>
            <w:r>
              <w:rPr>
                <w:rFonts w:hint="eastAsia" w:ascii="宋体"/>
                <w:sz w:val="24"/>
                <w:szCs w:val="24"/>
              </w:rPr>
              <w:t>交叉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vMerge w:val="restart"/>
            <w:vAlign w:val="center"/>
          </w:tcPr>
          <w:p>
            <w:pPr>
              <w:tabs>
                <w:tab w:val="left" w:pos="0"/>
                <w:tab w:val="left" w:pos="1080"/>
              </w:tabs>
              <w:spacing w:line="360" w:lineRule="auto"/>
              <w:jc w:val="center"/>
              <w:rPr>
                <w:rFonts w:ascii="宋体"/>
                <w:sz w:val="24"/>
                <w:szCs w:val="24"/>
              </w:rPr>
            </w:pPr>
            <w:r>
              <w:rPr>
                <w:rFonts w:hint="eastAsia" w:ascii="宋体"/>
                <w:sz w:val="24"/>
                <w:szCs w:val="24"/>
              </w:rPr>
              <w:t>电力电缆间及控制电缆间</w:t>
            </w:r>
          </w:p>
        </w:tc>
        <w:tc>
          <w:tcPr>
            <w:tcW w:w="1620" w:type="dxa"/>
            <w:vAlign w:val="center"/>
          </w:tcPr>
          <w:p>
            <w:pPr>
              <w:tabs>
                <w:tab w:val="left" w:pos="0"/>
                <w:tab w:val="left" w:pos="1080"/>
              </w:tabs>
              <w:spacing w:line="360" w:lineRule="auto"/>
              <w:jc w:val="center"/>
              <w:rPr>
                <w:rFonts w:ascii="宋体"/>
                <w:sz w:val="24"/>
                <w:szCs w:val="24"/>
              </w:rPr>
            </w:pPr>
            <w:r>
              <w:rPr>
                <w:rFonts w:ascii="宋体"/>
                <w:sz w:val="24"/>
                <w:szCs w:val="24"/>
              </w:rPr>
              <w:t>10kV</w:t>
            </w:r>
            <w:r>
              <w:rPr>
                <w:rFonts w:hint="eastAsia" w:ascii="宋体"/>
                <w:sz w:val="24"/>
                <w:szCs w:val="24"/>
              </w:rPr>
              <w:t>及以下</w:t>
            </w:r>
          </w:p>
        </w:tc>
        <w:tc>
          <w:tcPr>
            <w:tcW w:w="1440" w:type="dxa"/>
            <w:vAlign w:val="center"/>
          </w:tcPr>
          <w:p>
            <w:pPr>
              <w:tabs>
                <w:tab w:val="left" w:pos="0"/>
                <w:tab w:val="left" w:pos="1080"/>
              </w:tabs>
              <w:spacing w:line="360" w:lineRule="auto"/>
              <w:jc w:val="center"/>
              <w:rPr>
                <w:rFonts w:ascii="宋体"/>
                <w:sz w:val="24"/>
                <w:szCs w:val="24"/>
              </w:rPr>
            </w:pPr>
            <w:r>
              <w:rPr>
                <w:rFonts w:ascii="宋体"/>
                <w:sz w:val="24"/>
                <w:szCs w:val="24"/>
              </w:rPr>
              <w:t>0.10</w:t>
            </w:r>
          </w:p>
        </w:tc>
        <w:tc>
          <w:tcPr>
            <w:tcW w:w="1620" w:type="dxa"/>
            <w:vAlign w:val="center"/>
          </w:tcPr>
          <w:p>
            <w:pPr>
              <w:tabs>
                <w:tab w:val="left" w:pos="0"/>
                <w:tab w:val="left" w:pos="1080"/>
              </w:tabs>
              <w:spacing w:line="360" w:lineRule="auto"/>
              <w:jc w:val="center"/>
              <w:rPr>
                <w:rFonts w:ascii="宋体"/>
                <w:sz w:val="24"/>
                <w:szCs w:val="24"/>
              </w:rPr>
            </w:pPr>
            <w:r>
              <w:rPr>
                <w:rFonts w:ascii="宋体"/>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vMerge w:val="continue"/>
            <w:vAlign w:val="center"/>
          </w:tcPr>
          <w:p>
            <w:pPr>
              <w:tabs>
                <w:tab w:val="left" w:pos="0"/>
                <w:tab w:val="left" w:pos="1080"/>
              </w:tabs>
              <w:spacing w:line="360" w:lineRule="auto"/>
              <w:jc w:val="center"/>
              <w:rPr>
                <w:rFonts w:ascii="宋体"/>
                <w:sz w:val="24"/>
                <w:szCs w:val="24"/>
              </w:rPr>
            </w:pPr>
          </w:p>
        </w:tc>
        <w:tc>
          <w:tcPr>
            <w:tcW w:w="1620" w:type="dxa"/>
            <w:vAlign w:val="center"/>
          </w:tcPr>
          <w:p>
            <w:pPr>
              <w:tabs>
                <w:tab w:val="left" w:pos="0"/>
                <w:tab w:val="left" w:pos="1080"/>
              </w:tabs>
              <w:spacing w:line="360" w:lineRule="auto"/>
              <w:jc w:val="center"/>
              <w:rPr>
                <w:rFonts w:ascii="宋体"/>
                <w:sz w:val="24"/>
                <w:szCs w:val="24"/>
              </w:rPr>
            </w:pPr>
            <w:r>
              <w:rPr>
                <w:rFonts w:ascii="宋体"/>
                <w:sz w:val="24"/>
                <w:szCs w:val="24"/>
              </w:rPr>
              <w:t>10kV</w:t>
            </w:r>
            <w:r>
              <w:rPr>
                <w:rFonts w:hint="eastAsia" w:ascii="宋体"/>
                <w:sz w:val="24"/>
                <w:szCs w:val="24"/>
              </w:rPr>
              <w:t>以上</w:t>
            </w:r>
          </w:p>
        </w:tc>
        <w:tc>
          <w:tcPr>
            <w:tcW w:w="1440" w:type="dxa"/>
            <w:vAlign w:val="center"/>
          </w:tcPr>
          <w:p>
            <w:pPr>
              <w:tabs>
                <w:tab w:val="left" w:pos="0"/>
                <w:tab w:val="left" w:pos="1080"/>
              </w:tabs>
              <w:spacing w:line="360" w:lineRule="auto"/>
              <w:jc w:val="center"/>
              <w:rPr>
                <w:rFonts w:ascii="宋体"/>
                <w:sz w:val="24"/>
                <w:szCs w:val="24"/>
              </w:rPr>
            </w:pPr>
            <w:r>
              <w:rPr>
                <w:rFonts w:ascii="宋体"/>
                <w:sz w:val="24"/>
                <w:szCs w:val="24"/>
              </w:rPr>
              <w:t>0.25</w:t>
            </w:r>
          </w:p>
        </w:tc>
        <w:tc>
          <w:tcPr>
            <w:tcW w:w="1620" w:type="dxa"/>
            <w:vAlign w:val="center"/>
          </w:tcPr>
          <w:p>
            <w:pPr>
              <w:tabs>
                <w:tab w:val="left" w:pos="0"/>
                <w:tab w:val="left" w:pos="1080"/>
              </w:tabs>
              <w:spacing w:line="360" w:lineRule="auto"/>
              <w:jc w:val="center"/>
              <w:rPr>
                <w:rFonts w:ascii="宋体"/>
                <w:sz w:val="24"/>
                <w:szCs w:val="24"/>
              </w:rPr>
            </w:pPr>
            <w:r>
              <w:rPr>
                <w:rFonts w:ascii="宋体"/>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vAlign w:val="center"/>
          </w:tcPr>
          <w:p>
            <w:pPr>
              <w:tabs>
                <w:tab w:val="left" w:pos="0"/>
                <w:tab w:val="left" w:pos="1080"/>
              </w:tabs>
              <w:spacing w:line="360" w:lineRule="auto"/>
              <w:jc w:val="center"/>
              <w:rPr>
                <w:rFonts w:ascii="宋体"/>
                <w:sz w:val="24"/>
                <w:szCs w:val="24"/>
              </w:rPr>
            </w:pPr>
            <w:r>
              <w:rPr>
                <w:rFonts w:hint="eastAsia" w:ascii="宋体"/>
                <w:sz w:val="24"/>
                <w:szCs w:val="24"/>
              </w:rPr>
              <w:t>控制电缆间</w:t>
            </w:r>
          </w:p>
        </w:tc>
        <w:tc>
          <w:tcPr>
            <w:tcW w:w="1620" w:type="dxa"/>
            <w:vAlign w:val="center"/>
          </w:tcPr>
          <w:p>
            <w:pPr>
              <w:tabs>
                <w:tab w:val="left" w:pos="0"/>
                <w:tab w:val="left" w:pos="1080"/>
              </w:tabs>
              <w:spacing w:line="360" w:lineRule="auto"/>
              <w:jc w:val="center"/>
              <w:rPr>
                <w:rFonts w:ascii="宋体"/>
                <w:sz w:val="24"/>
                <w:szCs w:val="24"/>
              </w:rPr>
            </w:pPr>
          </w:p>
        </w:tc>
        <w:tc>
          <w:tcPr>
            <w:tcW w:w="1440" w:type="dxa"/>
            <w:vAlign w:val="center"/>
          </w:tcPr>
          <w:p>
            <w:pPr>
              <w:tabs>
                <w:tab w:val="left" w:pos="0"/>
                <w:tab w:val="left" w:pos="1080"/>
              </w:tabs>
              <w:spacing w:line="360" w:lineRule="auto"/>
              <w:jc w:val="center"/>
              <w:rPr>
                <w:rFonts w:ascii="宋体"/>
                <w:sz w:val="24"/>
                <w:szCs w:val="24"/>
              </w:rPr>
            </w:pPr>
            <w:r>
              <w:rPr>
                <w:rFonts w:ascii="宋体"/>
                <w:sz w:val="24"/>
                <w:szCs w:val="24"/>
              </w:rPr>
              <w:t>--</w:t>
            </w:r>
          </w:p>
        </w:tc>
        <w:tc>
          <w:tcPr>
            <w:tcW w:w="1620" w:type="dxa"/>
            <w:vAlign w:val="center"/>
          </w:tcPr>
          <w:p>
            <w:pPr>
              <w:tabs>
                <w:tab w:val="left" w:pos="0"/>
                <w:tab w:val="left" w:pos="1080"/>
              </w:tabs>
              <w:spacing w:line="360" w:lineRule="auto"/>
              <w:jc w:val="center"/>
              <w:rPr>
                <w:rFonts w:ascii="宋体"/>
                <w:sz w:val="24"/>
                <w:szCs w:val="24"/>
              </w:rPr>
            </w:pPr>
            <w:r>
              <w:rPr>
                <w:rFonts w:ascii="宋体"/>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vAlign w:val="center"/>
          </w:tcPr>
          <w:p>
            <w:pPr>
              <w:tabs>
                <w:tab w:val="left" w:pos="0"/>
                <w:tab w:val="left" w:pos="1080"/>
              </w:tabs>
              <w:spacing w:line="360" w:lineRule="auto"/>
              <w:jc w:val="center"/>
              <w:rPr>
                <w:rFonts w:ascii="宋体"/>
                <w:sz w:val="24"/>
                <w:szCs w:val="24"/>
              </w:rPr>
            </w:pPr>
            <w:r>
              <w:rPr>
                <w:rFonts w:hint="eastAsia" w:ascii="宋体"/>
                <w:sz w:val="24"/>
                <w:szCs w:val="24"/>
              </w:rPr>
              <w:t>不同使用部门电缆间</w:t>
            </w:r>
          </w:p>
        </w:tc>
        <w:tc>
          <w:tcPr>
            <w:tcW w:w="1620" w:type="dxa"/>
            <w:vAlign w:val="center"/>
          </w:tcPr>
          <w:p>
            <w:pPr>
              <w:tabs>
                <w:tab w:val="left" w:pos="0"/>
                <w:tab w:val="left" w:pos="1080"/>
              </w:tabs>
              <w:spacing w:line="360" w:lineRule="auto"/>
              <w:jc w:val="center"/>
              <w:rPr>
                <w:rFonts w:ascii="宋体"/>
                <w:sz w:val="24"/>
                <w:szCs w:val="24"/>
              </w:rPr>
            </w:pPr>
          </w:p>
        </w:tc>
        <w:tc>
          <w:tcPr>
            <w:tcW w:w="1440" w:type="dxa"/>
            <w:vAlign w:val="center"/>
          </w:tcPr>
          <w:p>
            <w:pPr>
              <w:tabs>
                <w:tab w:val="left" w:pos="0"/>
                <w:tab w:val="left" w:pos="1080"/>
              </w:tabs>
              <w:spacing w:line="360" w:lineRule="auto"/>
              <w:jc w:val="center"/>
              <w:rPr>
                <w:rFonts w:ascii="宋体"/>
                <w:sz w:val="24"/>
                <w:szCs w:val="24"/>
              </w:rPr>
            </w:pPr>
            <w:r>
              <w:rPr>
                <w:rFonts w:ascii="宋体"/>
                <w:sz w:val="24"/>
                <w:szCs w:val="24"/>
              </w:rPr>
              <w:t>0.50</w:t>
            </w:r>
          </w:p>
        </w:tc>
        <w:tc>
          <w:tcPr>
            <w:tcW w:w="1620" w:type="dxa"/>
            <w:vAlign w:val="center"/>
          </w:tcPr>
          <w:p>
            <w:pPr>
              <w:tabs>
                <w:tab w:val="left" w:pos="0"/>
                <w:tab w:val="left" w:pos="1080"/>
              </w:tabs>
              <w:spacing w:line="360" w:lineRule="auto"/>
              <w:jc w:val="center"/>
              <w:rPr>
                <w:rFonts w:ascii="宋体"/>
                <w:sz w:val="24"/>
                <w:szCs w:val="24"/>
              </w:rPr>
            </w:pPr>
            <w:r>
              <w:rPr>
                <w:rFonts w:ascii="宋体"/>
                <w:sz w:val="24"/>
                <w:szCs w:val="24"/>
              </w:rPr>
              <w:t>0.50</w:t>
            </w:r>
          </w:p>
        </w:tc>
      </w:tr>
    </w:tbl>
    <w:p>
      <w:pPr>
        <w:tabs>
          <w:tab w:val="left" w:pos="0"/>
          <w:tab w:val="left" w:pos="1080"/>
        </w:tabs>
        <w:spacing w:line="360" w:lineRule="auto"/>
        <w:rPr>
          <w:rFonts w:ascii="宋体"/>
          <w:sz w:val="24"/>
          <w:szCs w:val="24"/>
        </w:rPr>
      </w:pPr>
      <w:r>
        <w:rPr>
          <w:rFonts w:ascii="宋体" w:hAnsi="宋体"/>
          <w:sz w:val="24"/>
          <w:szCs w:val="24"/>
        </w:rPr>
        <w:t>5.4.4</w:t>
      </w:r>
      <w:r>
        <w:rPr>
          <w:rFonts w:hint="eastAsia" w:ascii="宋体" w:hAnsi="宋体"/>
          <w:sz w:val="24"/>
          <w:szCs w:val="24"/>
        </w:rPr>
        <w:t>电缆防火与阻燃</w:t>
      </w:r>
    </w:p>
    <w:p>
      <w:pPr>
        <w:tabs>
          <w:tab w:val="left" w:pos="0"/>
          <w:tab w:val="left" w:pos="1080"/>
        </w:tabs>
        <w:spacing w:line="360" w:lineRule="auto"/>
        <w:rPr>
          <w:rFonts w:ascii="宋体"/>
          <w:sz w:val="24"/>
          <w:szCs w:val="24"/>
        </w:rPr>
      </w:pPr>
      <w:r>
        <w:rPr>
          <w:rFonts w:ascii="宋体" w:hAnsi="宋体"/>
          <w:sz w:val="24"/>
          <w:szCs w:val="24"/>
        </w:rPr>
        <w:t>5.4.4.1</w:t>
      </w:r>
      <w:r>
        <w:rPr>
          <w:rFonts w:hint="eastAsia" w:ascii="宋体" w:hAnsi="宋体"/>
          <w:sz w:val="24"/>
          <w:szCs w:val="24"/>
        </w:rPr>
        <w:t>在电缆穿过竖井、墙壁、楼梯或进入电气盘柜的孔洞处，按设计要求用防火堵料密实封堵。</w:t>
      </w:r>
    </w:p>
    <w:p>
      <w:pPr>
        <w:tabs>
          <w:tab w:val="left" w:pos="0"/>
          <w:tab w:val="left" w:pos="1080"/>
        </w:tabs>
        <w:spacing w:line="360" w:lineRule="auto"/>
        <w:rPr>
          <w:rFonts w:ascii="宋体" w:hAnsi="宋体"/>
          <w:sz w:val="24"/>
          <w:szCs w:val="24"/>
        </w:rPr>
      </w:pPr>
      <w:r>
        <w:rPr>
          <w:rFonts w:ascii="宋体" w:hAnsi="宋体"/>
          <w:sz w:val="24"/>
          <w:szCs w:val="24"/>
        </w:rPr>
        <w:t>5.4.4.2</w:t>
      </w:r>
      <w:r>
        <w:rPr>
          <w:rFonts w:hint="eastAsia" w:ascii="宋体" w:hAnsi="宋体"/>
          <w:sz w:val="24"/>
          <w:szCs w:val="24"/>
        </w:rPr>
        <w:t>在电缆沟、桥架中，按设计要求分段用软质耐火材料设置防火墙封堵。</w:t>
      </w:r>
      <w:r>
        <w:rPr>
          <w:rFonts w:ascii="宋体" w:hAnsi="宋体"/>
          <w:sz w:val="24"/>
          <w:szCs w:val="24"/>
        </w:rPr>
        <w:t xml:space="preserve"> </w:t>
      </w:r>
      <w:bookmarkEnd w:id="23"/>
      <w:bookmarkEnd w:id="24"/>
      <w:bookmarkEnd w:id="25"/>
      <w:bookmarkEnd w:id="26"/>
      <w:bookmarkEnd w:id="27"/>
      <w:bookmarkEnd w:id="28"/>
      <w:bookmarkStart w:id="29" w:name="_Toc13015"/>
      <w:bookmarkStart w:id="30" w:name="_Toc6379"/>
      <w:bookmarkStart w:id="31" w:name="_Toc11149"/>
      <w:bookmarkStart w:id="32" w:name="_Toc7271"/>
      <w:bookmarkStart w:id="33" w:name="_Toc12318"/>
      <w:bookmarkStart w:id="34" w:name="_Toc18218"/>
    </w:p>
    <w:p>
      <w:pPr>
        <w:tabs>
          <w:tab w:val="left" w:pos="0"/>
          <w:tab w:val="left" w:pos="1080"/>
        </w:tabs>
        <w:spacing w:line="360" w:lineRule="auto"/>
        <w:rPr>
          <w:rFonts w:ascii="宋体"/>
          <w:sz w:val="24"/>
          <w:szCs w:val="24"/>
        </w:rPr>
      </w:pPr>
      <w:r>
        <w:rPr>
          <w:rFonts w:ascii="宋体" w:hAnsi="宋体"/>
          <w:sz w:val="24"/>
          <w:szCs w:val="24"/>
        </w:rPr>
        <w:t>5.4.5</w:t>
      </w:r>
      <w:r>
        <w:rPr>
          <w:rFonts w:hint="eastAsia" w:ascii="宋体" w:hAnsi="宋体"/>
          <w:sz w:val="24"/>
          <w:szCs w:val="24"/>
        </w:rPr>
        <w:t>电缆头与电缆接头制作质量标准检验要求</w:t>
      </w:r>
    </w:p>
    <w:p>
      <w:pPr>
        <w:tabs>
          <w:tab w:val="left" w:pos="0"/>
          <w:tab w:val="left" w:pos="1080"/>
        </w:tabs>
        <w:spacing w:line="360" w:lineRule="auto"/>
        <w:rPr>
          <w:rFonts w:ascii="宋体"/>
          <w:sz w:val="24"/>
          <w:szCs w:val="24"/>
        </w:rPr>
      </w:pPr>
    </w:p>
    <w:tbl>
      <w:tblPr>
        <w:tblStyle w:val="9"/>
        <w:tblW w:w="93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08"/>
        <w:gridCol w:w="2312"/>
        <w:gridCol w:w="720"/>
        <w:gridCol w:w="306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gridSpan w:val="3"/>
            <w:vAlign w:val="center"/>
          </w:tcPr>
          <w:p>
            <w:pPr>
              <w:jc w:val="center"/>
              <w:rPr>
                <w:rFonts w:ascii="宋体"/>
                <w:b/>
                <w:bCs/>
                <w:szCs w:val="21"/>
              </w:rPr>
            </w:pPr>
            <w:r>
              <w:rPr>
                <w:rFonts w:hint="eastAsia" w:ascii="宋体" w:hAnsi="宋体"/>
                <w:b/>
                <w:bCs/>
                <w:szCs w:val="21"/>
              </w:rPr>
              <w:t>检验项目</w:t>
            </w:r>
          </w:p>
        </w:tc>
        <w:tc>
          <w:tcPr>
            <w:tcW w:w="720" w:type="dxa"/>
            <w:vAlign w:val="center"/>
          </w:tcPr>
          <w:p>
            <w:pPr>
              <w:jc w:val="center"/>
              <w:rPr>
                <w:rFonts w:ascii="宋体"/>
                <w:b/>
                <w:bCs/>
                <w:szCs w:val="21"/>
              </w:rPr>
            </w:pPr>
            <w:r>
              <w:rPr>
                <w:rFonts w:hint="eastAsia" w:ascii="宋体" w:hAnsi="宋体"/>
                <w:b/>
                <w:bCs/>
                <w:szCs w:val="21"/>
              </w:rPr>
              <w:t>性</w:t>
            </w:r>
          </w:p>
          <w:p>
            <w:pPr>
              <w:jc w:val="center"/>
              <w:rPr>
                <w:rFonts w:ascii="宋体"/>
                <w:b/>
                <w:bCs/>
                <w:szCs w:val="21"/>
              </w:rPr>
            </w:pPr>
            <w:r>
              <w:rPr>
                <w:rFonts w:hint="eastAsia" w:ascii="宋体" w:hAnsi="宋体"/>
                <w:b/>
                <w:bCs/>
                <w:szCs w:val="21"/>
              </w:rPr>
              <w:t>质</w:t>
            </w:r>
          </w:p>
        </w:tc>
        <w:tc>
          <w:tcPr>
            <w:tcW w:w="3060" w:type="dxa"/>
            <w:vAlign w:val="center"/>
          </w:tcPr>
          <w:p>
            <w:pPr>
              <w:jc w:val="center"/>
              <w:rPr>
                <w:rFonts w:ascii="宋体"/>
                <w:b/>
                <w:bCs/>
                <w:szCs w:val="21"/>
              </w:rPr>
            </w:pPr>
            <w:r>
              <w:rPr>
                <w:rFonts w:hint="eastAsia" w:ascii="宋体" w:hAnsi="宋体"/>
                <w:b/>
                <w:bCs/>
                <w:szCs w:val="21"/>
              </w:rPr>
              <w:t>质量标准</w:t>
            </w:r>
          </w:p>
        </w:tc>
        <w:tc>
          <w:tcPr>
            <w:tcW w:w="2520" w:type="dxa"/>
            <w:vAlign w:val="center"/>
          </w:tcPr>
          <w:p>
            <w:pPr>
              <w:jc w:val="center"/>
              <w:rPr>
                <w:rFonts w:ascii="宋体"/>
                <w:b/>
                <w:bCs/>
                <w:szCs w:val="21"/>
              </w:rPr>
            </w:pPr>
            <w:r>
              <w:rPr>
                <w:rFonts w:hint="eastAsia" w:ascii="宋体" w:hAnsi="宋体"/>
                <w:b/>
                <w:bCs/>
                <w:szCs w:val="21"/>
              </w:rPr>
              <w:t>检验方法及器具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trPr>
        <w:tc>
          <w:tcPr>
            <w:tcW w:w="3060" w:type="dxa"/>
            <w:gridSpan w:val="3"/>
            <w:vAlign w:val="center"/>
          </w:tcPr>
          <w:p>
            <w:pPr>
              <w:jc w:val="center"/>
              <w:rPr>
                <w:rFonts w:ascii="宋体"/>
                <w:szCs w:val="21"/>
              </w:rPr>
            </w:pPr>
            <w:r>
              <w:rPr>
                <w:rFonts w:hint="eastAsia" w:ascii="宋体" w:hAnsi="宋体"/>
                <w:szCs w:val="21"/>
              </w:rPr>
              <w:t>绝缘电阻</w:t>
            </w:r>
          </w:p>
        </w:tc>
        <w:tc>
          <w:tcPr>
            <w:tcW w:w="720" w:type="dxa"/>
            <w:vAlign w:val="center"/>
          </w:tcPr>
          <w:p>
            <w:pPr>
              <w:jc w:val="center"/>
              <w:rPr>
                <w:rFonts w:ascii="宋体"/>
                <w:szCs w:val="21"/>
              </w:rPr>
            </w:pPr>
            <w:r>
              <w:rPr>
                <w:rFonts w:hint="eastAsia" w:ascii="宋体" w:hAnsi="宋体"/>
                <w:szCs w:val="21"/>
              </w:rPr>
              <w:t>主要</w:t>
            </w:r>
          </w:p>
        </w:tc>
        <w:tc>
          <w:tcPr>
            <w:tcW w:w="3060" w:type="dxa"/>
            <w:vAlign w:val="center"/>
          </w:tcPr>
          <w:p>
            <w:pPr>
              <w:jc w:val="center"/>
              <w:rPr>
                <w:rFonts w:ascii="宋体"/>
                <w:szCs w:val="21"/>
              </w:rPr>
            </w:pPr>
          </w:p>
          <w:p>
            <w:pPr>
              <w:rPr>
                <w:rFonts w:ascii="宋体"/>
                <w:szCs w:val="21"/>
              </w:rPr>
            </w:pPr>
            <w:r>
              <w:rPr>
                <w:rFonts w:hint="eastAsia" w:ascii="宋体" w:hAnsi="宋体"/>
                <w:szCs w:val="21"/>
              </w:rPr>
              <w:t>比较电缆敷设前无显著降低</w:t>
            </w:r>
          </w:p>
          <w:p>
            <w:pPr>
              <w:rPr>
                <w:rFonts w:ascii="宋体"/>
                <w:szCs w:val="21"/>
              </w:rPr>
            </w:pPr>
          </w:p>
        </w:tc>
        <w:tc>
          <w:tcPr>
            <w:tcW w:w="2520" w:type="dxa"/>
            <w:vAlign w:val="center"/>
          </w:tcPr>
          <w:p>
            <w:pPr>
              <w:jc w:val="center"/>
              <w:rPr>
                <w:rFonts w:ascii="宋体"/>
                <w:szCs w:val="21"/>
              </w:rPr>
            </w:pPr>
            <w:r>
              <w:rPr>
                <w:rFonts w:ascii="宋体" w:hAnsi="宋体"/>
                <w:szCs w:val="21"/>
              </w:rPr>
              <w:t>1</w:t>
            </w:r>
            <w:r>
              <w:rPr>
                <w:rFonts w:hint="eastAsia" w:ascii="宋体" w:hAnsi="宋体"/>
                <w:szCs w:val="21"/>
              </w:rPr>
              <w:t>千伏以下的电缆用</w:t>
            </w:r>
            <w:r>
              <w:rPr>
                <w:rFonts w:ascii="宋体" w:hAnsi="宋体"/>
                <w:szCs w:val="21"/>
              </w:rPr>
              <w:t>500</w:t>
            </w:r>
            <w:r>
              <w:rPr>
                <w:rFonts w:hint="eastAsia" w:ascii="宋体" w:hAnsi="宋体"/>
                <w:szCs w:val="21"/>
              </w:rPr>
              <w:t>或</w:t>
            </w:r>
            <w:r>
              <w:rPr>
                <w:rFonts w:ascii="宋体" w:hAnsi="宋体"/>
                <w:szCs w:val="21"/>
              </w:rPr>
              <w:t>1000</w:t>
            </w:r>
            <w:r>
              <w:rPr>
                <w:rFonts w:hint="eastAsia" w:ascii="宋体" w:hAnsi="宋体"/>
                <w:szCs w:val="21"/>
              </w:rPr>
              <w:t>伏兆欧表，</w:t>
            </w:r>
          </w:p>
          <w:p>
            <w:pPr>
              <w:jc w:val="center"/>
              <w:rPr>
                <w:rFonts w:ascii="宋体"/>
                <w:szCs w:val="21"/>
              </w:rPr>
            </w:pPr>
            <w:r>
              <w:rPr>
                <w:rFonts w:ascii="宋体" w:hAnsi="宋体"/>
                <w:szCs w:val="21"/>
              </w:rPr>
              <w:t>1</w:t>
            </w:r>
            <w:r>
              <w:rPr>
                <w:rFonts w:hint="eastAsia" w:ascii="宋体" w:hAnsi="宋体"/>
                <w:szCs w:val="21"/>
              </w:rPr>
              <w:t>千伏以上电缆用</w:t>
            </w:r>
            <w:r>
              <w:rPr>
                <w:rFonts w:ascii="宋体" w:hAnsi="宋体"/>
                <w:szCs w:val="21"/>
              </w:rPr>
              <w:t>2500</w:t>
            </w:r>
            <w:r>
              <w:rPr>
                <w:rFonts w:hint="eastAsia" w:ascii="宋体" w:hAnsi="宋体"/>
                <w:szCs w:val="21"/>
              </w:rPr>
              <w:t>伏兆欧表检查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gridSpan w:val="3"/>
            <w:vAlign w:val="center"/>
          </w:tcPr>
          <w:p>
            <w:pPr>
              <w:jc w:val="center"/>
              <w:rPr>
                <w:rFonts w:ascii="宋体"/>
                <w:szCs w:val="21"/>
              </w:rPr>
            </w:pPr>
            <w:r>
              <w:rPr>
                <w:rFonts w:hint="eastAsia" w:ascii="宋体" w:hAnsi="宋体"/>
                <w:szCs w:val="21"/>
              </w:rPr>
              <w:t>电缆头附件</w:t>
            </w:r>
          </w:p>
        </w:tc>
        <w:tc>
          <w:tcPr>
            <w:tcW w:w="720" w:type="dxa"/>
            <w:vAlign w:val="center"/>
          </w:tcPr>
          <w:p>
            <w:pPr>
              <w:jc w:val="center"/>
              <w:rPr>
                <w:rFonts w:ascii="宋体"/>
                <w:szCs w:val="21"/>
              </w:rPr>
            </w:pPr>
          </w:p>
        </w:tc>
        <w:tc>
          <w:tcPr>
            <w:tcW w:w="3060" w:type="dxa"/>
            <w:vAlign w:val="center"/>
          </w:tcPr>
          <w:p>
            <w:pPr>
              <w:jc w:val="center"/>
              <w:rPr>
                <w:rFonts w:ascii="宋体"/>
                <w:szCs w:val="21"/>
              </w:rPr>
            </w:pPr>
            <w:r>
              <w:rPr>
                <w:rFonts w:hint="eastAsia" w:ascii="宋体" w:hAnsi="宋体"/>
                <w:szCs w:val="21"/>
              </w:rPr>
              <w:t>齐全、无损伤、符合工艺规程规定</w:t>
            </w:r>
          </w:p>
        </w:tc>
        <w:tc>
          <w:tcPr>
            <w:tcW w:w="2520" w:type="dxa"/>
            <w:vAlign w:val="center"/>
          </w:tcPr>
          <w:p>
            <w:pPr>
              <w:jc w:val="center"/>
              <w:rPr>
                <w:rFonts w:ascii="宋体"/>
                <w:szCs w:val="21"/>
              </w:rPr>
            </w:pPr>
            <w:r>
              <w:rPr>
                <w:rFonts w:hint="eastAsia" w:ascii="宋体" w:hAnsi="宋体"/>
                <w:szCs w:val="21"/>
              </w:rPr>
              <w:t>对照工艺规程检查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3060" w:type="dxa"/>
            <w:gridSpan w:val="3"/>
            <w:vAlign w:val="center"/>
          </w:tcPr>
          <w:p>
            <w:pPr>
              <w:jc w:val="center"/>
              <w:rPr>
                <w:rFonts w:ascii="宋体"/>
                <w:szCs w:val="21"/>
              </w:rPr>
            </w:pPr>
            <w:r>
              <w:rPr>
                <w:rFonts w:hint="eastAsia" w:ascii="宋体" w:hAnsi="宋体"/>
                <w:szCs w:val="21"/>
              </w:rPr>
              <w:t>电缆头制作工艺</w:t>
            </w:r>
          </w:p>
        </w:tc>
        <w:tc>
          <w:tcPr>
            <w:tcW w:w="720" w:type="dxa"/>
            <w:vAlign w:val="center"/>
          </w:tcPr>
          <w:p>
            <w:pPr>
              <w:jc w:val="center"/>
              <w:rPr>
                <w:rFonts w:ascii="宋体"/>
                <w:szCs w:val="21"/>
              </w:rPr>
            </w:pPr>
          </w:p>
        </w:tc>
        <w:tc>
          <w:tcPr>
            <w:tcW w:w="3060" w:type="dxa"/>
            <w:vAlign w:val="center"/>
          </w:tcPr>
          <w:p>
            <w:pPr>
              <w:jc w:val="center"/>
              <w:rPr>
                <w:rFonts w:ascii="宋体"/>
                <w:szCs w:val="21"/>
              </w:rPr>
            </w:pPr>
            <w:r>
              <w:rPr>
                <w:rFonts w:hint="eastAsia" w:ascii="宋体" w:hAnsi="宋体"/>
                <w:szCs w:val="21"/>
              </w:rPr>
              <w:t>符合工艺规程规定</w:t>
            </w:r>
          </w:p>
        </w:tc>
        <w:tc>
          <w:tcPr>
            <w:tcW w:w="2520" w:type="dxa"/>
            <w:vAlign w:val="center"/>
          </w:tcPr>
          <w:p>
            <w:pPr>
              <w:jc w:val="center"/>
              <w:rPr>
                <w:rFonts w:ascii="宋体"/>
                <w:szCs w:val="21"/>
              </w:rPr>
            </w:pPr>
            <w:r>
              <w:rPr>
                <w:rFonts w:hint="eastAsia" w:ascii="宋体" w:hAnsi="宋体"/>
                <w:szCs w:val="21"/>
              </w:rPr>
              <w:t>对照工艺规程检查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540" w:type="dxa"/>
            <w:vMerge w:val="restart"/>
            <w:vAlign w:val="center"/>
          </w:tcPr>
          <w:p>
            <w:pPr>
              <w:jc w:val="center"/>
              <w:rPr>
                <w:rFonts w:ascii="宋体"/>
                <w:szCs w:val="21"/>
              </w:rPr>
            </w:pPr>
            <w:r>
              <w:rPr>
                <w:rFonts w:hint="eastAsia" w:ascii="宋体" w:hAnsi="宋体"/>
                <w:szCs w:val="21"/>
              </w:rPr>
              <w:t>接地</w:t>
            </w:r>
          </w:p>
        </w:tc>
        <w:tc>
          <w:tcPr>
            <w:tcW w:w="2520" w:type="dxa"/>
            <w:gridSpan w:val="2"/>
            <w:vAlign w:val="center"/>
          </w:tcPr>
          <w:p>
            <w:pPr>
              <w:jc w:val="center"/>
              <w:rPr>
                <w:rFonts w:ascii="宋体"/>
                <w:szCs w:val="21"/>
              </w:rPr>
            </w:pPr>
            <w:r>
              <w:rPr>
                <w:rFonts w:hint="eastAsia" w:ascii="宋体" w:hAnsi="宋体"/>
                <w:szCs w:val="21"/>
              </w:rPr>
              <w:t>塑料绝缘电缆焊接位置</w:t>
            </w:r>
          </w:p>
        </w:tc>
        <w:tc>
          <w:tcPr>
            <w:tcW w:w="720" w:type="dxa"/>
            <w:vAlign w:val="center"/>
          </w:tcPr>
          <w:p>
            <w:pPr>
              <w:jc w:val="center"/>
              <w:rPr>
                <w:rFonts w:ascii="宋体"/>
                <w:szCs w:val="21"/>
              </w:rPr>
            </w:pPr>
          </w:p>
        </w:tc>
        <w:tc>
          <w:tcPr>
            <w:tcW w:w="3060" w:type="dxa"/>
            <w:vAlign w:val="center"/>
          </w:tcPr>
          <w:p>
            <w:pPr>
              <w:jc w:val="center"/>
              <w:rPr>
                <w:rFonts w:ascii="宋体"/>
                <w:szCs w:val="21"/>
              </w:rPr>
            </w:pPr>
            <w:r>
              <w:rPr>
                <w:rFonts w:hint="eastAsia" w:ascii="宋体" w:hAnsi="宋体"/>
                <w:szCs w:val="21"/>
              </w:rPr>
              <w:t>电缆屏蔽层和金属护层</w:t>
            </w:r>
          </w:p>
        </w:tc>
        <w:tc>
          <w:tcPr>
            <w:tcW w:w="2520" w:type="dxa"/>
            <w:vMerge w:val="restart"/>
            <w:vAlign w:val="center"/>
          </w:tcPr>
          <w:p>
            <w:pPr>
              <w:jc w:val="center"/>
              <w:rPr>
                <w:rFonts w:ascii="宋体"/>
                <w:szCs w:val="21"/>
              </w:rPr>
            </w:pPr>
            <w:r>
              <w:rPr>
                <w:rFonts w:hint="eastAsia" w:ascii="宋体" w:hAnsi="宋体"/>
                <w:szCs w:val="21"/>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540" w:type="dxa"/>
            <w:vMerge w:val="continue"/>
            <w:vAlign w:val="center"/>
          </w:tcPr>
          <w:p>
            <w:pPr>
              <w:jc w:val="center"/>
              <w:rPr>
                <w:rFonts w:ascii="宋体"/>
                <w:szCs w:val="21"/>
              </w:rPr>
            </w:pPr>
          </w:p>
        </w:tc>
        <w:tc>
          <w:tcPr>
            <w:tcW w:w="2520" w:type="dxa"/>
            <w:gridSpan w:val="2"/>
            <w:vAlign w:val="center"/>
          </w:tcPr>
          <w:p>
            <w:pPr>
              <w:jc w:val="center"/>
              <w:rPr>
                <w:rFonts w:ascii="宋体"/>
                <w:szCs w:val="21"/>
              </w:rPr>
            </w:pPr>
            <w:r>
              <w:rPr>
                <w:rFonts w:hint="eastAsia" w:ascii="宋体" w:hAnsi="宋体"/>
                <w:szCs w:val="21"/>
              </w:rPr>
              <w:t>接地线规格</w:t>
            </w:r>
          </w:p>
        </w:tc>
        <w:tc>
          <w:tcPr>
            <w:tcW w:w="720" w:type="dxa"/>
            <w:vAlign w:val="center"/>
          </w:tcPr>
          <w:p>
            <w:pPr>
              <w:jc w:val="center"/>
              <w:rPr>
                <w:rFonts w:ascii="宋体"/>
                <w:szCs w:val="21"/>
              </w:rPr>
            </w:pPr>
          </w:p>
        </w:tc>
        <w:tc>
          <w:tcPr>
            <w:tcW w:w="3060" w:type="dxa"/>
            <w:vAlign w:val="center"/>
          </w:tcPr>
          <w:p>
            <w:pPr>
              <w:jc w:val="center"/>
              <w:rPr>
                <w:rFonts w:ascii="宋体"/>
                <w:szCs w:val="21"/>
              </w:rPr>
            </w:pPr>
            <w:r>
              <w:rPr>
                <w:rFonts w:hint="eastAsia" w:ascii="宋体" w:hAnsi="宋体"/>
                <w:szCs w:val="21"/>
              </w:rPr>
              <w:t>铜绞线截面大于</w:t>
            </w:r>
            <w:r>
              <w:rPr>
                <w:rFonts w:ascii="宋体" w:hAnsi="宋体"/>
                <w:szCs w:val="21"/>
              </w:rPr>
              <w:t>10</w:t>
            </w:r>
            <w:r>
              <w:rPr>
                <w:rFonts w:hint="eastAsia" w:ascii="宋体" w:hAnsi="宋体"/>
                <w:szCs w:val="21"/>
              </w:rPr>
              <w:t>平方毫米</w:t>
            </w:r>
          </w:p>
        </w:tc>
        <w:tc>
          <w:tcPr>
            <w:tcW w:w="2520" w:type="dxa"/>
            <w:vMerge w:val="continue"/>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540" w:type="dxa"/>
            <w:vMerge w:val="continue"/>
            <w:vAlign w:val="center"/>
          </w:tcPr>
          <w:p>
            <w:pPr>
              <w:jc w:val="center"/>
              <w:rPr>
                <w:rFonts w:ascii="宋体"/>
                <w:szCs w:val="21"/>
              </w:rPr>
            </w:pPr>
          </w:p>
        </w:tc>
        <w:tc>
          <w:tcPr>
            <w:tcW w:w="2520" w:type="dxa"/>
            <w:gridSpan w:val="2"/>
            <w:vAlign w:val="center"/>
          </w:tcPr>
          <w:p>
            <w:pPr>
              <w:jc w:val="center"/>
              <w:rPr>
                <w:rFonts w:ascii="宋体"/>
                <w:szCs w:val="21"/>
              </w:rPr>
            </w:pPr>
            <w:r>
              <w:rPr>
                <w:rFonts w:hint="eastAsia" w:ascii="宋体" w:hAnsi="宋体"/>
                <w:szCs w:val="21"/>
              </w:rPr>
              <w:t>锡焊外观检查</w:t>
            </w:r>
          </w:p>
        </w:tc>
        <w:tc>
          <w:tcPr>
            <w:tcW w:w="720" w:type="dxa"/>
            <w:vAlign w:val="center"/>
          </w:tcPr>
          <w:p>
            <w:pPr>
              <w:jc w:val="center"/>
              <w:rPr>
                <w:rFonts w:ascii="宋体"/>
                <w:szCs w:val="21"/>
              </w:rPr>
            </w:pPr>
          </w:p>
        </w:tc>
        <w:tc>
          <w:tcPr>
            <w:tcW w:w="3060" w:type="dxa"/>
            <w:vAlign w:val="center"/>
          </w:tcPr>
          <w:p>
            <w:pPr>
              <w:jc w:val="center"/>
              <w:rPr>
                <w:rFonts w:ascii="宋体"/>
                <w:szCs w:val="21"/>
              </w:rPr>
            </w:pPr>
            <w:r>
              <w:rPr>
                <w:rFonts w:hint="eastAsia" w:ascii="宋体" w:hAnsi="宋体"/>
                <w:szCs w:val="21"/>
              </w:rPr>
              <w:t>焊接平整，无毛刺，接地线各段接触良好，牢固</w:t>
            </w:r>
          </w:p>
        </w:tc>
        <w:tc>
          <w:tcPr>
            <w:tcW w:w="2520" w:type="dxa"/>
            <w:vMerge w:val="continue"/>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3060" w:type="dxa"/>
            <w:gridSpan w:val="3"/>
            <w:vAlign w:val="center"/>
          </w:tcPr>
          <w:p>
            <w:pPr>
              <w:jc w:val="center"/>
              <w:rPr>
                <w:rFonts w:ascii="宋体"/>
                <w:szCs w:val="21"/>
              </w:rPr>
            </w:pPr>
            <w:r>
              <w:rPr>
                <w:rFonts w:hint="eastAsia" w:ascii="宋体" w:hAnsi="宋体"/>
                <w:szCs w:val="21"/>
              </w:rPr>
              <w:t>电缆头热（冷）收缩管规格</w:t>
            </w:r>
          </w:p>
        </w:tc>
        <w:tc>
          <w:tcPr>
            <w:tcW w:w="720" w:type="dxa"/>
            <w:vAlign w:val="center"/>
          </w:tcPr>
          <w:p>
            <w:pPr>
              <w:jc w:val="center"/>
              <w:rPr>
                <w:rFonts w:ascii="宋体"/>
                <w:szCs w:val="21"/>
              </w:rPr>
            </w:pPr>
          </w:p>
        </w:tc>
        <w:tc>
          <w:tcPr>
            <w:tcW w:w="3060" w:type="dxa"/>
            <w:vAlign w:val="center"/>
          </w:tcPr>
          <w:p>
            <w:pPr>
              <w:jc w:val="center"/>
              <w:rPr>
                <w:rFonts w:ascii="宋体"/>
                <w:szCs w:val="21"/>
              </w:rPr>
            </w:pPr>
            <w:r>
              <w:rPr>
                <w:rFonts w:hint="eastAsia" w:ascii="宋体" w:hAnsi="宋体"/>
                <w:szCs w:val="21"/>
              </w:rPr>
              <w:t>符合厂家规定</w:t>
            </w:r>
          </w:p>
        </w:tc>
        <w:tc>
          <w:tcPr>
            <w:tcW w:w="2520" w:type="dxa"/>
            <w:vAlign w:val="center"/>
          </w:tcPr>
          <w:p>
            <w:pPr>
              <w:jc w:val="center"/>
              <w:rPr>
                <w:rFonts w:ascii="宋体"/>
                <w:szCs w:val="21"/>
              </w:rPr>
            </w:pPr>
            <w:r>
              <w:rPr>
                <w:rFonts w:hint="eastAsia" w:ascii="宋体" w:hAnsi="宋体"/>
                <w:szCs w:val="21"/>
              </w:rPr>
              <w:t>对照厂家说明书检查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3060" w:type="dxa"/>
            <w:gridSpan w:val="3"/>
            <w:vAlign w:val="center"/>
          </w:tcPr>
          <w:p>
            <w:pPr>
              <w:jc w:val="center"/>
              <w:rPr>
                <w:rFonts w:ascii="宋体"/>
                <w:szCs w:val="21"/>
              </w:rPr>
            </w:pPr>
            <w:r>
              <w:rPr>
                <w:rFonts w:hint="eastAsia" w:ascii="宋体" w:hAnsi="宋体"/>
                <w:szCs w:val="21"/>
              </w:rPr>
              <w:t>塑料电缆芯线弯曲半径</w:t>
            </w:r>
          </w:p>
        </w:tc>
        <w:tc>
          <w:tcPr>
            <w:tcW w:w="720" w:type="dxa"/>
            <w:vAlign w:val="center"/>
          </w:tcPr>
          <w:p>
            <w:pPr>
              <w:jc w:val="center"/>
              <w:rPr>
                <w:rFonts w:ascii="宋体"/>
                <w:szCs w:val="21"/>
              </w:rPr>
            </w:pPr>
          </w:p>
        </w:tc>
        <w:tc>
          <w:tcPr>
            <w:tcW w:w="3060" w:type="dxa"/>
            <w:vAlign w:val="center"/>
          </w:tcPr>
          <w:p>
            <w:pPr>
              <w:jc w:val="center"/>
              <w:rPr>
                <w:rFonts w:ascii="宋体"/>
                <w:szCs w:val="21"/>
              </w:rPr>
            </w:pPr>
            <w:r>
              <w:rPr>
                <w:rFonts w:hint="eastAsia" w:ascii="宋体" w:hAnsi="宋体"/>
                <w:szCs w:val="21"/>
              </w:rPr>
              <w:t>大于或等于</w:t>
            </w:r>
            <w:r>
              <w:rPr>
                <w:rFonts w:ascii="宋体" w:hAnsi="宋体"/>
                <w:szCs w:val="21"/>
              </w:rPr>
              <w:t>3</w:t>
            </w:r>
            <w:r>
              <w:rPr>
                <w:rFonts w:hint="eastAsia" w:ascii="宋体" w:hAnsi="宋体"/>
                <w:szCs w:val="21"/>
              </w:rPr>
              <w:t>倍芯线绝缘层直径</w:t>
            </w:r>
          </w:p>
        </w:tc>
        <w:tc>
          <w:tcPr>
            <w:tcW w:w="2520" w:type="dxa"/>
            <w:vAlign w:val="center"/>
          </w:tcPr>
          <w:p>
            <w:pPr>
              <w:jc w:val="center"/>
              <w:rPr>
                <w:rFonts w:ascii="宋体"/>
                <w:szCs w:val="21"/>
              </w:rPr>
            </w:pPr>
            <w:r>
              <w:rPr>
                <w:rFonts w:hint="eastAsia" w:ascii="宋体" w:hAnsi="宋体"/>
                <w:szCs w:val="21"/>
              </w:rPr>
              <w:t>用样板检查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0" w:type="dxa"/>
            <w:gridSpan w:val="3"/>
            <w:vAlign w:val="center"/>
          </w:tcPr>
          <w:p>
            <w:pPr>
              <w:jc w:val="center"/>
              <w:rPr>
                <w:rFonts w:ascii="宋体"/>
                <w:szCs w:val="21"/>
              </w:rPr>
            </w:pPr>
            <w:r>
              <w:rPr>
                <w:rFonts w:hint="eastAsia" w:ascii="宋体" w:hAnsi="宋体"/>
                <w:szCs w:val="21"/>
              </w:rPr>
              <w:t>线鼻子规格</w:t>
            </w:r>
          </w:p>
        </w:tc>
        <w:tc>
          <w:tcPr>
            <w:tcW w:w="720" w:type="dxa"/>
            <w:vAlign w:val="center"/>
          </w:tcPr>
          <w:p>
            <w:pPr>
              <w:jc w:val="center"/>
              <w:rPr>
                <w:rFonts w:ascii="宋体"/>
                <w:szCs w:val="21"/>
              </w:rPr>
            </w:pPr>
          </w:p>
        </w:tc>
        <w:tc>
          <w:tcPr>
            <w:tcW w:w="3060" w:type="dxa"/>
            <w:vAlign w:val="center"/>
          </w:tcPr>
          <w:p>
            <w:pPr>
              <w:jc w:val="center"/>
              <w:rPr>
                <w:rFonts w:ascii="宋体"/>
                <w:szCs w:val="21"/>
              </w:rPr>
            </w:pPr>
            <w:r>
              <w:rPr>
                <w:rFonts w:hint="eastAsia" w:ascii="宋体" w:hAnsi="宋体"/>
                <w:szCs w:val="21"/>
              </w:rPr>
              <w:t>与线芯相符</w:t>
            </w:r>
          </w:p>
        </w:tc>
        <w:tc>
          <w:tcPr>
            <w:tcW w:w="2520"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3060" w:type="dxa"/>
            <w:gridSpan w:val="3"/>
            <w:vAlign w:val="center"/>
          </w:tcPr>
          <w:p>
            <w:pPr>
              <w:jc w:val="center"/>
              <w:rPr>
                <w:rFonts w:ascii="宋体"/>
                <w:szCs w:val="21"/>
              </w:rPr>
            </w:pPr>
            <w:r>
              <w:rPr>
                <w:rFonts w:hint="eastAsia" w:ascii="宋体" w:hAnsi="宋体"/>
                <w:szCs w:val="21"/>
              </w:rPr>
              <w:t>铜线鼻子镀锡</w:t>
            </w:r>
          </w:p>
        </w:tc>
        <w:tc>
          <w:tcPr>
            <w:tcW w:w="720" w:type="dxa"/>
            <w:vAlign w:val="center"/>
          </w:tcPr>
          <w:p>
            <w:pPr>
              <w:jc w:val="center"/>
              <w:rPr>
                <w:rFonts w:ascii="宋体"/>
                <w:szCs w:val="21"/>
              </w:rPr>
            </w:pPr>
          </w:p>
        </w:tc>
        <w:tc>
          <w:tcPr>
            <w:tcW w:w="3060" w:type="dxa"/>
            <w:vAlign w:val="center"/>
          </w:tcPr>
          <w:p>
            <w:pPr>
              <w:jc w:val="center"/>
              <w:rPr>
                <w:rFonts w:ascii="宋体"/>
                <w:szCs w:val="21"/>
              </w:rPr>
            </w:pPr>
            <w:r>
              <w:rPr>
                <w:rFonts w:hint="eastAsia" w:ascii="宋体" w:hAnsi="宋体"/>
                <w:szCs w:val="21"/>
              </w:rPr>
              <w:t>表面光滑，干净</w:t>
            </w:r>
          </w:p>
        </w:tc>
        <w:tc>
          <w:tcPr>
            <w:tcW w:w="2520" w:type="dxa"/>
            <w:vAlign w:val="center"/>
          </w:tcPr>
          <w:p>
            <w:pPr>
              <w:jc w:val="center"/>
              <w:rPr>
                <w:rFonts w:ascii="宋体"/>
                <w:szCs w:val="21"/>
              </w:rPr>
            </w:pPr>
            <w:r>
              <w:rPr>
                <w:rFonts w:hint="eastAsia" w:ascii="宋体" w:hAnsi="宋体"/>
                <w:szCs w:val="21"/>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48" w:type="dxa"/>
            <w:gridSpan w:val="2"/>
            <w:vMerge w:val="restart"/>
            <w:vAlign w:val="center"/>
          </w:tcPr>
          <w:p>
            <w:pPr>
              <w:jc w:val="center"/>
              <w:rPr>
                <w:rFonts w:ascii="宋体"/>
                <w:szCs w:val="21"/>
              </w:rPr>
            </w:pPr>
            <w:r>
              <w:rPr>
                <w:rFonts w:hint="eastAsia" w:ascii="宋体" w:hAnsi="宋体"/>
                <w:szCs w:val="21"/>
              </w:rPr>
              <w:t>线鼻子与芯线连接锡焊</w:t>
            </w:r>
          </w:p>
        </w:tc>
        <w:tc>
          <w:tcPr>
            <w:tcW w:w="2312" w:type="dxa"/>
            <w:vAlign w:val="center"/>
          </w:tcPr>
          <w:p>
            <w:pPr>
              <w:jc w:val="center"/>
              <w:rPr>
                <w:rFonts w:ascii="宋体"/>
                <w:szCs w:val="21"/>
              </w:rPr>
            </w:pPr>
            <w:r>
              <w:rPr>
                <w:rFonts w:hint="eastAsia" w:ascii="宋体" w:hAnsi="宋体"/>
                <w:szCs w:val="21"/>
              </w:rPr>
              <w:t>焊锡膏检查</w:t>
            </w:r>
          </w:p>
        </w:tc>
        <w:tc>
          <w:tcPr>
            <w:tcW w:w="720" w:type="dxa"/>
            <w:vAlign w:val="center"/>
          </w:tcPr>
          <w:p>
            <w:pPr>
              <w:jc w:val="center"/>
              <w:rPr>
                <w:rFonts w:ascii="宋体"/>
                <w:szCs w:val="21"/>
              </w:rPr>
            </w:pPr>
          </w:p>
        </w:tc>
        <w:tc>
          <w:tcPr>
            <w:tcW w:w="3060" w:type="dxa"/>
            <w:vAlign w:val="center"/>
          </w:tcPr>
          <w:p>
            <w:pPr>
              <w:jc w:val="center"/>
              <w:rPr>
                <w:rFonts w:ascii="宋体"/>
                <w:szCs w:val="21"/>
              </w:rPr>
            </w:pPr>
            <w:r>
              <w:rPr>
                <w:rFonts w:hint="eastAsia" w:ascii="宋体" w:hAnsi="宋体"/>
                <w:szCs w:val="21"/>
              </w:rPr>
              <w:t>无腐蚀</w:t>
            </w:r>
          </w:p>
        </w:tc>
        <w:tc>
          <w:tcPr>
            <w:tcW w:w="2520"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748" w:type="dxa"/>
            <w:gridSpan w:val="2"/>
            <w:vMerge w:val="continue"/>
            <w:vAlign w:val="center"/>
          </w:tcPr>
          <w:p>
            <w:pPr>
              <w:jc w:val="center"/>
              <w:rPr>
                <w:rFonts w:ascii="宋体"/>
                <w:szCs w:val="21"/>
              </w:rPr>
            </w:pPr>
          </w:p>
        </w:tc>
        <w:tc>
          <w:tcPr>
            <w:tcW w:w="2312" w:type="dxa"/>
            <w:vAlign w:val="center"/>
          </w:tcPr>
          <w:p>
            <w:pPr>
              <w:jc w:val="center"/>
              <w:rPr>
                <w:rFonts w:ascii="宋体"/>
                <w:szCs w:val="21"/>
              </w:rPr>
            </w:pPr>
            <w:r>
              <w:rPr>
                <w:rFonts w:hint="eastAsia" w:ascii="宋体" w:hAnsi="宋体"/>
                <w:szCs w:val="21"/>
              </w:rPr>
              <w:t>焊锡饱满凸出光滑无毛刺</w:t>
            </w:r>
          </w:p>
        </w:tc>
        <w:tc>
          <w:tcPr>
            <w:tcW w:w="720" w:type="dxa"/>
            <w:vAlign w:val="center"/>
          </w:tcPr>
          <w:p>
            <w:pPr>
              <w:jc w:val="center"/>
              <w:rPr>
                <w:rFonts w:ascii="宋体"/>
                <w:szCs w:val="21"/>
              </w:rPr>
            </w:pPr>
            <w:r>
              <w:rPr>
                <w:rFonts w:hint="eastAsia" w:ascii="宋体" w:hAnsi="宋体"/>
                <w:szCs w:val="21"/>
              </w:rPr>
              <w:t>主要</w:t>
            </w:r>
          </w:p>
        </w:tc>
        <w:tc>
          <w:tcPr>
            <w:tcW w:w="3060" w:type="dxa"/>
            <w:vAlign w:val="center"/>
          </w:tcPr>
          <w:p>
            <w:pPr>
              <w:jc w:val="center"/>
              <w:rPr>
                <w:rFonts w:ascii="宋体"/>
                <w:szCs w:val="21"/>
              </w:rPr>
            </w:pPr>
            <w:r>
              <w:rPr>
                <w:rFonts w:hint="eastAsia" w:ascii="宋体" w:hAnsi="宋体"/>
                <w:szCs w:val="21"/>
              </w:rPr>
              <w:t>焊接牢固、接触良好</w:t>
            </w:r>
          </w:p>
        </w:tc>
        <w:tc>
          <w:tcPr>
            <w:tcW w:w="2520" w:type="dxa"/>
            <w:vAlign w:val="center"/>
          </w:tcPr>
          <w:p>
            <w:pPr>
              <w:jc w:val="center"/>
              <w:rPr>
                <w:rFonts w:ascii="宋体"/>
                <w:szCs w:val="21"/>
              </w:rPr>
            </w:pPr>
            <w:r>
              <w:rPr>
                <w:rFonts w:hint="eastAsia" w:ascii="宋体" w:hAnsi="宋体"/>
                <w:szCs w:val="21"/>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748" w:type="dxa"/>
            <w:gridSpan w:val="2"/>
            <w:vAlign w:val="center"/>
          </w:tcPr>
          <w:p>
            <w:pPr>
              <w:jc w:val="center"/>
              <w:rPr>
                <w:rFonts w:ascii="宋体"/>
                <w:szCs w:val="21"/>
              </w:rPr>
            </w:pPr>
            <w:r>
              <w:rPr>
                <w:rFonts w:hint="eastAsia" w:ascii="宋体" w:hAnsi="宋体"/>
                <w:szCs w:val="21"/>
              </w:rPr>
              <w:t>线鼻子与芯线压接连接</w:t>
            </w:r>
          </w:p>
        </w:tc>
        <w:tc>
          <w:tcPr>
            <w:tcW w:w="2312" w:type="dxa"/>
            <w:vAlign w:val="center"/>
          </w:tcPr>
          <w:p>
            <w:pPr>
              <w:jc w:val="center"/>
              <w:rPr>
                <w:rFonts w:ascii="宋体"/>
                <w:szCs w:val="21"/>
              </w:rPr>
            </w:pPr>
            <w:r>
              <w:rPr>
                <w:rFonts w:hint="eastAsia" w:ascii="宋体" w:hAnsi="宋体"/>
                <w:szCs w:val="21"/>
              </w:rPr>
              <w:t>压入深度，压接位置及坑间排列</w:t>
            </w:r>
          </w:p>
        </w:tc>
        <w:tc>
          <w:tcPr>
            <w:tcW w:w="720" w:type="dxa"/>
            <w:vAlign w:val="center"/>
          </w:tcPr>
          <w:p>
            <w:pPr>
              <w:jc w:val="center"/>
              <w:rPr>
                <w:rFonts w:ascii="宋体"/>
                <w:szCs w:val="21"/>
              </w:rPr>
            </w:pPr>
            <w:r>
              <w:rPr>
                <w:rFonts w:hint="eastAsia" w:ascii="宋体" w:hAnsi="宋体"/>
                <w:szCs w:val="21"/>
              </w:rPr>
              <w:t>主要</w:t>
            </w:r>
          </w:p>
        </w:tc>
        <w:tc>
          <w:tcPr>
            <w:tcW w:w="3060" w:type="dxa"/>
            <w:vAlign w:val="center"/>
          </w:tcPr>
          <w:p>
            <w:pPr>
              <w:jc w:val="center"/>
              <w:rPr>
                <w:rFonts w:ascii="宋体"/>
                <w:szCs w:val="21"/>
              </w:rPr>
            </w:pPr>
            <w:r>
              <w:rPr>
                <w:rFonts w:hint="eastAsia" w:ascii="宋体" w:hAnsi="宋体"/>
                <w:szCs w:val="21"/>
              </w:rPr>
              <w:t>符合工艺规程规定，线鼻子与芯线接触良好，无裂纹断线</w:t>
            </w:r>
          </w:p>
        </w:tc>
        <w:tc>
          <w:tcPr>
            <w:tcW w:w="2520" w:type="dxa"/>
            <w:vAlign w:val="center"/>
          </w:tcPr>
          <w:p>
            <w:pPr>
              <w:jc w:val="center"/>
              <w:rPr>
                <w:rFonts w:ascii="宋体"/>
                <w:szCs w:val="21"/>
              </w:rPr>
            </w:pPr>
            <w:r>
              <w:rPr>
                <w:rFonts w:hint="eastAsia" w:ascii="宋体" w:hAnsi="宋体"/>
                <w:szCs w:val="21"/>
              </w:rPr>
              <w:t>对照工艺观察检查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3060" w:type="dxa"/>
            <w:gridSpan w:val="3"/>
            <w:vAlign w:val="center"/>
          </w:tcPr>
          <w:p>
            <w:pPr>
              <w:spacing w:line="360" w:lineRule="auto"/>
              <w:jc w:val="center"/>
              <w:rPr>
                <w:rFonts w:ascii="宋体"/>
                <w:szCs w:val="21"/>
              </w:rPr>
            </w:pPr>
            <w:r>
              <w:rPr>
                <w:rFonts w:hint="eastAsia" w:ascii="宋体" w:hAnsi="宋体"/>
                <w:szCs w:val="21"/>
              </w:rPr>
              <w:t>相色标志</w:t>
            </w:r>
          </w:p>
        </w:tc>
        <w:tc>
          <w:tcPr>
            <w:tcW w:w="720" w:type="dxa"/>
            <w:vAlign w:val="center"/>
          </w:tcPr>
          <w:p>
            <w:pPr>
              <w:spacing w:line="360" w:lineRule="auto"/>
              <w:jc w:val="center"/>
              <w:rPr>
                <w:rFonts w:ascii="宋体"/>
                <w:szCs w:val="21"/>
              </w:rPr>
            </w:pPr>
          </w:p>
        </w:tc>
        <w:tc>
          <w:tcPr>
            <w:tcW w:w="3060" w:type="dxa"/>
            <w:vAlign w:val="center"/>
          </w:tcPr>
          <w:p>
            <w:pPr>
              <w:spacing w:line="360" w:lineRule="auto"/>
              <w:jc w:val="center"/>
              <w:rPr>
                <w:rFonts w:ascii="宋体"/>
                <w:szCs w:val="21"/>
              </w:rPr>
            </w:pPr>
            <w:r>
              <w:rPr>
                <w:rFonts w:hint="eastAsia" w:ascii="宋体" w:hAnsi="宋体"/>
                <w:szCs w:val="21"/>
              </w:rPr>
              <w:t>正确</w:t>
            </w:r>
          </w:p>
        </w:tc>
        <w:tc>
          <w:tcPr>
            <w:tcW w:w="2520" w:type="dxa"/>
            <w:vAlign w:val="center"/>
          </w:tcPr>
          <w:p>
            <w:pPr>
              <w:spacing w:line="360" w:lineRule="auto"/>
              <w:jc w:val="center"/>
              <w:rPr>
                <w:rFonts w:ascii="宋体"/>
                <w:szCs w:val="21"/>
              </w:rPr>
            </w:pPr>
            <w:r>
              <w:rPr>
                <w:rFonts w:hint="eastAsia" w:ascii="宋体" w:hAnsi="宋体"/>
                <w:szCs w:val="21"/>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3060" w:type="dxa"/>
            <w:gridSpan w:val="3"/>
            <w:vAlign w:val="center"/>
          </w:tcPr>
          <w:p>
            <w:pPr>
              <w:spacing w:line="360" w:lineRule="auto"/>
              <w:jc w:val="center"/>
              <w:rPr>
                <w:rFonts w:ascii="宋体"/>
                <w:szCs w:val="21"/>
              </w:rPr>
            </w:pPr>
            <w:r>
              <w:rPr>
                <w:rFonts w:hint="eastAsia" w:ascii="宋体" w:hAnsi="宋体"/>
                <w:szCs w:val="21"/>
              </w:rPr>
              <w:t>控缆盘下入口处电缆排列</w:t>
            </w:r>
          </w:p>
        </w:tc>
        <w:tc>
          <w:tcPr>
            <w:tcW w:w="720" w:type="dxa"/>
            <w:vAlign w:val="center"/>
          </w:tcPr>
          <w:p>
            <w:pPr>
              <w:spacing w:line="360" w:lineRule="auto"/>
              <w:jc w:val="center"/>
              <w:rPr>
                <w:rFonts w:ascii="宋体"/>
                <w:szCs w:val="21"/>
              </w:rPr>
            </w:pPr>
          </w:p>
        </w:tc>
        <w:tc>
          <w:tcPr>
            <w:tcW w:w="3060" w:type="dxa"/>
            <w:vAlign w:val="center"/>
          </w:tcPr>
          <w:p>
            <w:pPr>
              <w:spacing w:line="360" w:lineRule="auto"/>
              <w:jc w:val="center"/>
              <w:rPr>
                <w:rFonts w:ascii="宋体"/>
                <w:szCs w:val="21"/>
              </w:rPr>
            </w:pPr>
            <w:r>
              <w:rPr>
                <w:rFonts w:hint="eastAsia" w:ascii="宋体" w:hAnsi="宋体"/>
                <w:szCs w:val="21"/>
              </w:rPr>
              <w:t>整齐、少交叉</w:t>
            </w:r>
          </w:p>
        </w:tc>
        <w:tc>
          <w:tcPr>
            <w:tcW w:w="2520" w:type="dxa"/>
            <w:vAlign w:val="center"/>
          </w:tcPr>
          <w:p>
            <w:pPr>
              <w:spacing w:line="360" w:lineRule="auto"/>
              <w:jc w:val="center"/>
              <w:rPr>
                <w:rFonts w:ascii="宋体"/>
                <w:szCs w:val="21"/>
              </w:rPr>
            </w:pPr>
            <w:r>
              <w:rPr>
                <w:rFonts w:hint="eastAsia" w:ascii="宋体" w:hAnsi="宋体"/>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3060" w:type="dxa"/>
            <w:gridSpan w:val="3"/>
            <w:vAlign w:val="center"/>
          </w:tcPr>
          <w:p>
            <w:pPr>
              <w:spacing w:line="360" w:lineRule="auto"/>
              <w:jc w:val="center"/>
              <w:rPr>
                <w:rFonts w:ascii="宋体"/>
                <w:szCs w:val="21"/>
              </w:rPr>
            </w:pPr>
            <w:r>
              <w:rPr>
                <w:rFonts w:hint="eastAsia" w:ascii="宋体" w:hAnsi="宋体"/>
                <w:szCs w:val="21"/>
              </w:rPr>
              <w:t>控缆上盘时弯度</w:t>
            </w:r>
          </w:p>
        </w:tc>
        <w:tc>
          <w:tcPr>
            <w:tcW w:w="720" w:type="dxa"/>
            <w:vAlign w:val="center"/>
          </w:tcPr>
          <w:p>
            <w:pPr>
              <w:spacing w:line="360" w:lineRule="auto"/>
              <w:jc w:val="center"/>
              <w:rPr>
                <w:rFonts w:ascii="宋体"/>
                <w:szCs w:val="21"/>
              </w:rPr>
            </w:pPr>
          </w:p>
        </w:tc>
        <w:tc>
          <w:tcPr>
            <w:tcW w:w="3060" w:type="dxa"/>
            <w:vAlign w:val="center"/>
          </w:tcPr>
          <w:p>
            <w:pPr>
              <w:spacing w:line="360" w:lineRule="auto"/>
              <w:jc w:val="center"/>
              <w:rPr>
                <w:rFonts w:ascii="宋体"/>
                <w:szCs w:val="21"/>
              </w:rPr>
            </w:pPr>
            <w:r>
              <w:rPr>
                <w:rFonts w:hint="eastAsia" w:ascii="宋体" w:hAnsi="宋体"/>
                <w:szCs w:val="21"/>
              </w:rPr>
              <w:t>一致</w:t>
            </w:r>
          </w:p>
        </w:tc>
        <w:tc>
          <w:tcPr>
            <w:tcW w:w="2520" w:type="dxa"/>
            <w:vAlign w:val="center"/>
          </w:tcPr>
          <w:p>
            <w:pPr>
              <w:spacing w:line="360" w:lineRule="auto"/>
              <w:jc w:val="center"/>
              <w:rPr>
                <w:rFonts w:ascii="宋体"/>
                <w:szCs w:val="21"/>
              </w:rPr>
            </w:pPr>
            <w:r>
              <w:rPr>
                <w:rFonts w:hint="eastAsia" w:ascii="宋体" w:hAnsi="宋体"/>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3060" w:type="dxa"/>
            <w:gridSpan w:val="3"/>
            <w:vAlign w:val="center"/>
          </w:tcPr>
          <w:p>
            <w:pPr>
              <w:spacing w:line="360" w:lineRule="auto"/>
              <w:jc w:val="center"/>
              <w:rPr>
                <w:rFonts w:ascii="宋体"/>
                <w:szCs w:val="21"/>
              </w:rPr>
            </w:pPr>
            <w:r>
              <w:rPr>
                <w:rFonts w:hint="eastAsia" w:ascii="宋体" w:hAnsi="宋体"/>
                <w:szCs w:val="21"/>
              </w:rPr>
              <w:t>铠装剥切位置</w:t>
            </w:r>
          </w:p>
        </w:tc>
        <w:tc>
          <w:tcPr>
            <w:tcW w:w="720" w:type="dxa"/>
            <w:vAlign w:val="center"/>
          </w:tcPr>
          <w:p>
            <w:pPr>
              <w:spacing w:line="360" w:lineRule="auto"/>
              <w:jc w:val="center"/>
              <w:rPr>
                <w:rFonts w:ascii="宋体"/>
                <w:szCs w:val="21"/>
              </w:rPr>
            </w:pPr>
          </w:p>
        </w:tc>
        <w:tc>
          <w:tcPr>
            <w:tcW w:w="3060" w:type="dxa"/>
            <w:vAlign w:val="center"/>
          </w:tcPr>
          <w:p>
            <w:pPr>
              <w:spacing w:line="360" w:lineRule="auto"/>
              <w:jc w:val="center"/>
              <w:rPr>
                <w:rFonts w:ascii="宋体"/>
                <w:szCs w:val="21"/>
              </w:rPr>
            </w:pPr>
            <w:r>
              <w:rPr>
                <w:rFonts w:hint="eastAsia" w:ascii="宋体" w:hAnsi="宋体"/>
                <w:szCs w:val="21"/>
              </w:rPr>
              <w:t>在盘下侧，且一致</w:t>
            </w:r>
          </w:p>
        </w:tc>
        <w:tc>
          <w:tcPr>
            <w:tcW w:w="2520" w:type="dxa"/>
            <w:vAlign w:val="center"/>
          </w:tcPr>
          <w:p>
            <w:pPr>
              <w:spacing w:line="360" w:lineRule="auto"/>
              <w:jc w:val="center"/>
              <w:rPr>
                <w:rFonts w:ascii="宋体"/>
                <w:szCs w:val="21"/>
              </w:rPr>
            </w:pPr>
            <w:r>
              <w:rPr>
                <w:rFonts w:hint="eastAsia" w:ascii="宋体" w:hAnsi="宋体"/>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3060" w:type="dxa"/>
            <w:gridSpan w:val="3"/>
            <w:vAlign w:val="center"/>
          </w:tcPr>
          <w:p>
            <w:pPr>
              <w:spacing w:line="360" w:lineRule="auto"/>
              <w:jc w:val="center"/>
              <w:rPr>
                <w:rFonts w:ascii="宋体"/>
                <w:szCs w:val="21"/>
              </w:rPr>
            </w:pPr>
            <w:r>
              <w:rPr>
                <w:rFonts w:hint="eastAsia" w:ascii="宋体" w:hAnsi="宋体"/>
                <w:szCs w:val="21"/>
              </w:rPr>
              <w:t>控缆电缆牌规格</w:t>
            </w:r>
          </w:p>
        </w:tc>
        <w:tc>
          <w:tcPr>
            <w:tcW w:w="720" w:type="dxa"/>
            <w:vAlign w:val="center"/>
          </w:tcPr>
          <w:p>
            <w:pPr>
              <w:spacing w:line="360" w:lineRule="auto"/>
              <w:jc w:val="center"/>
              <w:rPr>
                <w:rFonts w:ascii="宋体"/>
                <w:szCs w:val="21"/>
              </w:rPr>
            </w:pPr>
          </w:p>
        </w:tc>
        <w:tc>
          <w:tcPr>
            <w:tcW w:w="3060" w:type="dxa"/>
            <w:vAlign w:val="center"/>
          </w:tcPr>
          <w:p>
            <w:pPr>
              <w:spacing w:line="360" w:lineRule="auto"/>
              <w:jc w:val="center"/>
              <w:rPr>
                <w:rFonts w:ascii="宋体"/>
                <w:szCs w:val="21"/>
              </w:rPr>
            </w:pPr>
            <w:r>
              <w:rPr>
                <w:rFonts w:hint="eastAsia" w:ascii="宋体" w:hAnsi="宋体"/>
                <w:szCs w:val="21"/>
              </w:rPr>
              <w:t>一致</w:t>
            </w:r>
          </w:p>
        </w:tc>
        <w:tc>
          <w:tcPr>
            <w:tcW w:w="2520" w:type="dxa"/>
            <w:vAlign w:val="center"/>
          </w:tcPr>
          <w:p>
            <w:pPr>
              <w:spacing w:line="360" w:lineRule="auto"/>
              <w:jc w:val="center"/>
              <w:rPr>
                <w:rFonts w:ascii="宋体"/>
                <w:szCs w:val="21"/>
              </w:rPr>
            </w:pPr>
            <w:r>
              <w:rPr>
                <w:rFonts w:hint="eastAsia" w:ascii="宋体" w:hAnsi="宋体"/>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3060" w:type="dxa"/>
            <w:gridSpan w:val="3"/>
            <w:vAlign w:val="center"/>
          </w:tcPr>
          <w:p>
            <w:pPr>
              <w:spacing w:line="360" w:lineRule="auto"/>
              <w:jc w:val="center"/>
              <w:rPr>
                <w:rFonts w:ascii="宋体"/>
                <w:szCs w:val="21"/>
              </w:rPr>
            </w:pPr>
            <w:r>
              <w:rPr>
                <w:rFonts w:hint="eastAsia" w:ascii="宋体" w:hAnsi="宋体"/>
                <w:szCs w:val="21"/>
              </w:rPr>
              <w:t>控缆电缆牌标志内容</w:t>
            </w:r>
          </w:p>
        </w:tc>
        <w:tc>
          <w:tcPr>
            <w:tcW w:w="720" w:type="dxa"/>
            <w:vAlign w:val="center"/>
          </w:tcPr>
          <w:p>
            <w:pPr>
              <w:spacing w:line="360" w:lineRule="auto"/>
              <w:jc w:val="center"/>
              <w:rPr>
                <w:rFonts w:ascii="宋体"/>
                <w:szCs w:val="21"/>
              </w:rPr>
            </w:pPr>
          </w:p>
        </w:tc>
        <w:tc>
          <w:tcPr>
            <w:tcW w:w="3060" w:type="dxa"/>
            <w:vAlign w:val="center"/>
          </w:tcPr>
          <w:p>
            <w:pPr>
              <w:spacing w:line="360" w:lineRule="auto"/>
              <w:jc w:val="center"/>
              <w:rPr>
                <w:rFonts w:ascii="宋体"/>
                <w:szCs w:val="21"/>
              </w:rPr>
            </w:pPr>
            <w:r>
              <w:rPr>
                <w:rFonts w:hint="eastAsia" w:ascii="宋体" w:hAnsi="宋体"/>
                <w:szCs w:val="21"/>
              </w:rPr>
              <w:t>齐全正确</w:t>
            </w:r>
          </w:p>
        </w:tc>
        <w:tc>
          <w:tcPr>
            <w:tcW w:w="2520" w:type="dxa"/>
            <w:vAlign w:val="center"/>
          </w:tcPr>
          <w:p>
            <w:pPr>
              <w:spacing w:line="360" w:lineRule="auto"/>
              <w:jc w:val="center"/>
              <w:rPr>
                <w:rFonts w:ascii="宋体"/>
                <w:szCs w:val="21"/>
              </w:rPr>
            </w:pPr>
            <w:r>
              <w:rPr>
                <w:rFonts w:hint="eastAsia" w:ascii="宋体" w:hAnsi="宋体"/>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3060" w:type="dxa"/>
            <w:gridSpan w:val="3"/>
            <w:vAlign w:val="center"/>
          </w:tcPr>
          <w:p>
            <w:pPr>
              <w:spacing w:line="360" w:lineRule="auto"/>
              <w:jc w:val="center"/>
              <w:rPr>
                <w:rFonts w:ascii="宋体"/>
                <w:szCs w:val="21"/>
              </w:rPr>
            </w:pPr>
            <w:r>
              <w:rPr>
                <w:rFonts w:hint="eastAsia" w:ascii="宋体" w:hAnsi="宋体"/>
                <w:szCs w:val="21"/>
              </w:rPr>
              <w:t>控缆挂牌位置</w:t>
            </w:r>
          </w:p>
        </w:tc>
        <w:tc>
          <w:tcPr>
            <w:tcW w:w="720" w:type="dxa"/>
            <w:vAlign w:val="center"/>
          </w:tcPr>
          <w:p>
            <w:pPr>
              <w:spacing w:line="360" w:lineRule="auto"/>
              <w:jc w:val="center"/>
              <w:rPr>
                <w:rFonts w:ascii="宋体"/>
                <w:szCs w:val="21"/>
              </w:rPr>
            </w:pPr>
          </w:p>
        </w:tc>
        <w:tc>
          <w:tcPr>
            <w:tcW w:w="3060" w:type="dxa"/>
            <w:vAlign w:val="center"/>
          </w:tcPr>
          <w:p>
            <w:pPr>
              <w:spacing w:line="360" w:lineRule="auto"/>
              <w:jc w:val="center"/>
              <w:rPr>
                <w:rFonts w:ascii="宋体"/>
                <w:szCs w:val="21"/>
              </w:rPr>
            </w:pPr>
            <w:r>
              <w:rPr>
                <w:rFonts w:hint="eastAsia" w:ascii="宋体" w:hAnsi="宋体"/>
                <w:szCs w:val="21"/>
              </w:rPr>
              <w:t>每个电缆头下</w:t>
            </w:r>
          </w:p>
        </w:tc>
        <w:tc>
          <w:tcPr>
            <w:tcW w:w="2520" w:type="dxa"/>
            <w:vAlign w:val="center"/>
          </w:tcPr>
          <w:p>
            <w:pPr>
              <w:spacing w:line="360" w:lineRule="auto"/>
              <w:jc w:val="center"/>
              <w:rPr>
                <w:rFonts w:ascii="宋体"/>
                <w:szCs w:val="21"/>
              </w:rPr>
            </w:pPr>
            <w:r>
              <w:rPr>
                <w:rFonts w:hint="eastAsia" w:ascii="宋体" w:hAnsi="宋体"/>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3060" w:type="dxa"/>
            <w:gridSpan w:val="3"/>
            <w:vAlign w:val="center"/>
          </w:tcPr>
          <w:p>
            <w:pPr>
              <w:spacing w:line="360" w:lineRule="auto"/>
              <w:jc w:val="center"/>
              <w:rPr>
                <w:rFonts w:ascii="宋体"/>
                <w:szCs w:val="21"/>
              </w:rPr>
            </w:pPr>
            <w:r>
              <w:rPr>
                <w:rFonts w:hint="eastAsia" w:ascii="宋体" w:hAnsi="宋体"/>
                <w:szCs w:val="21"/>
              </w:rPr>
              <w:t>控缆标志牌固定</w:t>
            </w:r>
          </w:p>
        </w:tc>
        <w:tc>
          <w:tcPr>
            <w:tcW w:w="720" w:type="dxa"/>
            <w:vAlign w:val="center"/>
          </w:tcPr>
          <w:p>
            <w:pPr>
              <w:spacing w:line="360" w:lineRule="auto"/>
              <w:jc w:val="center"/>
              <w:rPr>
                <w:rFonts w:ascii="宋体"/>
                <w:szCs w:val="21"/>
              </w:rPr>
            </w:pPr>
          </w:p>
        </w:tc>
        <w:tc>
          <w:tcPr>
            <w:tcW w:w="3060" w:type="dxa"/>
            <w:vAlign w:val="center"/>
          </w:tcPr>
          <w:p>
            <w:pPr>
              <w:spacing w:line="360" w:lineRule="auto"/>
              <w:jc w:val="center"/>
              <w:rPr>
                <w:rFonts w:ascii="宋体"/>
                <w:szCs w:val="21"/>
              </w:rPr>
            </w:pPr>
            <w:r>
              <w:rPr>
                <w:rFonts w:hint="eastAsia" w:ascii="宋体" w:hAnsi="宋体"/>
                <w:szCs w:val="21"/>
              </w:rPr>
              <w:t>整齐牢固</w:t>
            </w:r>
          </w:p>
        </w:tc>
        <w:tc>
          <w:tcPr>
            <w:tcW w:w="2520" w:type="dxa"/>
            <w:vAlign w:val="center"/>
          </w:tcPr>
          <w:p>
            <w:pPr>
              <w:spacing w:line="360" w:lineRule="auto"/>
              <w:jc w:val="center"/>
              <w:rPr>
                <w:rFonts w:ascii="宋体"/>
                <w:szCs w:val="21"/>
              </w:rPr>
            </w:pPr>
            <w:r>
              <w:rPr>
                <w:rFonts w:hint="eastAsia" w:ascii="宋体" w:hAnsi="宋体"/>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3060" w:type="dxa"/>
            <w:gridSpan w:val="3"/>
            <w:vAlign w:val="center"/>
          </w:tcPr>
          <w:p>
            <w:pPr>
              <w:spacing w:line="360" w:lineRule="auto"/>
              <w:jc w:val="center"/>
              <w:rPr>
                <w:rFonts w:ascii="宋体"/>
                <w:szCs w:val="21"/>
              </w:rPr>
            </w:pPr>
            <w:r>
              <w:rPr>
                <w:rFonts w:hint="eastAsia" w:ascii="宋体" w:hAnsi="宋体"/>
                <w:szCs w:val="21"/>
              </w:rPr>
              <w:t>控缆头制作用塑料带</w:t>
            </w:r>
          </w:p>
        </w:tc>
        <w:tc>
          <w:tcPr>
            <w:tcW w:w="720" w:type="dxa"/>
            <w:vAlign w:val="center"/>
          </w:tcPr>
          <w:p>
            <w:pPr>
              <w:spacing w:line="360" w:lineRule="auto"/>
              <w:jc w:val="center"/>
              <w:rPr>
                <w:rFonts w:ascii="宋体"/>
                <w:szCs w:val="21"/>
              </w:rPr>
            </w:pPr>
          </w:p>
        </w:tc>
        <w:tc>
          <w:tcPr>
            <w:tcW w:w="3060" w:type="dxa"/>
            <w:vAlign w:val="center"/>
          </w:tcPr>
          <w:p>
            <w:pPr>
              <w:spacing w:line="360" w:lineRule="auto"/>
              <w:jc w:val="center"/>
              <w:rPr>
                <w:rFonts w:ascii="宋体"/>
                <w:szCs w:val="21"/>
              </w:rPr>
            </w:pPr>
            <w:r>
              <w:rPr>
                <w:rFonts w:hint="eastAsia" w:ascii="宋体" w:hAnsi="宋体"/>
                <w:szCs w:val="21"/>
              </w:rPr>
              <w:t>同盘内应一致</w:t>
            </w:r>
          </w:p>
        </w:tc>
        <w:tc>
          <w:tcPr>
            <w:tcW w:w="2520" w:type="dxa"/>
            <w:vAlign w:val="center"/>
          </w:tcPr>
          <w:p>
            <w:pPr>
              <w:spacing w:line="360" w:lineRule="auto"/>
              <w:jc w:val="center"/>
              <w:rPr>
                <w:rFonts w:ascii="宋体"/>
                <w:szCs w:val="21"/>
              </w:rPr>
            </w:pPr>
            <w:r>
              <w:rPr>
                <w:rFonts w:hint="eastAsia" w:ascii="宋体" w:hAnsi="宋体"/>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3060" w:type="dxa"/>
            <w:gridSpan w:val="3"/>
            <w:vAlign w:val="center"/>
          </w:tcPr>
          <w:p>
            <w:pPr>
              <w:spacing w:line="360" w:lineRule="auto"/>
              <w:jc w:val="center"/>
              <w:rPr>
                <w:rFonts w:ascii="宋体"/>
                <w:szCs w:val="21"/>
              </w:rPr>
            </w:pPr>
            <w:r>
              <w:rPr>
                <w:rFonts w:hint="eastAsia" w:ascii="宋体" w:hAnsi="宋体"/>
                <w:szCs w:val="21"/>
              </w:rPr>
              <w:t>控缆芯线绝缘层外观检查</w:t>
            </w:r>
          </w:p>
        </w:tc>
        <w:tc>
          <w:tcPr>
            <w:tcW w:w="720" w:type="dxa"/>
            <w:vAlign w:val="center"/>
          </w:tcPr>
          <w:p>
            <w:pPr>
              <w:spacing w:line="360" w:lineRule="auto"/>
              <w:jc w:val="center"/>
              <w:rPr>
                <w:rFonts w:ascii="宋体"/>
                <w:szCs w:val="21"/>
              </w:rPr>
            </w:pPr>
          </w:p>
        </w:tc>
        <w:tc>
          <w:tcPr>
            <w:tcW w:w="3060" w:type="dxa"/>
            <w:vAlign w:val="center"/>
          </w:tcPr>
          <w:p>
            <w:pPr>
              <w:spacing w:line="360" w:lineRule="auto"/>
              <w:jc w:val="center"/>
              <w:rPr>
                <w:rFonts w:ascii="宋体"/>
                <w:szCs w:val="21"/>
              </w:rPr>
            </w:pPr>
            <w:r>
              <w:rPr>
                <w:rFonts w:hint="eastAsia" w:ascii="宋体" w:hAnsi="宋体"/>
                <w:szCs w:val="21"/>
              </w:rPr>
              <w:t>完好无损伤</w:t>
            </w:r>
          </w:p>
        </w:tc>
        <w:tc>
          <w:tcPr>
            <w:tcW w:w="2520" w:type="dxa"/>
            <w:vAlign w:val="center"/>
          </w:tcPr>
          <w:p>
            <w:pPr>
              <w:spacing w:line="360" w:lineRule="auto"/>
              <w:jc w:val="center"/>
              <w:rPr>
                <w:rFonts w:ascii="宋体"/>
                <w:szCs w:val="21"/>
              </w:rPr>
            </w:pPr>
            <w:r>
              <w:rPr>
                <w:rFonts w:hint="eastAsia" w:ascii="宋体" w:hAnsi="宋体"/>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3060" w:type="dxa"/>
            <w:gridSpan w:val="3"/>
            <w:vAlign w:val="center"/>
          </w:tcPr>
          <w:p>
            <w:pPr>
              <w:spacing w:line="360" w:lineRule="auto"/>
              <w:jc w:val="center"/>
              <w:rPr>
                <w:rFonts w:ascii="宋体"/>
                <w:szCs w:val="21"/>
              </w:rPr>
            </w:pPr>
            <w:r>
              <w:rPr>
                <w:rFonts w:hint="eastAsia" w:ascii="宋体" w:hAnsi="宋体"/>
                <w:szCs w:val="21"/>
              </w:rPr>
              <w:t>控缆屏蔽层接地</w:t>
            </w:r>
          </w:p>
        </w:tc>
        <w:tc>
          <w:tcPr>
            <w:tcW w:w="720" w:type="dxa"/>
            <w:vAlign w:val="center"/>
          </w:tcPr>
          <w:p>
            <w:pPr>
              <w:spacing w:line="360" w:lineRule="auto"/>
              <w:jc w:val="center"/>
              <w:rPr>
                <w:rFonts w:ascii="宋体"/>
                <w:szCs w:val="21"/>
              </w:rPr>
            </w:pPr>
          </w:p>
        </w:tc>
        <w:tc>
          <w:tcPr>
            <w:tcW w:w="3060" w:type="dxa"/>
            <w:vAlign w:val="center"/>
          </w:tcPr>
          <w:p>
            <w:pPr>
              <w:spacing w:line="360" w:lineRule="auto"/>
              <w:jc w:val="center"/>
              <w:rPr>
                <w:rFonts w:ascii="宋体"/>
                <w:szCs w:val="21"/>
              </w:rPr>
            </w:pPr>
            <w:r>
              <w:rPr>
                <w:rFonts w:hint="eastAsia" w:ascii="宋体" w:hAnsi="宋体"/>
                <w:szCs w:val="21"/>
              </w:rPr>
              <w:t>可靠</w:t>
            </w:r>
          </w:p>
        </w:tc>
        <w:tc>
          <w:tcPr>
            <w:tcW w:w="2520" w:type="dxa"/>
            <w:vAlign w:val="center"/>
          </w:tcPr>
          <w:p>
            <w:pPr>
              <w:spacing w:line="360" w:lineRule="auto"/>
              <w:jc w:val="center"/>
              <w:rPr>
                <w:rFonts w:ascii="宋体"/>
                <w:szCs w:val="21"/>
              </w:rPr>
            </w:pPr>
            <w:r>
              <w:rPr>
                <w:rFonts w:hint="eastAsia" w:ascii="宋体" w:hAnsi="宋体"/>
                <w:szCs w:val="21"/>
              </w:rPr>
              <w:t>观察</w:t>
            </w:r>
          </w:p>
        </w:tc>
      </w:tr>
      <w:bookmarkEnd w:id="29"/>
      <w:bookmarkEnd w:id="30"/>
      <w:bookmarkEnd w:id="31"/>
      <w:bookmarkEnd w:id="32"/>
      <w:bookmarkEnd w:id="33"/>
      <w:bookmarkEnd w:id="34"/>
    </w:tbl>
    <w:p>
      <w:pPr>
        <w:tabs>
          <w:tab w:val="left" w:pos="0"/>
          <w:tab w:val="left" w:pos="600"/>
        </w:tabs>
        <w:spacing w:line="360" w:lineRule="auto"/>
        <w:rPr>
          <w:rFonts w:ascii="宋体"/>
          <w:sz w:val="24"/>
          <w:szCs w:val="24"/>
        </w:rPr>
      </w:pPr>
      <w:bookmarkStart w:id="35" w:name="_Toc19738"/>
      <w:bookmarkStart w:id="36" w:name="_Toc25735"/>
      <w:bookmarkStart w:id="37" w:name="_Toc25176"/>
      <w:bookmarkStart w:id="38" w:name="_Toc685"/>
      <w:bookmarkStart w:id="39" w:name="_Toc18225"/>
      <w:bookmarkStart w:id="40" w:name="_Toc24291"/>
      <w:bookmarkStart w:id="41" w:name="_Toc4704"/>
      <w:bookmarkStart w:id="42" w:name="_Toc7226"/>
      <w:bookmarkStart w:id="43" w:name="_Toc26878"/>
      <w:bookmarkStart w:id="44" w:name="_Toc12002"/>
      <w:r>
        <w:rPr>
          <w:rFonts w:ascii="宋体" w:hAnsi="宋体"/>
          <w:sz w:val="24"/>
          <w:szCs w:val="24"/>
        </w:rPr>
        <w:t>5.4.6</w:t>
      </w:r>
      <w:r>
        <w:rPr>
          <w:rFonts w:hint="eastAsia" w:ascii="宋体" w:hAnsi="宋体"/>
          <w:sz w:val="24"/>
          <w:szCs w:val="24"/>
        </w:rPr>
        <w:t>二次配线</w:t>
      </w:r>
    </w:p>
    <w:p>
      <w:pPr>
        <w:tabs>
          <w:tab w:val="left" w:pos="0"/>
          <w:tab w:val="left" w:pos="600"/>
        </w:tabs>
        <w:spacing w:line="360" w:lineRule="auto"/>
        <w:rPr>
          <w:rFonts w:ascii="宋体"/>
          <w:b/>
          <w:sz w:val="24"/>
          <w:szCs w:val="24"/>
        </w:rPr>
      </w:pPr>
      <w:r>
        <w:rPr>
          <w:rFonts w:ascii="宋体" w:hAnsi="宋体"/>
          <w:sz w:val="24"/>
          <w:szCs w:val="24"/>
        </w:rPr>
        <w:t>5.4.6.1</w:t>
      </w:r>
      <w:r>
        <w:rPr>
          <w:rFonts w:hint="eastAsia" w:ascii="宋体" w:hAnsi="宋体"/>
          <w:sz w:val="24"/>
          <w:szCs w:val="24"/>
        </w:rPr>
        <w:t>整理电缆，困扎成把，固定在盘柜框架上，电缆那固定良好可靠，避免电缆芯处于受力状态，导致拉扯芯线及端子，给电站运行留下隐患。</w:t>
      </w:r>
    </w:p>
    <w:p>
      <w:pPr>
        <w:tabs>
          <w:tab w:val="left" w:pos="0"/>
          <w:tab w:val="left" w:pos="600"/>
        </w:tabs>
        <w:spacing w:line="360" w:lineRule="auto"/>
        <w:rPr>
          <w:rFonts w:ascii="宋体"/>
          <w:sz w:val="24"/>
          <w:szCs w:val="24"/>
        </w:rPr>
      </w:pPr>
      <w:r>
        <w:rPr>
          <w:rFonts w:ascii="宋体" w:hAnsi="宋体"/>
          <w:sz w:val="24"/>
          <w:szCs w:val="24"/>
        </w:rPr>
        <w:t>5.4.6.2</w:t>
      </w:r>
      <w:r>
        <w:rPr>
          <w:rFonts w:hint="eastAsia" w:ascii="宋体" w:hAnsi="宋体"/>
          <w:sz w:val="24"/>
          <w:szCs w:val="24"/>
        </w:rPr>
        <w:t>电缆进出盘柜要排列整齐，编号清晰固定牢靠。铠装电缆要在进盘柜后切断钢带，电缆头制作高度统一且电缆头制作美观。电缆剖头深浅长短要把握好，避免伤及芯线绝缘。要在断口处扎紧且钢带要引出接地线可靠接地，无明确要求时，计算机系统电缆统一单端在计算机控制柜内接地可靠。</w:t>
      </w:r>
    </w:p>
    <w:p>
      <w:pPr>
        <w:tabs>
          <w:tab w:val="left" w:pos="0"/>
          <w:tab w:val="left" w:pos="600"/>
        </w:tabs>
        <w:spacing w:line="360" w:lineRule="auto"/>
        <w:rPr>
          <w:rFonts w:ascii="宋体"/>
          <w:sz w:val="24"/>
          <w:szCs w:val="24"/>
        </w:rPr>
      </w:pPr>
      <w:r>
        <w:rPr>
          <w:rFonts w:ascii="宋体" w:hAnsi="宋体"/>
          <w:sz w:val="24"/>
          <w:szCs w:val="24"/>
        </w:rPr>
        <w:t>5.4.6.3</w:t>
      </w:r>
      <w:r>
        <w:rPr>
          <w:rFonts w:hint="eastAsia" w:ascii="宋体" w:hAnsi="宋体"/>
          <w:sz w:val="24"/>
          <w:szCs w:val="24"/>
        </w:rPr>
        <w:t>电缆插接位置正确，接触紧密牢靠，插接端子完好无损。</w:t>
      </w:r>
    </w:p>
    <w:p>
      <w:pPr>
        <w:tabs>
          <w:tab w:val="left" w:pos="0"/>
          <w:tab w:val="left" w:pos="600"/>
        </w:tabs>
        <w:spacing w:line="360" w:lineRule="auto"/>
        <w:rPr>
          <w:rFonts w:ascii="宋体"/>
          <w:sz w:val="24"/>
          <w:szCs w:val="24"/>
        </w:rPr>
      </w:pPr>
      <w:r>
        <w:rPr>
          <w:rFonts w:ascii="宋体" w:hAnsi="宋体"/>
          <w:sz w:val="24"/>
          <w:szCs w:val="24"/>
        </w:rPr>
        <w:t>5.4.6.4</w:t>
      </w:r>
      <w:r>
        <w:rPr>
          <w:rFonts w:hint="eastAsia" w:ascii="宋体" w:hAnsi="宋体"/>
          <w:sz w:val="24"/>
          <w:szCs w:val="24"/>
        </w:rPr>
        <w:t>电缆芯线要标明电缆编号，回路号，端子号，字迹清晰，不褪色。芯线标示管与电缆芯线大小相对应，长度一致，标识内容同设计图纸一致。电缆备用芯也应有标识，方便查找。电缆芯线用接线鼻子必需压接牢固紧密。</w:t>
      </w:r>
    </w:p>
    <w:p>
      <w:pPr>
        <w:tabs>
          <w:tab w:val="left" w:pos="0"/>
          <w:tab w:val="left" w:pos="600"/>
        </w:tabs>
        <w:spacing w:line="360" w:lineRule="auto"/>
        <w:rPr>
          <w:rFonts w:ascii="宋体"/>
          <w:sz w:val="24"/>
          <w:szCs w:val="24"/>
        </w:rPr>
      </w:pPr>
      <w:r>
        <w:rPr>
          <w:rFonts w:ascii="宋体" w:hAnsi="宋体"/>
          <w:sz w:val="24"/>
          <w:szCs w:val="24"/>
        </w:rPr>
        <w:t>5.4.6.5</w:t>
      </w:r>
      <w:r>
        <w:rPr>
          <w:rFonts w:hint="eastAsia" w:ascii="宋体" w:hAnsi="宋体"/>
          <w:sz w:val="24"/>
          <w:szCs w:val="24"/>
        </w:rPr>
        <w:t>盘内导线不得有接头。盘柜内设备间连线不允许“</w:t>
      </w:r>
      <w:r>
        <w:rPr>
          <w:rFonts w:ascii="宋体" w:hAnsi="宋体"/>
          <w:sz w:val="24"/>
          <w:szCs w:val="24"/>
        </w:rPr>
        <w:t>T</w:t>
      </w:r>
      <w:r>
        <w:rPr>
          <w:rFonts w:hint="eastAsia" w:ascii="宋体" w:hAnsi="宋体"/>
          <w:sz w:val="24"/>
          <w:szCs w:val="24"/>
        </w:rPr>
        <w:t>“接。电缆接线时，其芯线应留有适当的裕度。</w:t>
      </w:r>
    </w:p>
    <w:p>
      <w:pPr>
        <w:tabs>
          <w:tab w:val="left" w:pos="0"/>
          <w:tab w:val="left" w:pos="600"/>
        </w:tabs>
        <w:spacing w:line="360" w:lineRule="auto"/>
        <w:rPr>
          <w:rFonts w:ascii="宋体"/>
          <w:sz w:val="24"/>
          <w:szCs w:val="24"/>
        </w:rPr>
      </w:pPr>
      <w:r>
        <w:rPr>
          <w:rFonts w:ascii="宋体" w:hAnsi="宋体"/>
          <w:sz w:val="24"/>
          <w:szCs w:val="24"/>
        </w:rPr>
        <w:t>5.4.6.6</w:t>
      </w:r>
      <w:r>
        <w:rPr>
          <w:rFonts w:hint="eastAsia" w:ascii="宋体" w:hAnsi="宋体"/>
          <w:sz w:val="24"/>
          <w:szCs w:val="24"/>
        </w:rPr>
        <w:t>电流回路应采用电压不低于</w:t>
      </w:r>
      <w:r>
        <w:rPr>
          <w:rFonts w:ascii="宋体" w:hAnsi="宋体"/>
          <w:sz w:val="24"/>
          <w:szCs w:val="24"/>
        </w:rPr>
        <w:t>500V</w:t>
      </w:r>
      <w:r>
        <w:rPr>
          <w:rFonts w:hint="eastAsia" w:ascii="宋体" w:hAnsi="宋体"/>
          <w:sz w:val="24"/>
          <w:szCs w:val="24"/>
        </w:rPr>
        <w:t>的铜芯绝缘导线，其截面大于或等于</w:t>
      </w:r>
      <w:r>
        <w:rPr>
          <w:rFonts w:ascii="宋体" w:hAnsi="宋体"/>
          <w:sz w:val="24"/>
          <w:szCs w:val="24"/>
        </w:rPr>
        <w:t>2.5mm</w:t>
      </w:r>
      <w:r>
        <w:rPr>
          <w:rFonts w:ascii="宋体" w:hAnsi="宋体"/>
          <w:sz w:val="24"/>
          <w:szCs w:val="24"/>
          <w:vertAlign w:val="superscript"/>
        </w:rPr>
        <w:t>2</w:t>
      </w:r>
      <w:r>
        <w:rPr>
          <w:rFonts w:hint="eastAsia" w:ascii="宋体" w:hAnsi="宋体"/>
          <w:sz w:val="24"/>
          <w:szCs w:val="24"/>
        </w:rPr>
        <w:t>；其它回路截面大于或等于</w:t>
      </w:r>
      <w:r>
        <w:rPr>
          <w:rFonts w:ascii="宋体" w:hAnsi="宋体"/>
          <w:sz w:val="24"/>
          <w:szCs w:val="24"/>
        </w:rPr>
        <w:t>1.5mm</w:t>
      </w:r>
      <w:r>
        <w:rPr>
          <w:rFonts w:ascii="宋体" w:hAnsi="宋体"/>
          <w:sz w:val="24"/>
          <w:szCs w:val="24"/>
          <w:vertAlign w:val="superscript"/>
        </w:rPr>
        <w:t>2</w:t>
      </w:r>
      <w:r>
        <w:rPr>
          <w:rFonts w:hint="eastAsia" w:ascii="宋体" w:hAnsi="宋体"/>
          <w:sz w:val="24"/>
          <w:szCs w:val="24"/>
        </w:rPr>
        <w:t>；弱电回路导线截面大于或等于</w:t>
      </w:r>
      <w:r>
        <w:rPr>
          <w:rFonts w:ascii="宋体" w:hAnsi="宋体"/>
          <w:sz w:val="24"/>
          <w:szCs w:val="24"/>
        </w:rPr>
        <w:t>0.75mm</w:t>
      </w:r>
      <w:r>
        <w:rPr>
          <w:rFonts w:ascii="宋体" w:hAnsi="宋体"/>
          <w:sz w:val="24"/>
          <w:szCs w:val="24"/>
          <w:vertAlign w:val="superscript"/>
        </w:rPr>
        <w:t>2</w:t>
      </w:r>
      <w:r>
        <w:rPr>
          <w:rFonts w:hint="eastAsia" w:ascii="宋体" w:hAnsi="宋体"/>
          <w:sz w:val="24"/>
          <w:szCs w:val="24"/>
        </w:rPr>
        <w:t>。靠近高温元件的导线要采用阻燃热绝缘导线。</w:t>
      </w:r>
    </w:p>
    <w:p>
      <w:pPr>
        <w:tabs>
          <w:tab w:val="left" w:pos="0"/>
          <w:tab w:val="left" w:pos="600"/>
        </w:tabs>
        <w:spacing w:line="360" w:lineRule="auto"/>
        <w:rPr>
          <w:rFonts w:ascii="宋体"/>
          <w:sz w:val="24"/>
          <w:szCs w:val="24"/>
        </w:rPr>
      </w:pPr>
      <w:r>
        <w:rPr>
          <w:rFonts w:ascii="宋体" w:hAnsi="宋体"/>
          <w:sz w:val="24"/>
          <w:szCs w:val="24"/>
        </w:rPr>
        <w:t>5.4.6.7</w:t>
      </w:r>
      <w:r>
        <w:rPr>
          <w:rFonts w:hint="eastAsia" w:ascii="宋体" w:hAnsi="宋体"/>
          <w:sz w:val="24"/>
          <w:szCs w:val="24"/>
        </w:rPr>
        <w:t>强弱电端子要分开布置；正负电源之间以及经常带电的正电源与合闸或跳闸回路之间要用空端子隔开。每个端子原则上每侧只接一根导线，端子接线应压接牢固紧密，若接线鼻子带有护套，严禁端子压接在护套上。</w:t>
      </w:r>
    </w:p>
    <w:p>
      <w:pPr>
        <w:spacing w:line="360" w:lineRule="auto"/>
        <w:rPr>
          <w:rFonts w:ascii="宋体"/>
          <w:b/>
          <w:bCs/>
          <w:sz w:val="24"/>
          <w:szCs w:val="24"/>
        </w:rPr>
      </w:pPr>
      <w:r>
        <w:rPr>
          <w:rFonts w:ascii="宋体" w:hAnsi="宋体"/>
          <w:sz w:val="24"/>
          <w:szCs w:val="24"/>
        </w:rPr>
        <w:t>5.4.6.8</w:t>
      </w:r>
      <w:r>
        <w:rPr>
          <w:rFonts w:hint="eastAsia" w:ascii="宋体" w:hAnsi="宋体"/>
          <w:sz w:val="24"/>
          <w:szCs w:val="24"/>
        </w:rPr>
        <w:t>依据设计图纸查核配线的准确性，检查各设备间的连接是否正确，测试二次回路绝缘电阻不低于</w:t>
      </w:r>
      <w:r>
        <w:rPr>
          <w:rFonts w:ascii="宋体" w:hAnsi="宋体"/>
          <w:sz w:val="24"/>
          <w:szCs w:val="24"/>
        </w:rPr>
        <w:t>1</w:t>
      </w:r>
      <w:r>
        <w:rPr>
          <w:rFonts w:hint="eastAsia" w:ascii="宋体" w:hAnsi="宋体"/>
          <w:sz w:val="24"/>
          <w:szCs w:val="24"/>
        </w:rPr>
        <w:t>兆欧。交流回路外部端子对地</w:t>
      </w:r>
      <w:r>
        <w:rPr>
          <w:rFonts w:ascii="宋体" w:hAnsi="宋体"/>
          <w:sz w:val="24"/>
          <w:szCs w:val="24"/>
        </w:rPr>
        <w:t>10</w:t>
      </w:r>
      <w:r>
        <w:rPr>
          <w:rFonts w:hint="eastAsia" w:ascii="宋体" w:hAnsi="宋体"/>
          <w:sz w:val="24"/>
          <w:szCs w:val="24"/>
        </w:rPr>
        <w:t>兆欧以上。不接地直流回路对地电阻大于</w:t>
      </w:r>
      <w:r>
        <w:rPr>
          <w:rFonts w:ascii="宋体" w:hAnsi="宋体"/>
          <w:sz w:val="24"/>
          <w:szCs w:val="24"/>
        </w:rPr>
        <w:t>1</w:t>
      </w:r>
      <w:r>
        <w:rPr>
          <w:rFonts w:hint="eastAsia" w:ascii="宋体" w:hAnsi="宋体"/>
          <w:sz w:val="24"/>
          <w:szCs w:val="24"/>
        </w:rPr>
        <w:t>兆欧。</w:t>
      </w:r>
    </w:p>
    <w:p>
      <w:pPr>
        <w:spacing w:line="360" w:lineRule="auto"/>
        <w:rPr>
          <w:rFonts w:ascii="宋体"/>
          <w:bCs/>
          <w:sz w:val="24"/>
          <w:szCs w:val="24"/>
        </w:rPr>
      </w:pPr>
      <w:r>
        <w:rPr>
          <w:rFonts w:ascii="宋体" w:hAnsi="宋体"/>
          <w:bCs/>
          <w:sz w:val="24"/>
          <w:szCs w:val="24"/>
        </w:rPr>
        <w:t>5.5</w:t>
      </w:r>
      <w:r>
        <w:rPr>
          <w:rFonts w:hint="eastAsia" w:ascii="宋体" w:hAnsi="宋体"/>
          <w:bCs/>
          <w:sz w:val="24"/>
          <w:szCs w:val="24"/>
        </w:rPr>
        <w:t>防雷接地制作安装质量控制</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5.1</w:t>
      </w:r>
      <w:r>
        <w:rPr>
          <w:rFonts w:hint="eastAsia" w:ascii="宋体" w:hAnsi="宋体"/>
          <w:sz w:val="24"/>
          <w:szCs w:val="24"/>
        </w:rPr>
        <w:t>接地极的制作</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5.1.1</w:t>
      </w:r>
      <w:r>
        <w:rPr>
          <w:rFonts w:hint="eastAsia" w:ascii="宋体" w:hAnsi="宋体"/>
          <w:sz w:val="24"/>
          <w:szCs w:val="24"/>
        </w:rPr>
        <w:t>按照设计要求选取∠</w:t>
      </w:r>
      <w:r>
        <w:rPr>
          <w:rFonts w:ascii="宋体" w:hAnsi="宋体"/>
          <w:sz w:val="24"/>
          <w:szCs w:val="24"/>
        </w:rPr>
        <w:t>50*50</w:t>
      </w:r>
      <w:r>
        <w:rPr>
          <w:rFonts w:hint="eastAsia" w:ascii="宋体" w:hAnsi="宋体"/>
          <w:sz w:val="24"/>
          <w:szCs w:val="24"/>
        </w:rPr>
        <w:t>镀锌角钢，长</w:t>
      </w:r>
      <w:r>
        <w:rPr>
          <w:rFonts w:ascii="宋体" w:hAnsi="宋体"/>
          <w:sz w:val="24"/>
          <w:szCs w:val="24"/>
        </w:rPr>
        <w:t>2.5</w:t>
      </w:r>
      <w:r>
        <w:rPr>
          <w:rFonts w:hint="eastAsia" w:ascii="宋体" w:hAnsi="宋体"/>
          <w:sz w:val="24"/>
          <w:szCs w:val="24"/>
        </w:rPr>
        <w:t>米，加工成易打入地下的尖形状，尖部的垂直距离为</w:t>
      </w:r>
      <w:r>
        <w:rPr>
          <w:rFonts w:ascii="宋体" w:hAnsi="宋体"/>
          <w:sz w:val="24"/>
          <w:szCs w:val="24"/>
        </w:rPr>
        <w:t>120mm</w:t>
      </w:r>
      <w:r>
        <w:rPr>
          <w:rFonts w:hint="eastAsia" w:ascii="宋体" w:hAnsi="宋体"/>
          <w:sz w:val="24"/>
          <w:szCs w:val="24"/>
        </w:rPr>
        <w:t>。</w:t>
      </w:r>
    </w:p>
    <w:p>
      <w:pPr>
        <w:tabs>
          <w:tab w:val="left" w:pos="0"/>
          <w:tab w:val="left" w:pos="1080"/>
        </w:tabs>
        <w:spacing w:line="360" w:lineRule="auto"/>
        <w:rPr>
          <w:rFonts w:ascii="宋体"/>
          <w:sz w:val="24"/>
          <w:szCs w:val="24"/>
        </w:rPr>
      </w:pPr>
      <w:r>
        <w:rPr>
          <w:rFonts w:ascii="宋体" w:hAnsi="宋体"/>
          <w:sz w:val="24"/>
          <w:szCs w:val="24"/>
        </w:rPr>
        <w:t>5.5.2</w:t>
      </w:r>
      <w:r>
        <w:rPr>
          <w:rFonts w:hint="eastAsia" w:ascii="宋体" w:hAnsi="宋体"/>
          <w:sz w:val="24"/>
          <w:szCs w:val="24"/>
        </w:rPr>
        <w:t>接地安装</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 xml:space="preserve">2.1 </w:t>
      </w:r>
      <w:r>
        <w:rPr>
          <w:rFonts w:hint="eastAsia" w:ascii="宋体" w:hAnsi="宋体"/>
          <w:sz w:val="24"/>
          <w:szCs w:val="24"/>
        </w:rPr>
        <w:t>在已加工完成的接地极上套好事先加工好的管帽，按图纸标出的位置使用铁锤将接地极打入地下，尽量利用地形地势，避开硬的岩石层将接地极按图纸要求位置逐一打入土层。垂直接地极间距不小于</w:t>
      </w:r>
      <w:r>
        <w:rPr>
          <w:rFonts w:ascii="宋体" w:hAnsi="宋体"/>
          <w:sz w:val="24"/>
          <w:szCs w:val="24"/>
        </w:rPr>
        <w:t>5</w:t>
      </w:r>
      <w:r>
        <w:rPr>
          <w:rFonts w:hint="eastAsia" w:ascii="宋体" w:hAnsi="宋体"/>
          <w:sz w:val="24"/>
          <w:szCs w:val="24"/>
        </w:rPr>
        <w:t>米，与建筑物距离大于</w:t>
      </w:r>
      <w:r>
        <w:rPr>
          <w:rFonts w:ascii="宋体" w:hAnsi="宋体"/>
          <w:sz w:val="24"/>
          <w:szCs w:val="24"/>
        </w:rPr>
        <w:t>1.5</w:t>
      </w:r>
      <w:r>
        <w:rPr>
          <w:rFonts w:hint="eastAsia" w:ascii="宋体" w:hAnsi="宋体"/>
          <w:sz w:val="24"/>
          <w:szCs w:val="24"/>
        </w:rPr>
        <w:t>米，其顶部埋设深度应不小于设计标高</w:t>
      </w:r>
      <w:r>
        <w:rPr>
          <w:rFonts w:ascii="宋体" w:hAnsi="宋体"/>
          <w:sz w:val="24"/>
          <w:szCs w:val="24"/>
        </w:rPr>
        <w:t>0.8</w:t>
      </w:r>
      <w:r>
        <w:rPr>
          <w:rFonts w:hint="eastAsia" w:ascii="宋体" w:hAnsi="宋体"/>
          <w:sz w:val="24"/>
          <w:szCs w:val="24"/>
        </w:rPr>
        <w:t>米。</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2.2</w:t>
      </w:r>
      <w:r>
        <w:rPr>
          <w:rFonts w:hint="eastAsia" w:ascii="宋体" w:hAnsi="宋体"/>
          <w:sz w:val="24"/>
          <w:szCs w:val="24"/>
        </w:rPr>
        <w:t>放入接地母线，接地母线与接地极的连接采用焊接，接触面三面焊接，接地母线与接地母线搭接紧密，保证接触面焊接长度大于扁钢宽度的</w:t>
      </w:r>
      <w:r>
        <w:rPr>
          <w:rFonts w:ascii="宋体" w:hAnsi="宋体"/>
          <w:sz w:val="24"/>
          <w:szCs w:val="24"/>
        </w:rPr>
        <w:t>2</w:t>
      </w:r>
      <w:r>
        <w:rPr>
          <w:rFonts w:hint="eastAsia" w:ascii="宋体" w:hAnsi="宋体"/>
          <w:sz w:val="24"/>
          <w:szCs w:val="24"/>
        </w:rPr>
        <w:t>倍，接地母线外缘闭合角呈圆弧形。</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2.3</w:t>
      </w:r>
      <w:r>
        <w:rPr>
          <w:rFonts w:hint="eastAsia" w:ascii="宋体" w:hAnsi="宋体"/>
          <w:sz w:val="24"/>
          <w:szCs w:val="24"/>
        </w:rPr>
        <w:t>接地母线通过公路、铁路、管道、墙体等交叉处及可能遭机械损伤处穿钢管保护。</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2.4</w:t>
      </w:r>
      <w:r>
        <w:rPr>
          <w:rFonts w:hint="eastAsia" w:ascii="宋体" w:hAnsi="宋体"/>
          <w:sz w:val="24"/>
          <w:szCs w:val="24"/>
        </w:rPr>
        <w:t>接地母线通过电缆沟隧道、沟道应沿沟壁弯成合适形状，与沟壁紧靠，并与电缆沟内桥架接地母线牢固焊接。</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2.5</w:t>
      </w:r>
      <w:r>
        <w:rPr>
          <w:rFonts w:hint="eastAsia" w:ascii="宋体" w:hAnsi="宋体"/>
          <w:sz w:val="24"/>
          <w:szCs w:val="24"/>
        </w:rPr>
        <w:t>与接地母线直接接触的回填土应是纯净的土壤，不能有石块</w:t>
      </w:r>
      <w:r>
        <w:rPr>
          <w:rFonts w:ascii="宋体"/>
          <w:sz w:val="24"/>
          <w:szCs w:val="24"/>
        </w:rPr>
        <w:t>.</w:t>
      </w:r>
      <w:r>
        <w:rPr>
          <w:rFonts w:hint="eastAsia" w:ascii="宋体" w:hAnsi="宋体"/>
          <w:sz w:val="24"/>
          <w:szCs w:val="24"/>
        </w:rPr>
        <w:t>泥沙</w:t>
      </w:r>
      <w:r>
        <w:rPr>
          <w:rFonts w:ascii="宋体"/>
          <w:sz w:val="24"/>
          <w:szCs w:val="24"/>
        </w:rPr>
        <w:t>.</w:t>
      </w:r>
      <w:r>
        <w:rPr>
          <w:rFonts w:hint="eastAsia" w:ascii="宋体" w:hAnsi="宋体"/>
          <w:sz w:val="24"/>
          <w:szCs w:val="24"/>
        </w:rPr>
        <w:t>建筑材料和垃圾，外取的土壤不得有较强的腐蚀性，在回填土时应分层夯实。</w:t>
      </w:r>
    </w:p>
    <w:p>
      <w:pPr>
        <w:tabs>
          <w:tab w:val="left" w:pos="0"/>
          <w:tab w:val="left" w:pos="1080"/>
        </w:tabs>
        <w:spacing w:line="360" w:lineRule="auto"/>
        <w:rPr>
          <w:rFonts w:ascii="宋体" w:hAns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2.6</w:t>
      </w:r>
      <w:r>
        <w:rPr>
          <w:rFonts w:hint="eastAsia" w:ascii="宋体" w:hAnsi="宋体"/>
          <w:sz w:val="24"/>
          <w:szCs w:val="24"/>
        </w:rPr>
        <w:t>接地母线焊接点刷防腐漆，两端向外延长</w:t>
      </w:r>
      <w:r>
        <w:rPr>
          <w:rFonts w:ascii="宋体" w:hAnsi="宋体"/>
          <w:sz w:val="24"/>
          <w:szCs w:val="24"/>
        </w:rPr>
        <w:t>100mm</w:t>
      </w:r>
      <w:r>
        <w:rPr>
          <w:rFonts w:hint="eastAsia" w:ascii="宋体" w:hAnsi="宋体"/>
          <w:sz w:val="24"/>
          <w:szCs w:val="24"/>
        </w:rPr>
        <w:t>，在引向建筑物的入口处刷</w:t>
      </w:r>
      <w:r>
        <w:rPr>
          <w:rFonts w:ascii="宋体" w:hAnsi="宋体"/>
          <w:sz w:val="24"/>
          <w:szCs w:val="24"/>
        </w:rPr>
        <w:t>100mm</w:t>
      </w:r>
      <w:r>
        <w:rPr>
          <w:rFonts w:hint="eastAsia" w:ascii="宋体" w:hAnsi="宋体"/>
          <w:sz w:val="24"/>
          <w:szCs w:val="24"/>
        </w:rPr>
        <w:t>绿黄相间标志漆，并标以黑色接地符号。屋面接地网及主接地按照设计要求可利用立柱钢筋或内敷接地带，与屋面接地网可靠焊接。</w:t>
      </w:r>
      <w:r>
        <w:rPr>
          <w:rFonts w:ascii="宋体" w:hAnsi="宋体"/>
          <w:sz w:val="24"/>
          <w:szCs w:val="24"/>
        </w:rPr>
        <w:t xml:space="preserve">  </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2.7</w:t>
      </w:r>
      <w:r>
        <w:rPr>
          <w:rFonts w:hint="eastAsia" w:ascii="宋体" w:hAnsi="宋体"/>
          <w:sz w:val="24"/>
          <w:szCs w:val="24"/>
        </w:rPr>
        <w:t>电器设备接地均应用﹣50</w:t>
      </w:r>
      <w:r>
        <w:rPr>
          <w:rFonts w:ascii="宋体" w:hAnsi="宋体"/>
          <w:sz w:val="24"/>
          <w:szCs w:val="24"/>
        </w:rPr>
        <w:t>*</w:t>
      </w:r>
      <w:r>
        <w:rPr>
          <w:rFonts w:hint="eastAsia" w:ascii="宋体" w:hAnsi="宋体"/>
          <w:sz w:val="24"/>
          <w:szCs w:val="24"/>
        </w:rPr>
        <w:t>5热镀锌扁钢与主接地网可靠连接。电缆管一端与电缆沟道内接地干线或电缆桥架连接，另一端焊接扁钢与设备接地螺栓连接，或采用不小于</w:t>
      </w:r>
      <w:r>
        <w:rPr>
          <w:rFonts w:ascii="宋体" w:hAnsi="宋体"/>
          <w:sz w:val="24"/>
          <w:szCs w:val="24"/>
        </w:rPr>
        <w:t>10</w:t>
      </w:r>
      <w:r>
        <w:rPr>
          <w:rFonts w:hint="eastAsia" w:ascii="宋体" w:hAnsi="宋体"/>
          <w:sz w:val="24"/>
          <w:szCs w:val="24"/>
        </w:rPr>
        <w:t>平方毫米编织软铜线与设备接地螺栓连接。</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2.8</w:t>
      </w:r>
      <w:r>
        <w:rPr>
          <w:rFonts w:hint="eastAsia" w:ascii="宋体"/>
          <w:sz w:val="24"/>
          <w:szCs w:val="24"/>
        </w:rPr>
        <w:t>二次设备的屏蔽接地应符合设计要求。</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2.9</w:t>
      </w:r>
      <w:r>
        <w:rPr>
          <w:rFonts w:hint="eastAsia" w:ascii="宋体" w:hAnsi="宋体"/>
          <w:sz w:val="24"/>
          <w:szCs w:val="24"/>
        </w:rPr>
        <w:t>变压器、配电、控制、保护用的盘、箱的框架均应根据设计需要设置保护接地，此外电气设备的传动装置也应设保护接地，与主接地网连接。</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2.10</w:t>
      </w:r>
      <w:r>
        <w:rPr>
          <w:rFonts w:hint="eastAsia" w:ascii="宋体" w:hAnsi="宋体"/>
          <w:sz w:val="24"/>
          <w:szCs w:val="24"/>
        </w:rPr>
        <w:t>明敷接地线明显和分线处涂以</w:t>
      </w:r>
      <w:r>
        <w:rPr>
          <w:rFonts w:ascii="宋体" w:hAnsi="宋体"/>
          <w:sz w:val="24"/>
          <w:szCs w:val="24"/>
        </w:rPr>
        <w:t>100mm</w:t>
      </w:r>
      <w:r>
        <w:rPr>
          <w:rFonts w:hint="eastAsia" w:ascii="宋体" w:hAnsi="宋体"/>
          <w:sz w:val="24"/>
          <w:szCs w:val="24"/>
        </w:rPr>
        <w:t>等宽的黄色、绿色相间条纹。</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2.11</w:t>
      </w:r>
      <w:r>
        <w:rPr>
          <w:rFonts w:hint="eastAsia" w:ascii="宋体" w:hAnsi="宋体"/>
          <w:sz w:val="24"/>
          <w:szCs w:val="24"/>
        </w:rPr>
        <w:t>所有焊口进行防腐处理，刷防腐漆。</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2.12</w:t>
      </w:r>
      <w:r>
        <w:rPr>
          <w:rFonts w:hint="eastAsia" w:ascii="宋体" w:hAnsi="宋体"/>
          <w:sz w:val="24"/>
          <w:szCs w:val="24"/>
        </w:rPr>
        <w:t>接地装置安装完后由试验人员进行接地电阻测量，不大于设计电阻值即为合格。</w:t>
      </w:r>
    </w:p>
    <w:bookmarkEnd w:id="35"/>
    <w:bookmarkEnd w:id="36"/>
    <w:bookmarkEnd w:id="37"/>
    <w:bookmarkEnd w:id="38"/>
    <w:bookmarkEnd w:id="39"/>
    <w:bookmarkEnd w:id="40"/>
    <w:bookmarkEnd w:id="41"/>
    <w:bookmarkEnd w:id="42"/>
    <w:bookmarkEnd w:id="43"/>
    <w:bookmarkEnd w:id="44"/>
    <w:p>
      <w:pPr>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w:t>
      </w:r>
      <w:r>
        <w:rPr>
          <w:rFonts w:hint="eastAsia" w:ascii="宋体" w:hAnsi="宋体"/>
          <w:sz w:val="24"/>
          <w:szCs w:val="24"/>
        </w:rPr>
        <w:t>成套配电柜</w:t>
      </w:r>
      <w:r>
        <w:rPr>
          <w:rFonts w:ascii="宋体" w:hAnsi="宋体"/>
          <w:sz w:val="24"/>
          <w:szCs w:val="24"/>
        </w:rPr>
        <w:t>/</w:t>
      </w:r>
      <w:r>
        <w:rPr>
          <w:rFonts w:hint="eastAsia" w:ascii="宋体" w:hAnsi="宋体"/>
          <w:sz w:val="24"/>
          <w:szCs w:val="24"/>
        </w:rPr>
        <w:t>箱质量控制</w:t>
      </w:r>
    </w:p>
    <w:p>
      <w:pPr>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6.1</w:t>
      </w:r>
      <w:r>
        <w:rPr>
          <w:rFonts w:hint="eastAsia" w:ascii="宋体" w:hAnsi="宋体"/>
          <w:sz w:val="24"/>
          <w:szCs w:val="24"/>
        </w:rPr>
        <w:t>成套配电柜</w:t>
      </w:r>
      <w:r>
        <w:rPr>
          <w:rFonts w:ascii="宋体" w:hAnsi="宋体"/>
          <w:sz w:val="24"/>
          <w:szCs w:val="24"/>
        </w:rPr>
        <w:t>/</w:t>
      </w:r>
      <w:r>
        <w:rPr>
          <w:rFonts w:hint="eastAsia" w:ascii="宋体" w:hAnsi="宋体"/>
          <w:sz w:val="24"/>
          <w:szCs w:val="24"/>
        </w:rPr>
        <w:t>箱、变压器、盘柜外观无撞击、划痕、起皮和掉漆现象，规格型号、数量应符合设计要求。附件、备件齐全，备品备件齐全，产品技术文件、合格证应齐全。</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6.2</w:t>
      </w:r>
      <w:r>
        <w:rPr>
          <w:rFonts w:hint="eastAsia" w:ascii="宋体" w:hAnsi="宋体"/>
          <w:sz w:val="24"/>
          <w:szCs w:val="24"/>
        </w:rPr>
        <w:t>变压器油位符合要求并试验合格，无渗漏油现象，测量器件齐全。</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6.3</w:t>
      </w:r>
      <w:r>
        <w:rPr>
          <w:rFonts w:hint="eastAsia" w:ascii="宋体" w:hAnsi="宋体"/>
          <w:sz w:val="24"/>
          <w:szCs w:val="24"/>
        </w:rPr>
        <w:t>内部配电屏外观质量要求</w:t>
      </w:r>
    </w:p>
    <w:p>
      <w:pPr>
        <w:tabs>
          <w:tab w:val="left" w:pos="0"/>
          <w:tab w:val="left" w:pos="1080"/>
        </w:tabs>
        <w:spacing w:line="360" w:lineRule="auto"/>
        <w:rPr>
          <w:rFonts w:ascii="宋体" w:hAnsi="宋体"/>
          <w:sz w:val="24"/>
          <w:szCs w:val="24"/>
        </w:rPr>
      </w:pPr>
      <w:r>
        <w:rPr>
          <w:rFonts w:ascii="宋体" w:hAnsi="宋体"/>
          <w:sz w:val="24"/>
          <w:szCs w:val="24"/>
        </w:rPr>
        <w:t>5</w:t>
      </w:r>
      <w:r>
        <w:rPr>
          <w:rFonts w:ascii="宋体"/>
          <w:sz w:val="24"/>
          <w:szCs w:val="24"/>
        </w:rPr>
        <w:t>.</w:t>
      </w:r>
      <w:r>
        <w:rPr>
          <w:rFonts w:ascii="宋体" w:hAnsi="宋体"/>
          <w:sz w:val="24"/>
          <w:szCs w:val="24"/>
        </w:rPr>
        <w:t>6.3.1</w:t>
      </w:r>
      <w:r>
        <w:rPr>
          <w:rFonts w:hint="eastAsia" w:ascii="宋体" w:hAnsi="宋体"/>
          <w:sz w:val="24"/>
          <w:szCs w:val="24"/>
        </w:rPr>
        <w:t>垂直度（每米）：小于</w:t>
      </w:r>
      <w:r>
        <w:rPr>
          <w:rFonts w:ascii="宋体" w:hAnsi="宋体"/>
          <w:sz w:val="24"/>
          <w:szCs w:val="24"/>
        </w:rPr>
        <w:t>1.5mm</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6.3.2</w:t>
      </w:r>
      <w:r>
        <w:rPr>
          <w:rFonts w:hint="eastAsia" w:ascii="宋体" w:hAnsi="宋体"/>
          <w:sz w:val="24"/>
          <w:szCs w:val="24"/>
        </w:rPr>
        <w:t>水平偏差：相邻两盘顶部小于</w:t>
      </w:r>
      <w:r>
        <w:rPr>
          <w:rFonts w:ascii="宋体" w:hAnsi="宋体"/>
          <w:sz w:val="24"/>
          <w:szCs w:val="24"/>
        </w:rPr>
        <w:t>2mm</w:t>
      </w:r>
      <w:r>
        <w:rPr>
          <w:rFonts w:hint="eastAsia" w:ascii="宋体" w:hAnsi="宋体"/>
          <w:sz w:val="24"/>
          <w:szCs w:val="24"/>
        </w:rPr>
        <w:t>，成列盘顶部小于</w:t>
      </w:r>
      <w:r>
        <w:rPr>
          <w:rFonts w:ascii="宋体" w:hAnsi="宋体"/>
          <w:sz w:val="24"/>
          <w:szCs w:val="24"/>
        </w:rPr>
        <w:t>5mm</w:t>
      </w:r>
      <w:r>
        <w:rPr>
          <w:rFonts w:hint="eastAsia" w:ascii="宋体" w:hAnsi="宋体"/>
          <w:sz w:val="24"/>
          <w:szCs w:val="24"/>
        </w:rPr>
        <w:t>。</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6.3.3</w:t>
      </w:r>
      <w:r>
        <w:rPr>
          <w:rFonts w:hint="eastAsia" w:ascii="宋体" w:hAnsi="宋体"/>
          <w:sz w:val="24"/>
          <w:szCs w:val="24"/>
        </w:rPr>
        <w:t>盘面偏差：相邻两盘顶部小于</w:t>
      </w:r>
      <w:r>
        <w:rPr>
          <w:rFonts w:ascii="宋体" w:hAnsi="宋体"/>
          <w:sz w:val="24"/>
          <w:szCs w:val="24"/>
        </w:rPr>
        <w:t>1mm</w:t>
      </w:r>
      <w:r>
        <w:rPr>
          <w:rFonts w:hint="eastAsia" w:ascii="宋体" w:hAnsi="宋体"/>
          <w:sz w:val="24"/>
          <w:szCs w:val="24"/>
        </w:rPr>
        <w:t>，成列盘顶部小于</w:t>
      </w:r>
      <w:r>
        <w:rPr>
          <w:rFonts w:ascii="宋体" w:hAnsi="宋体"/>
          <w:sz w:val="24"/>
          <w:szCs w:val="24"/>
        </w:rPr>
        <w:t>5mm</w:t>
      </w:r>
      <w:r>
        <w:rPr>
          <w:rFonts w:hint="eastAsia" w:ascii="宋体" w:hAnsi="宋体"/>
          <w:sz w:val="24"/>
          <w:szCs w:val="24"/>
        </w:rPr>
        <w:t>。</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6.3.4</w:t>
      </w:r>
      <w:r>
        <w:rPr>
          <w:rFonts w:hint="eastAsia" w:ascii="宋体" w:hAnsi="宋体"/>
          <w:sz w:val="24"/>
          <w:szCs w:val="24"/>
        </w:rPr>
        <w:t>盘间接缝：小于</w:t>
      </w:r>
      <w:r>
        <w:rPr>
          <w:rFonts w:ascii="宋体" w:hAnsi="宋体"/>
          <w:sz w:val="24"/>
          <w:szCs w:val="24"/>
        </w:rPr>
        <w:t>2mm</w:t>
      </w:r>
      <w:r>
        <w:rPr>
          <w:rFonts w:hint="eastAsia" w:ascii="宋体" w:hAnsi="宋体"/>
          <w:sz w:val="24"/>
          <w:szCs w:val="24"/>
        </w:rPr>
        <w:t>。</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6.3.5</w:t>
      </w:r>
      <w:r>
        <w:rPr>
          <w:rFonts w:hint="eastAsia" w:ascii="宋体" w:hAnsi="宋体"/>
          <w:sz w:val="24"/>
          <w:szCs w:val="24"/>
        </w:rPr>
        <w:t>连接和固定盘柜所用的螺栓、螺母、垫圈等应采用镀锌件。</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6.3.6</w:t>
      </w:r>
      <w:r>
        <w:rPr>
          <w:rFonts w:hint="eastAsia" w:ascii="宋体" w:hAnsi="宋体"/>
          <w:sz w:val="24"/>
          <w:szCs w:val="24"/>
        </w:rPr>
        <w:t>母线的连接应良好，绝缘支撑件、安装件应牢固可靠。</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6.3.7</w:t>
      </w:r>
      <w:r>
        <w:rPr>
          <w:rFonts w:hint="eastAsia" w:ascii="宋体" w:hAnsi="宋体"/>
          <w:sz w:val="24"/>
          <w:szCs w:val="24"/>
        </w:rPr>
        <w:t>二次带电体间和带电体对地距离不小于</w:t>
      </w:r>
      <w:r>
        <w:rPr>
          <w:rFonts w:ascii="宋体" w:hAnsi="宋体"/>
          <w:sz w:val="24"/>
          <w:szCs w:val="24"/>
        </w:rPr>
        <w:t>4</w:t>
      </w:r>
      <w:r>
        <w:rPr>
          <w:rFonts w:hint="eastAsia" w:ascii="宋体" w:hAnsi="宋体"/>
          <w:sz w:val="24"/>
          <w:szCs w:val="24"/>
        </w:rPr>
        <w:t>毫米，表面漏电距离不小于</w:t>
      </w:r>
      <w:r>
        <w:rPr>
          <w:rFonts w:ascii="宋体" w:hAnsi="宋体"/>
          <w:sz w:val="24"/>
          <w:szCs w:val="24"/>
        </w:rPr>
        <w:t>6</w:t>
      </w:r>
      <w:r>
        <w:rPr>
          <w:rFonts w:hint="eastAsia" w:ascii="宋体" w:hAnsi="宋体"/>
          <w:sz w:val="24"/>
          <w:szCs w:val="24"/>
        </w:rPr>
        <w:t>毫米。</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6.3.8</w:t>
      </w:r>
      <w:r>
        <w:rPr>
          <w:rFonts w:hint="eastAsia" w:ascii="宋体" w:hAnsi="宋体"/>
          <w:sz w:val="24"/>
          <w:szCs w:val="24"/>
        </w:rPr>
        <w:t>小母线不同相或不同极的裸露载流部分之间及未绝缘的金属体之间电气间隙不得小于</w:t>
      </w:r>
      <w:r>
        <w:rPr>
          <w:rFonts w:ascii="宋体" w:hAnsi="宋体"/>
          <w:sz w:val="24"/>
          <w:szCs w:val="24"/>
        </w:rPr>
        <w:t>12mm</w:t>
      </w:r>
      <w:r>
        <w:rPr>
          <w:rFonts w:hint="eastAsia" w:ascii="宋体" w:hAnsi="宋体"/>
          <w:sz w:val="24"/>
          <w:szCs w:val="24"/>
        </w:rPr>
        <w:t>。爬电距离不得小于</w:t>
      </w:r>
      <w:r>
        <w:rPr>
          <w:rFonts w:ascii="宋体" w:hAnsi="宋体"/>
          <w:sz w:val="24"/>
          <w:szCs w:val="24"/>
        </w:rPr>
        <w:t>20mm</w:t>
      </w:r>
      <w:r>
        <w:rPr>
          <w:rFonts w:hint="eastAsia" w:ascii="宋体" w:hAnsi="宋体"/>
          <w:sz w:val="24"/>
          <w:szCs w:val="24"/>
        </w:rPr>
        <w:t>。小母线在断开所有其它并联支路时，绝缘电阻应大于</w:t>
      </w:r>
      <w:r>
        <w:rPr>
          <w:rFonts w:ascii="宋体" w:hAnsi="宋体"/>
          <w:sz w:val="24"/>
          <w:szCs w:val="24"/>
        </w:rPr>
        <w:t>10M</w:t>
      </w:r>
      <w:r>
        <w:rPr>
          <w:rFonts w:hint="eastAsia" w:ascii="宋体" w:hAnsi="宋体"/>
          <w:sz w:val="24"/>
          <w:szCs w:val="24"/>
        </w:rPr>
        <w:t>Ω。</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6.3.9</w:t>
      </w:r>
      <w:r>
        <w:rPr>
          <w:rFonts w:hint="eastAsia" w:ascii="宋体" w:hAnsi="宋体"/>
          <w:sz w:val="24"/>
          <w:szCs w:val="24"/>
        </w:rPr>
        <w:t>所有设备标识、相色标识、回路名称标识要清晰、不易脱色。</w:t>
      </w:r>
    </w:p>
    <w:p>
      <w:pPr>
        <w:tabs>
          <w:tab w:val="left" w:pos="0"/>
          <w:tab w:val="left" w:pos="1080"/>
        </w:tabs>
        <w:spacing w:line="360" w:lineRule="auto"/>
        <w:rPr>
          <w:rFonts w:ascii="宋体"/>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4733925</wp:posOffset>
                </wp:positionH>
                <wp:positionV relativeFrom="paragraph">
                  <wp:posOffset>7231380</wp:posOffset>
                </wp:positionV>
                <wp:extent cx="600075" cy="292735"/>
                <wp:effectExtent l="0" t="0" r="0" b="0"/>
                <wp:wrapNone/>
                <wp:docPr id="5" name="文本框 6"/>
                <wp:cNvGraphicFramePr/>
                <a:graphic xmlns:a="http://schemas.openxmlformats.org/drawingml/2006/main">
                  <a:graphicData uri="http://schemas.microsoft.com/office/word/2010/wordprocessingShape">
                    <wps:wsp>
                      <wps:cNvSpPr txBox="1"/>
                      <wps:spPr>
                        <a:xfrm>
                          <a:off x="0" y="0"/>
                          <a:ext cx="600075" cy="292735"/>
                        </a:xfrm>
                        <a:prstGeom prst="rect">
                          <a:avLst/>
                        </a:prstGeom>
                        <a:noFill/>
                        <a:ln w="9525">
                          <a:noFill/>
                        </a:ln>
                      </wps:spPr>
                      <wps:txbx>
                        <w:txbxContent>
                          <w:p>
                            <w:pPr>
                              <w:ind w:right="-105" w:rightChars="-50"/>
                              <w:rPr>
                                <w:b/>
                                <w:color w:val="FF0000"/>
                                <w:spacing w:val="-20"/>
                                <w:szCs w:val="21"/>
                              </w:rPr>
                            </w:pPr>
                          </w:p>
                          <w:p/>
                        </w:txbxContent>
                      </wps:txbx>
                      <wps:bodyPr upright="1"/>
                    </wps:wsp>
                  </a:graphicData>
                </a:graphic>
              </wp:anchor>
            </w:drawing>
          </mc:Choice>
          <mc:Fallback>
            <w:pict>
              <v:shape id="文本框 6" o:spid="_x0000_s1026" o:spt="202" type="#_x0000_t202" style="position:absolute;left:0pt;margin-left:372.75pt;margin-top:569.4pt;height:23.05pt;width:47.25pt;z-index:251659264;mso-width-relative:page;mso-height-relative:page;" filled="f" stroked="f" coordsize="21600,21600" o:gfxdata="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JTCEDYAAAADQEAAA8AAAAAAAAAAQAgAAAAIgAAAGRycy9kb3ducmV2LnhtbFBLAQIUABQAAAAI&#10;AIdO4kCjTsCvtAEAAFYDAAAOAAAAAAAAAAEAIAAAACcBAABkcnMvZTJvRG9jLnhtbFBLBQYAAAAA&#10;BgAGAFkBAABNBQAAAAA=&#10;">
                <v:fill on="f" focussize="0,0"/>
                <v:stroke on="f"/>
                <v:imagedata o:title=""/>
                <o:lock v:ext="edit" aspectratio="f"/>
                <v:textbox>
                  <w:txbxContent>
                    <w:p>
                      <w:pPr>
                        <w:ind w:right="-105" w:rightChars="-50"/>
                        <w:rPr>
                          <w:b/>
                          <w:color w:val="FF0000"/>
                          <w:spacing w:val="-20"/>
                          <w:szCs w:val="21"/>
                        </w:rPr>
                      </w:pPr>
                    </w:p>
                    <w:p/>
                  </w:txbxContent>
                </v:textbox>
              </v:shape>
            </w:pict>
          </mc:Fallback>
        </mc:AlternateContent>
      </w: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4736465</wp:posOffset>
                </wp:positionH>
                <wp:positionV relativeFrom="paragraph">
                  <wp:posOffset>6263640</wp:posOffset>
                </wp:positionV>
                <wp:extent cx="794385" cy="294005"/>
                <wp:effectExtent l="0" t="0" r="0" b="0"/>
                <wp:wrapNone/>
                <wp:docPr id="6" name="文本框 7"/>
                <wp:cNvGraphicFramePr/>
                <a:graphic xmlns:a="http://schemas.openxmlformats.org/drawingml/2006/main">
                  <a:graphicData uri="http://schemas.microsoft.com/office/word/2010/wordprocessingShape">
                    <wps:wsp>
                      <wps:cNvSpPr txBox="1"/>
                      <wps:spPr>
                        <a:xfrm>
                          <a:off x="0" y="0"/>
                          <a:ext cx="794385" cy="294005"/>
                        </a:xfrm>
                        <a:prstGeom prst="rect">
                          <a:avLst/>
                        </a:prstGeom>
                        <a:noFill/>
                        <a:ln w="9525">
                          <a:noFill/>
                        </a:ln>
                      </wps:spPr>
                      <wps:txbx>
                        <w:txbxContent>
                          <w:p/>
                        </w:txbxContent>
                      </wps:txbx>
                      <wps:bodyPr upright="1"/>
                    </wps:wsp>
                  </a:graphicData>
                </a:graphic>
              </wp:anchor>
            </w:drawing>
          </mc:Choice>
          <mc:Fallback>
            <w:pict>
              <v:shape id="文本框 7" o:spid="_x0000_s1026" o:spt="202" type="#_x0000_t202" style="position:absolute;left:0pt;margin-left:372.95pt;margin-top:493.2pt;height:23.15pt;width:62.55pt;z-index:251659264;mso-width-relative:page;mso-height-relative:page;" filled="f" stroked="f" coordsize="21600,21600" o:gfxdata="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viGIvZAAAADAEAAA8AAAAAAAAAAQAgAAAAIgAAAGRycy9kb3ducmV2LnhtbFBLAQIUABQA&#10;AAAIAIdO4kD897zTtgEAAFYDAAAOAAAAAAAAAAEAIAAAACgBAABkcnMvZTJvRG9jLnhtbFBLBQYA&#10;AAAABgAGAFkBAABQBQAAAAA=&#10;">
                <v:fill on="f" focussize="0,0"/>
                <v:stroke on="f"/>
                <v:imagedata o:title=""/>
                <o:lock v:ext="edit" aspectratio="f"/>
                <v:textbox>
                  <w:txbxContent>
                    <w:p/>
                  </w:txbxContent>
                </v:textbox>
              </v:shape>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4144010</wp:posOffset>
                </wp:positionV>
                <wp:extent cx="342900" cy="842645"/>
                <wp:effectExtent l="0" t="0" r="0" b="0"/>
                <wp:wrapNone/>
                <wp:docPr id="7" name="文本框 8"/>
                <wp:cNvGraphicFramePr/>
                <a:graphic xmlns:a="http://schemas.openxmlformats.org/drawingml/2006/main">
                  <a:graphicData uri="http://schemas.microsoft.com/office/word/2010/wordprocessingShape">
                    <wps:wsp>
                      <wps:cNvSpPr txBox="1"/>
                      <wps:spPr>
                        <a:xfrm>
                          <a:off x="0" y="0"/>
                          <a:ext cx="342900" cy="842645"/>
                        </a:xfrm>
                        <a:prstGeom prst="rect">
                          <a:avLst/>
                        </a:prstGeom>
                        <a:noFill/>
                        <a:ln w="9525">
                          <a:noFill/>
                        </a:ln>
                      </wps:spPr>
                      <wps:txbx>
                        <w:txbxContent>
                          <w:p>
                            <w:pPr>
                              <w:rPr>
                                <w:sz w:val="18"/>
                                <w:szCs w:val="18"/>
                              </w:rPr>
                            </w:pPr>
                          </w:p>
                        </w:txbxContent>
                      </wps:txbx>
                      <wps:bodyPr vert="vert270" upright="1"/>
                    </wps:wsp>
                  </a:graphicData>
                </a:graphic>
              </wp:anchor>
            </w:drawing>
          </mc:Choice>
          <mc:Fallback>
            <w:pict>
              <v:shape id="文本框 8" o:spid="_x0000_s1026" o:spt="202" type="#_x0000_t202" style="position:absolute;left:0pt;margin-left:-36pt;margin-top:326.3pt;height:66.35pt;width:27pt;z-index:251660288;mso-width-relative:page;mso-height-relative:page;" filled="f" stroked="f" coordsize="21600,21600" o:gfxdata="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4jCztwAAAALAQAADwAAAAAAAAABACAAAAAiAAAAZHJzL2Rvd25yZXYu&#10;eG1sUEsBAhQAFAAAAAgAh07iQM3SA4q+AQAAZQMAAA4AAAAAAAAAAQAgAAAAKwEAAGRycy9lMm9E&#10;b2MueG1sUEsFBgAAAAAGAAYAWQEAAFsFAAAAAA==&#10;">
                <v:fill on="f" focussize="0,0"/>
                <v:stroke on="f"/>
                <v:imagedata o:title=""/>
                <o:lock v:ext="edit" aspectratio="f"/>
                <v:textbox style="layout-flow:vertical;mso-layout-flow-alt:bottom-to-top;">
                  <w:txbxContent>
                    <w:p>
                      <w:pPr>
                        <w:rPr>
                          <w:sz w:val="18"/>
                          <w:szCs w:val="18"/>
                        </w:rPr>
                      </w:pPr>
                    </w:p>
                  </w:txbxContent>
                </v:textbox>
              </v:shape>
            </w:pict>
          </mc:Fallback>
        </mc:AlternateContent>
      </w:r>
      <w:r>
        <w:rPr>
          <w:rFonts w:ascii="宋体" w:hAnsi="宋体"/>
          <w:sz w:val="24"/>
          <w:szCs w:val="24"/>
        </w:rPr>
        <w:t>5.6.4</w:t>
      </w:r>
      <w:r>
        <w:rPr>
          <w:rFonts w:hint="eastAsia" w:ascii="宋体" w:hAnsi="宋体"/>
          <w:sz w:val="24"/>
          <w:szCs w:val="24"/>
        </w:rPr>
        <w:t>隔离开关及高压熔断器质量控制</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6.4.1</w:t>
      </w:r>
      <w:r>
        <w:rPr>
          <w:rFonts w:hint="eastAsia" w:ascii="宋体" w:hAnsi="宋体"/>
          <w:sz w:val="24"/>
          <w:szCs w:val="24"/>
        </w:rPr>
        <w:t>隔离开关</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6.4.1.1</w:t>
      </w:r>
      <w:r>
        <w:rPr>
          <w:rFonts w:hint="eastAsia" w:ascii="宋体" w:hAnsi="宋体"/>
          <w:sz w:val="24"/>
          <w:szCs w:val="24"/>
        </w:rPr>
        <w:t>接线端子及载流部分应清洁，且接触良好，触头镀银层无脱落。</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6.4.1.2</w:t>
      </w:r>
      <w:r>
        <w:rPr>
          <w:rFonts w:hint="eastAsia" w:ascii="宋体" w:hAnsi="宋体"/>
          <w:sz w:val="24"/>
          <w:szCs w:val="24"/>
        </w:rPr>
        <w:t>绝缘子表面应清洁，无裂纹、破损、焊接残留斑点等缺陷，瓷铁粘合应牢固。</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6.4.1.3</w:t>
      </w:r>
      <w:r>
        <w:rPr>
          <w:rFonts w:hint="eastAsia" w:ascii="宋体" w:hAnsi="宋体"/>
          <w:sz w:val="24"/>
          <w:szCs w:val="24"/>
        </w:rPr>
        <w:t>隔离开关的底座转动部分应灵活，并应涂以适合的润滑油。</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6.4.1.4</w:t>
      </w:r>
      <w:r>
        <w:rPr>
          <w:rFonts w:hint="eastAsia" w:ascii="宋体" w:hAnsi="宋体"/>
          <w:sz w:val="24"/>
          <w:szCs w:val="24"/>
        </w:rPr>
        <w:t>操作机构的零部件应齐全，所有固定部件应紧固，转动部件应涂以适合当地气候的润滑油。</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6.4.1.5</w:t>
      </w:r>
      <w:r>
        <w:rPr>
          <w:rFonts w:hint="eastAsia" w:ascii="宋体" w:hAnsi="宋体"/>
          <w:sz w:val="24"/>
          <w:szCs w:val="24"/>
        </w:rPr>
        <w:t>隔离开关的闭锁装置应动作灵活、准确可靠；带有接地刀刃的隔离开关，接地刀刃与主触头间的机械或电气闭锁应准确可靠。</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6.4.1.6</w:t>
      </w:r>
      <w:r>
        <w:rPr>
          <w:rFonts w:hint="eastAsia" w:ascii="宋体" w:hAnsi="宋体"/>
          <w:sz w:val="24"/>
          <w:szCs w:val="24"/>
        </w:rPr>
        <w:t>隔离开关及负荷开关的辅助开关应安装牢固，并动作准确，接触良好，其安装位置应便于检查；装于室外时，应有防雨措施。</w:t>
      </w:r>
      <w:r>
        <mc:AlternateContent>
          <mc:Choice Requires="wps">
            <w:drawing>
              <wp:anchor distT="0" distB="0" distL="114300" distR="114300" simplePos="0" relativeHeight="251661312" behindDoc="0" locked="0" layoutInCell="1" allowOverlap="1">
                <wp:simplePos x="0" y="0"/>
                <wp:positionH relativeFrom="column">
                  <wp:posOffset>2667000</wp:posOffset>
                </wp:positionH>
                <wp:positionV relativeFrom="paragraph">
                  <wp:posOffset>99060</wp:posOffset>
                </wp:positionV>
                <wp:extent cx="2400300" cy="297180"/>
                <wp:effectExtent l="0" t="0" r="0" b="0"/>
                <wp:wrapNone/>
                <wp:docPr id="8" name="文本框 9"/>
                <wp:cNvGraphicFramePr/>
                <a:graphic xmlns:a="http://schemas.openxmlformats.org/drawingml/2006/main">
                  <a:graphicData uri="http://schemas.microsoft.com/office/word/2010/wordprocessingShape">
                    <wps:wsp>
                      <wps:cNvSpPr txBox="1"/>
                      <wps:spPr>
                        <a:xfrm>
                          <a:off x="0" y="0"/>
                          <a:ext cx="2400300" cy="297180"/>
                        </a:xfrm>
                        <a:prstGeom prst="rect">
                          <a:avLst/>
                        </a:prstGeom>
                        <a:noFill/>
                        <a:ln w="9525">
                          <a:noFill/>
                        </a:ln>
                      </wps:spPr>
                      <wps:txbx>
                        <w:txbxContent>
                          <w:p/>
                        </w:txbxContent>
                      </wps:txbx>
                      <wps:bodyPr upright="1"/>
                    </wps:wsp>
                  </a:graphicData>
                </a:graphic>
              </wp:anchor>
            </w:drawing>
          </mc:Choice>
          <mc:Fallback>
            <w:pict>
              <v:shape id="文本框 9" o:spid="_x0000_s1026" o:spt="202" type="#_x0000_t202" style="position:absolute;left:0pt;margin-left:210pt;margin-top:7.8pt;height:23.4pt;width:189pt;z-index:251661312;mso-width-relative:page;mso-height-relative:page;" filled="f" stroked="f" coordsize="21600,21600" o:gfxdata="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L&#10;6T8r1QAAAAkBAAAPAAAAAAAAAAEAIAAAACIAAABkcnMvZG93bnJldi54bWxQSwECFAAUAAAACACH&#10;TuJAxmY997UBAABXAwAADgAAAAAAAAABACAAAAAkAQAAZHJzL2Uyb0RvYy54bWxQSwUGAAAAAAYA&#10;BgBZAQAASwUAAAAA&#10;">
                <v:fill on="f" focussize="0,0"/>
                <v:stroke on="f"/>
                <v:imagedata o:title=""/>
                <o:lock v:ext="edit" aspectratio="f"/>
                <v:textbox>
                  <w:txbxContent>
                    <w:p/>
                  </w:txbxContent>
                </v:textbox>
              </v:shape>
            </w:pict>
          </mc:Fallback>
        </mc:AlternateConten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6.4.2</w:t>
      </w:r>
      <w:r>
        <w:rPr>
          <w:rFonts w:hint="eastAsia" w:ascii="宋体" w:hAnsi="宋体"/>
          <w:sz w:val="24"/>
          <w:szCs w:val="24"/>
        </w:rPr>
        <w:t>高压熔断器</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6.4.2.1</w:t>
      </w:r>
      <w:r>
        <w:rPr>
          <w:rFonts w:hint="eastAsia" w:ascii="宋体" w:hAnsi="宋体"/>
          <w:sz w:val="24"/>
          <w:szCs w:val="24"/>
        </w:rPr>
        <w:t>带钳口的熔断器，其熔丝管应紧密地插入钳口内。</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6.4.2.2</w:t>
      </w:r>
      <w:r>
        <w:rPr>
          <w:rFonts w:hint="eastAsia" w:ascii="宋体" w:hAnsi="宋体"/>
          <w:sz w:val="24"/>
          <w:szCs w:val="24"/>
        </w:rPr>
        <w:t>装有动作指示器的熔断器，应便于检查指示器的动作情况。</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6.4.2.3</w:t>
      </w:r>
      <w:r>
        <w:rPr>
          <w:rFonts w:hint="eastAsia" w:ascii="宋体" w:hAnsi="宋体"/>
          <w:sz w:val="24"/>
          <w:szCs w:val="24"/>
        </w:rPr>
        <w:t>跌落式熔断器熔管的有机绝缘物应无裂纹、变形；熔管轴线与铅垂线的夹角应为</w:t>
      </w:r>
      <w:r>
        <w:rPr>
          <w:rFonts w:ascii="宋体" w:hAnsi="宋体"/>
          <w:sz w:val="24"/>
          <w:szCs w:val="24"/>
        </w:rPr>
        <w:t>15</w:t>
      </w:r>
      <w:r>
        <w:rPr>
          <w:rFonts w:hint="eastAsia" w:ascii="宋体" w:hAnsi="宋体"/>
          <w:sz w:val="24"/>
          <w:szCs w:val="24"/>
        </w:rPr>
        <w:t>～</w:t>
      </w:r>
      <w:r>
        <w:rPr>
          <w:rFonts w:ascii="宋体" w:hAnsi="宋体"/>
          <w:sz w:val="24"/>
          <w:szCs w:val="24"/>
        </w:rPr>
        <w:t>30</w:t>
      </w:r>
      <w:bookmarkStart w:id="45" w:name="_Toc318380211"/>
      <w:r>
        <w:rPr>
          <w:rFonts w:hint="eastAsia" w:ascii="宋体" w:hAnsi="宋体"/>
          <w:sz w:val="24"/>
          <w:szCs w:val="24"/>
        </w:rPr>
        <w:t>°，其转动部分应灵活；跌落时不应碰及其它物体而损坏熔管。</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w:t>
      </w:r>
      <w:r>
        <w:rPr>
          <w:rFonts w:ascii="宋体"/>
          <w:sz w:val="24"/>
          <w:szCs w:val="24"/>
        </w:rPr>
        <w:t>.</w:t>
      </w:r>
      <w:r>
        <w:rPr>
          <w:rFonts w:ascii="宋体" w:hAnsi="宋体"/>
          <w:sz w:val="24"/>
          <w:szCs w:val="24"/>
        </w:rPr>
        <w:t>5</w:t>
      </w:r>
      <w:r>
        <w:rPr>
          <w:rFonts w:hint="eastAsia" w:ascii="宋体" w:hAnsi="宋体"/>
          <w:sz w:val="24"/>
          <w:szCs w:val="24"/>
        </w:rPr>
        <w:t>铜母线安装</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w:t>
      </w:r>
      <w:r>
        <w:rPr>
          <w:rFonts w:ascii="宋体"/>
          <w:sz w:val="24"/>
          <w:szCs w:val="24"/>
        </w:rPr>
        <w:t>.</w:t>
      </w:r>
      <w:r>
        <w:rPr>
          <w:rFonts w:ascii="宋体" w:hAnsi="宋体"/>
          <w:sz w:val="24"/>
          <w:szCs w:val="24"/>
        </w:rPr>
        <w:t>5.1</w:t>
      </w:r>
      <w:r>
        <w:rPr>
          <w:rFonts w:hint="eastAsia" w:ascii="宋体" w:hAnsi="宋体"/>
          <w:sz w:val="24"/>
          <w:szCs w:val="24"/>
        </w:rPr>
        <w:t>接铜排不得有明显的损伤或严重腐蚀等缺陷。金具表面应光滑，无裂纹，伤痕，砂眼，锈蚀，滑扣等缺陷，锌层不应剥落。</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w:t>
      </w:r>
      <w:r>
        <w:rPr>
          <w:rFonts w:ascii="宋体"/>
          <w:sz w:val="24"/>
          <w:szCs w:val="24"/>
        </w:rPr>
        <w:t>.</w:t>
      </w:r>
      <w:r>
        <w:rPr>
          <w:rFonts w:ascii="宋体" w:hAnsi="宋体"/>
          <w:sz w:val="24"/>
          <w:szCs w:val="24"/>
        </w:rPr>
        <w:t>5.2</w:t>
      </w:r>
      <w:r>
        <w:rPr>
          <w:rFonts w:hint="eastAsia" w:ascii="宋体" w:hAnsi="宋体"/>
          <w:sz w:val="24"/>
          <w:szCs w:val="24"/>
        </w:rPr>
        <w:t>接铜排安装前的检查应符合下列规定：根据设计图对设备线夹进行开孔，开孔直径宜大于螺栓直径</w:t>
      </w:r>
      <w:r>
        <w:rPr>
          <w:rFonts w:ascii="宋体" w:hAnsi="宋体"/>
          <w:sz w:val="24"/>
          <w:szCs w:val="24"/>
        </w:rPr>
        <w:t>1mm</w:t>
      </w:r>
      <w:r>
        <w:rPr>
          <w:rFonts w:hint="eastAsia" w:ascii="宋体" w:hAnsi="宋体"/>
          <w:sz w:val="24"/>
          <w:szCs w:val="24"/>
        </w:rPr>
        <w:t>。钻孔应垂直，螺孔间中心距离的误差应为正负</w:t>
      </w:r>
      <w:r>
        <w:rPr>
          <w:rFonts w:ascii="宋体" w:hAnsi="宋体"/>
          <w:sz w:val="24"/>
          <w:szCs w:val="24"/>
        </w:rPr>
        <w:t>0.5mm</w:t>
      </w:r>
      <w:r>
        <w:rPr>
          <w:rFonts w:hint="eastAsia" w:ascii="宋体" w:hAnsi="宋体"/>
          <w:sz w:val="24"/>
          <w:szCs w:val="24"/>
        </w:rPr>
        <w:t>。接铜排的端头伸入设备线夹的长度</w:t>
      </w:r>
      <w:r>
        <w:rPr>
          <w:rFonts w:ascii="宋体" w:hAnsi="宋体"/>
          <w:sz w:val="24"/>
          <w:szCs w:val="24"/>
        </w:rPr>
        <w:t>ING</w:t>
      </w:r>
      <w:r>
        <w:rPr>
          <w:rFonts w:hint="eastAsia" w:ascii="宋体" w:hAnsi="宋体"/>
          <w:sz w:val="24"/>
          <w:szCs w:val="24"/>
        </w:rPr>
        <w:t>达到规定的长度，铜排及线夹接触面均应清除氧化膜，并用汽油或丙酮清洗，清洗长度不应少于连接长度上的</w:t>
      </w:r>
      <w:r>
        <w:rPr>
          <w:rFonts w:ascii="宋体" w:hAnsi="宋体"/>
          <w:sz w:val="24"/>
          <w:szCs w:val="24"/>
        </w:rPr>
        <w:t>1.2</w:t>
      </w:r>
      <w:r>
        <w:rPr>
          <w:rFonts w:hint="eastAsia" w:ascii="宋体" w:hAnsi="宋体"/>
          <w:sz w:val="24"/>
          <w:szCs w:val="24"/>
        </w:rPr>
        <w:t>倍，导电接触面应涂以电力复合脂。接地铜排应进行硫化处理，并应在安装前套热缩绝缘套，接地铜排与至少与两个独立的接地抽头连接，连接面积应符合要求。</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w:t>
      </w:r>
      <w:r>
        <w:rPr>
          <w:rFonts w:ascii="宋体"/>
          <w:sz w:val="24"/>
          <w:szCs w:val="24"/>
        </w:rPr>
        <w:t>.</w:t>
      </w:r>
      <w:r>
        <w:rPr>
          <w:rFonts w:ascii="宋体" w:hAnsi="宋体"/>
          <w:sz w:val="24"/>
          <w:szCs w:val="24"/>
        </w:rPr>
        <w:t>5.3</w:t>
      </w:r>
      <w:r>
        <w:rPr>
          <w:rFonts w:hint="eastAsia" w:ascii="宋体" w:hAnsi="宋体"/>
          <w:sz w:val="24"/>
          <w:szCs w:val="24"/>
        </w:rPr>
        <w:t>母线安装时，不得伤及母线，母线轴线应处于一个垂直面上。</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w:t>
      </w:r>
      <w:r>
        <w:rPr>
          <w:rFonts w:ascii="宋体"/>
          <w:sz w:val="24"/>
          <w:szCs w:val="24"/>
        </w:rPr>
        <w:t>.</w:t>
      </w:r>
      <w:r>
        <w:rPr>
          <w:rFonts w:ascii="宋体" w:hAnsi="宋体"/>
          <w:sz w:val="24"/>
          <w:szCs w:val="24"/>
        </w:rPr>
        <w:t>5.4</w:t>
      </w:r>
      <w:r>
        <w:rPr>
          <w:rFonts w:hint="eastAsia" w:ascii="宋体" w:hAnsi="宋体"/>
          <w:sz w:val="24"/>
          <w:szCs w:val="24"/>
        </w:rPr>
        <w:t>母线固定金具与支柱绝缘子间的固定应平整牢固，不应使其所支持的母线受到额外应力；母线安装在滑动式支持器上时，支持器的轴座与管母线之间应有</w:t>
      </w:r>
      <w:r>
        <w:rPr>
          <w:rFonts w:ascii="宋体" w:hAnsi="宋体"/>
          <w:sz w:val="24"/>
          <w:szCs w:val="24"/>
        </w:rPr>
        <w:t>1-2mm</w:t>
      </w:r>
      <w:r>
        <w:rPr>
          <w:rFonts w:hint="eastAsia" w:ascii="宋体" w:hAnsi="宋体"/>
          <w:sz w:val="24"/>
          <w:szCs w:val="24"/>
        </w:rPr>
        <w:t>的间隙。</w:t>
      </w:r>
    </w:p>
    <w:p>
      <w:pPr>
        <w:tabs>
          <w:tab w:val="left" w:pos="0"/>
          <w:tab w:val="left" w:pos="1080"/>
        </w:tabs>
        <w:spacing w:line="360" w:lineRule="auto"/>
        <w:rPr>
          <w:rFonts w:ascii="宋体"/>
          <w:b/>
          <w:sz w:val="24"/>
          <w:szCs w:val="24"/>
        </w:rPr>
      </w:pPr>
      <w:r>
        <w:rPr>
          <w:rFonts w:ascii="宋体" w:hAnsi="宋体"/>
          <w:sz w:val="24"/>
          <w:szCs w:val="24"/>
        </w:rPr>
        <w:t>5.7</w:t>
      </w:r>
      <w:r>
        <w:rPr>
          <w:rFonts w:hint="eastAsia" w:ascii="宋体" w:hAnsi="宋体"/>
          <w:sz w:val="24"/>
          <w:szCs w:val="24"/>
        </w:rPr>
        <w:t>电气二次设备安装质量控制</w:t>
      </w:r>
    </w:p>
    <w:p>
      <w:pPr>
        <w:tabs>
          <w:tab w:val="left" w:pos="0"/>
          <w:tab w:val="left" w:pos="1080"/>
        </w:tabs>
        <w:spacing w:line="360" w:lineRule="auto"/>
        <w:rPr>
          <w:rFonts w:ascii="宋体"/>
          <w:sz w:val="24"/>
          <w:szCs w:val="24"/>
        </w:rPr>
      </w:pPr>
      <w:r>
        <w:rPr>
          <w:rFonts w:ascii="宋体" w:hAnsi="宋体"/>
          <w:sz w:val="24"/>
          <w:szCs w:val="24"/>
        </w:rPr>
        <w:t>5.7.1</w:t>
      </w:r>
      <w:r>
        <w:rPr>
          <w:rFonts w:hint="eastAsia" w:ascii="宋体" w:hAnsi="宋体"/>
          <w:sz w:val="24"/>
          <w:szCs w:val="24"/>
        </w:rPr>
        <w:t>设备开箱验收</w:t>
      </w:r>
    </w:p>
    <w:p>
      <w:pPr>
        <w:tabs>
          <w:tab w:val="left" w:pos="0"/>
          <w:tab w:val="left" w:pos="600"/>
        </w:tabs>
        <w:spacing w:line="360" w:lineRule="auto"/>
        <w:rPr>
          <w:rFonts w:ascii="宋体"/>
          <w:sz w:val="24"/>
          <w:szCs w:val="24"/>
        </w:rPr>
      </w:pPr>
      <w:r>
        <w:rPr>
          <w:rFonts w:ascii="宋体"/>
          <w:sz w:val="24"/>
          <w:szCs w:val="24"/>
        </w:rPr>
        <w:tab/>
      </w:r>
      <w:r>
        <w:rPr>
          <w:rFonts w:hint="eastAsia" w:ascii="宋体" w:hAnsi="宋体"/>
          <w:sz w:val="24"/>
          <w:szCs w:val="24"/>
        </w:rPr>
        <w:t>设备开箱验收有建设部组织，监理人，安装单位技术人员，施工人员，制造厂家代表参加，检查盘柜外观有无明显破损。按装箱单清点资料，合格证，附件，备品备件等是否齐全。开箱检查设备固定螺丝，元器件，端子，线头，标签等有无脱落，结构有无裂纹。如开箱检查中发现问题应要求制造厂处理。验收合格后，进行签字认可。</w:t>
      </w:r>
    </w:p>
    <w:p>
      <w:pPr>
        <w:tabs>
          <w:tab w:val="left" w:pos="0"/>
          <w:tab w:val="left" w:pos="600"/>
        </w:tabs>
        <w:spacing w:line="360" w:lineRule="auto"/>
        <w:rPr>
          <w:rFonts w:ascii="宋体"/>
          <w:b/>
          <w:sz w:val="24"/>
          <w:szCs w:val="24"/>
        </w:rPr>
      </w:pPr>
      <w:r>
        <w:rPr>
          <w:rFonts w:ascii="宋体" w:hAnsi="宋体"/>
          <w:sz w:val="24"/>
          <w:szCs w:val="24"/>
        </w:rPr>
        <w:t>5.7.2</w:t>
      </w:r>
      <w:r>
        <w:rPr>
          <w:rFonts w:hint="eastAsia" w:ascii="宋体" w:hAnsi="宋体"/>
          <w:sz w:val="24"/>
          <w:szCs w:val="24"/>
        </w:rPr>
        <w:t>盘柜安装</w:t>
      </w:r>
    </w:p>
    <w:p>
      <w:pPr>
        <w:tabs>
          <w:tab w:val="left" w:pos="0"/>
          <w:tab w:val="left" w:pos="600"/>
        </w:tabs>
        <w:spacing w:line="360" w:lineRule="auto"/>
        <w:rPr>
          <w:rFonts w:ascii="宋体"/>
          <w:sz w:val="24"/>
          <w:szCs w:val="24"/>
        </w:rPr>
      </w:pPr>
      <w:r>
        <w:rPr>
          <w:rFonts w:ascii="宋体" w:hAnsi="宋体"/>
          <w:sz w:val="24"/>
          <w:szCs w:val="24"/>
        </w:rPr>
        <w:t>5.7.2.1</w:t>
      </w:r>
      <w:r>
        <w:rPr>
          <w:rFonts w:hint="eastAsia" w:ascii="宋体" w:hAnsi="宋体"/>
          <w:sz w:val="24"/>
          <w:szCs w:val="24"/>
        </w:rPr>
        <w:t>严格按设计图纸，在设备厂家代表的指导和监督下完成监控系统设备固定安装等工作。</w:t>
      </w:r>
    </w:p>
    <w:p>
      <w:pPr>
        <w:tabs>
          <w:tab w:val="left" w:pos="0"/>
          <w:tab w:val="left" w:pos="600"/>
        </w:tabs>
        <w:spacing w:line="360" w:lineRule="auto"/>
        <w:rPr>
          <w:rFonts w:ascii="宋体"/>
          <w:sz w:val="24"/>
          <w:szCs w:val="24"/>
        </w:rPr>
      </w:pPr>
      <w:r>
        <w:rPr>
          <w:rFonts w:ascii="宋体" w:hAnsi="宋体"/>
          <w:sz w:val="24"/>
          <w:szCs w:val="24"/>
        </w:rPr>
        <w:t>5. 7.2.2</w:t>
      </w:r>
      <w:r>
        <w:rPr>
          <w:rFonts w:hint="eastAsia" w:ascii="宋体" w:hAnsi="宋体"/>
          <w:sz w:val="24"/>
          <w:szCs w:val="24"/>
        </w:rPr>
        <w:t>盘柜按设计图纸或设备厂家要求固定，均无要求时采用螺栓固定，根据盘柜底座安装孔的尺寸，在盘柜基础槽钢上钻孔，焊接螺栓盘柜与基础连接固定。</w:t>
      </w:r>
    </w:p>
    <w:p>
      <w:pPr>
        <w:tabs>
          <w:tab w:val="left" w:pos="0"/>
          <w:tab w:val="left" w:pos="600"/>
        </w:tabs>
        <w:spacing w:line="360" w:lineRule="auto"/>
        <w:rPr>
          <w:rFonts w:ascii="宋体"/>
          <w:sz w:val="24"/>
          <w:szCs w:val="24"/>
        </w:rPr>
      </w:pPr>
      <w:r>
        <w:rPr>
          <w:rFonts w:ascii="宋体" w:hAnsi="宋体"/>
          <w:sz w:val="24"/>
          <w:szCs w:val="24"/>
        </w:rPr>
        <w:t>5.7.2.3</w:t>
      </w:r>
      <w:r>
        <w:rPr>
          <w:rFonts w:hint="eastAsia" w:ascii="宋体" w:hAnsi="宋体"/>
          <w:sz w:val="24"/>
          <w:szCs w:val="24"/>
        </w:rPr>
        <w:t>盘柜安装的垂直偏差每米小于</w:t>
      </w:r>
      <w:r>
        <w:rPr>
          <w:rFonts w:ascii="宋体" w:hAnsi="宋体"/>
          <w:sz w:val="24"/>
          <w:szCs w:val="24"/>
        </w:rPr>
        <w:t>1mm</w:t>
      </w:r>
      <w:r>
        <w:rPr>
          <w:rFonts w:hint="eastAsia" w:ascii="宋体" w:hAnsi="宋体"/>
          <w:sz w:val="24"/>
          <w:szCs w:val="24"/>
        </w:rPr>
        <w:t>，相邻两盘顶部高差小于</w:t>
      </w:r>
      <w:r>
        <w:rPr>
          <w:rFonts w:ascii="宋体" w:hAnsi="宋体"/>
          <w:sz w:val="24"/>
          <w:szCs w:val="24"/>
        </w:rPr>
        <w:t>1mm</w:t>
      </w:r>
      <w:r>
        <w:rPr>
          <w:rFonts w:hint="eastAsia" w:ascii="宋体" w:hAnsi="宋体"/>
          <w:sz w:val="24"/>
          <w:szCs w:val="24"/>
        </w:rPr>
        <w:t>，成列盘盘顶最大高差小于</w:t>
      </w:r>
      <w:r>
        <w:rPr>
          <w:rFonts w:ascii="宋体" w:hAnsi="宋体"/>
          <w:sz w:val="24"/>
          <w:szCs w:val="24"/>
        </w:rPr>
        <w:t>3mm,</w:t>
      </w:r>
      <w:r>
        <w:rPr>
          <w:rFonts w:hint="eastAsia" w:ascii="宋体" w:hAnsi="宋体"/>
          <w:sz w:val="24"/>
          <w:szCs w:val="24"/>
        </w:rPr>
        <w:t>相邻盘盘面偏差小于</w:t>
      </w:r>
      <w:r>
        <w:rPr>
          <w:rFonts w:ascii="宋体" w:hAnsi="宋体"/>
          <w:sz w:val="24"/>
          <w:szCs w:val="24"/>
        </w:rPr>
        <w:t>1mm</w:t>
      </w:r>
      <w:r>
        <w:rPr>
          <w:rFonts w:hint="eastAsia" w:ascii="宋体" w:hAnsi="宋体"/>
          <w:sz w:val="24"/>
          <w:szCs w:val="24"/>
        </w:rPr>
        <w:t>，盘间接缝小于</w:t>
      </w:r>
      <w:r>
        <w:rPr>
          <w:rFonts w:ascii="宋体" w:hAnsi="宋体"/>
          <w:sz w:val="24"/>
          <w:szCs w:val="24"/>
        </w:rPr>
        <w:t>1.5mm</w:t>
      </w:r>
      <w:r>
        <w:rPr>
          <w:rFonts w:hint="eastAsia" w:ascii="宋体" w:hAnsi="宋体"/>
          <w:sz w:val="24"/>
          <w:szCs w:val="24"/>
        </w:rPr>
        <w:t>，其余指标均符合《电气装置安装工程盘，柜及二次回路结线施工及验收规范》要求。</w:t>
      </w:r>
    </w:p>
    <w:p>
      <w:pPr>
        <w:tabs>
          <w:tab w:val="left" w:pos="0"/>
          <w:tab w:val="left" w:pos="600"/>
        </w:tabs>
        <w:spacing w:line="360" w:lineRule="auto"/>
        <w:rPr>
          <w:rFonts w:ascii="宋体"/>
          <w:sz w:val="24"/>
          <w:szCs w:val="24"/>
        </w:rPr>
      </w:pPr>
      <w:r>
        <w:rPr>
          <w:rFonts w:ascii="宋体" w:hAnsi="宋体"/>
          <w:sz w:val="24"/>
          <w:szCs w:val="24"/>
        </w:rPr>
        <w:t>5. 7.2.4</w:t>
      </w:r>
      <w:r>
        <w:rPr>
          <w:rFonts w:hint="eastAsia" w:ascii="宋体" w:hAnsi="宋体"/>
          <w:sz w:val="24"/>
          <w:szCs w:val="24"/>
        </w:rPr>
        <w:t>盘柜除有特殊接地要求外，在基础槽钢上稍偏位置焊接接地螺栓，焊接要牢固可靠，并采用不小于</w:t>
      </w:r>
      <w:r>
        <w:rPr>
          <w:rFonts w:ascii="宋体" w:hAnsi="宋体"/>
          <w:sz w:val="24"/>
          <w:szCs w:val="24"/>
        </w:rPr>
        <w:t>25mm</w:t>
      </w:r>
      <w:r>
        <w:rPr>
          <w:rFonts w:ascii="宋体" w:hAnsi="宋体"/>
          <w:sz w:val="24"/>
          <w:szCs w:val="24"/>
          <w:vertAlign w:val="superscript"/>
        </w:rPr>
        <w:t>2</w:t>
      </w:r>
      <w:r>
        <w:rPr>
          <w:rFonts w:hint="eastAsia" w:ascii="宋体" w:hAnsi="宋体"/>
          <w:sz w:val="24"/>
          <w:szCs w:val="24"/>
        </w:rPr>
        <w:t>的接地电线或铜编织线与接地螺栓可靠连接，确保盘柜的可靠接地。</w:t>
      </w:r>
    </w:p>
    <w:p>
      <w:pPr>
        <w:tabs>
          <w:tab w:val="left" w:pos="0"/>
          <w:tab w:val="left" w:pos="600"/>
        </w:tabs>
        <w:spacing w:line="360" w:lineRule="auto"/>
        <w:rPr>
          <w:rFonts w:ascii="宋体"/>
          <w:sz w:val="24"/>
          <w:szCs w:val="24"/>
        </w:rPr>
      </w:pPr>
      <w:r>
        <w:rPr>
          <w:rFonts w:ascii="宋体" w:hAnsi="宋体"/>
          <w:sz w:val="24"/>
          <w:szCs w:val="24"/>
        </w:rPr>
        <w:t>5. 7.2.5</w:t>
      </w:r>
      <w:r>
        <w:rPr>
          <w:rFonts w:hint="eastAsia" w:ascii="宋体" w:hAnsi="宋体"/>
          <w:sz w:val="24"/>
          <w:szCs w:val="24"/>
        </w:rPr>
        <w:t>上位机</w:t>
      </w:r>
      <w:r>
        <w:rPr>
          <w:rFonts w:ascii="宋体" w:hAnsi="宋体"/>
          <w:sz w:val="24"/>
          <w:szCs w:val="24"/>
        </w:rPr>
        <w:t xml:space="preserve"> </w:t>
      </w:r>
      <w:r>
        <w:rPr>
          <w:rFonts w:hint="eastAsia" w:ascii="宋体" w:hAnsi="宋体"/>
          <w:sz w:val="24"/>
          <w:szCs w:val="24"/>
        </w:rPr>
        <w:t>监控设备的安装，如各类工作站及附属设备，网络设备，</w:t>
      </w:r>
      <w:r>
        <w:rPr>
          <w:rFonts w:ascii="宋体" w:hAnsi="宋体"/>
          <w:sz w:val="24"/>
          <w:szCs w:val="24"/>
        </w:rPr>
        <w:t>GPS</w:t>
      </w:r>
      <w:r>
        <w:rPr>
          <w:rFonts w:hint="eastAsia" w:ascii="宋体" w:hAnsi="宋体"/>
          <w:sz w:val="24"/>
          <w:szCs w:val="24"/>
        </w:rPr>
        <w:t>，</w:t>
      </w:r>
      <w:r>
        <w:rPr>
          <w:rFonts w:ascii="宋体" w:hAnsi="宋体"/>
          <w:sz w:val="24"/>
          <w:szCs w:val="24"/>
        </w:rPr>
        <w:t>UPS</w:t>
      </w:r>
      <w:r>
        <w:rPr>
          <w:rFonts w:hint="eastAsia" w:ascii="宋体" w:hAnsi="宋体"/>
          <w:sz w:val="24"/>
          <w:szCs w:val="24"/>
        </w:rPr>
        <w:t>等设备，严格按照设备厂家代表的要求进行，并符合设计图纸及有关规程规范的技术要求。</w:t>
      </w:r>
    </w:p>
    <w:p>
      <w:pPr>
        <w:tabs>
          <w:tab w:val="left" w:pos="0"/>
          <w:tab w:val="left" w:pos="600"/>
        </w:tabs>
        <w:spacing w:line="360" w:lineRule="auto"/>
        <w:rPr>
          <w:rFonts w:ascii="宋体"/>
          <w:sz w:val="24"/>
          <w:szCs w:val="24"/>
        </w:rPr>
      </w:pPr>
      <w:r>
        <w:rPr>
          <w:rFonts w:ascii="宋体" w:hAnsi="宋体"/>
          <w:sz w:val="24"/>
          <w:szCs w:val="24"/>
        </w:rPr>
        <w:t>5. 7.2.6</w:t>
      </w:r>
      <w:r>
        <w:rPr>
          <w:rFonts w:hint="eastAsia" w:ascii="宋体" w:hAnsi="宋体"/>
          <w:sz w:val="24"/>
          <w:szCs w:val="24"/>
        </w:rPr>
        <w:t>变送器，仪器，仪表等设备必须经过有资质的计量部门的校验。通讯适配器安装时，必须固定牢固，且不影响盘内其它设备。并按设备说明书要求进行接地。</w:t>
      </w:r>
    </w:p>
    <w:p>
      <w:pPr>
        <w:tabs>
          <w:tab w:val="left" w:pos="0"/>
          <w:tab w:val="left" w:pos="600"/>
        </w:tabs>
        <w:spacing w:line="360" w:lineRule="auto"/>
        <w:rPr>
          <w:rFonts w:ascii="宋体"/>
          <w:sz w:val="24"/>
          <w:szCs w:val="24"/>
        </w:rPr>
      </w:pPr>
      <w:r>
        <w:rPr>
          <w:rFonts w:ascii="宋体" w:hAnsi="宋体"/>
          <w:sz w:val="24"/>
          <w:szCs w:val="24"/>
        </w:rPr>
        <w:t>5.7.2.7</w:t>
      </w:r>
      <w:r>
        <w:rPr>
          <w:rFonts w:hint="eastAsia" w:ascii="宋体" w:hAnsi="宋体"/>
          <w:sz w:val="24"/>
          <w:szCs w:val="24"/>
        </w:rPr>
        <w:t>远程</w:t>
      </w:r>
      <w:r>
        <w:rPr>
          <w:rFonts w:ascii="宋体" w:hAnsi="宋体"/>
          <w:sz w:val="24"/>
          <w:szCs w:val="24"/>
        </w:rPr>
        <w:t>I/0</w:t>
      </w:r>
      <w:r>
        <w:rPr>
          <w:rFonts w:hint="eastAsia" w:ascii="宋体" w:hAnsi="宋体"/>
          <w:sz w:val="24"/>
          <w:szCs w:val="24"/>
        </w:rPr>
        <w:t>模件安装在所对应的被控设备近处，远程</w:t>
      </w:r>
      <w:r>
        <w:rPr>
          <w:rFonts w:ascii="宋体" w:hAnsi="宋体"/>
          <w:sz w:val="24"/>
          <w:szCs w:val="24"/>
        </w:rPr>
        <w:t>I/0</w:t>
      </w:r>
      <w:r>
        <w:rPr>
          <w:rFonts w:hint="eastAsia" w:ascii="宋体" w:hAnsi="宋体"/>
          <w:sz w:val="24"/>
          <w:szCs w:val="24"/>
        </w:rPr>
        <w:t>模件的接线端子需同所在设备的端子明显隔离开，并贴有标签注明。所有设备按设计及规范要求进行接地。</w:t>
      </w:r>
    </w:p>
    <w:p>
      <w:pPr>
        <w:tabs>
          <w:tab w:val="left" w:pos="0"/>
          <w:tab w:val="left" w:pos="600"/>
        </w:tabs>
        <w:spacing w:line="360" w:lineRule="auto"/>
        <w:rPr>
          <w:rFonts w:ascii="宋体"/>
          <w:sz w:val="24"/>
          <w:szCs w:val="24"/>
        </w:rPr>
      </w:pPr>
      <w:r>
        <w:rPr>
          <w:rFonts w:ascii="宋体" w:hAnsi="宋体"/>
          <w:sz w:val="24"/>
          <w:szCs w:val="24"/>
        </w:rPr>
        <w:t>5.7.2.8</w:t>
      </w:r>
      <w:r>
        <w:rPr>
          <w:rFonts w:hint="eastAsia" w:ascii="宋体" w:hAnsi="宋体"/>
          <w:sz w:val="24"/>
          <w:szCs w:val="24"/>
        </w:rPr>
        <w:t>设备上的各种仪器仪表，按钮，开关等安装完整，标志正确，清晰，齐全。</w:t>
      </w:r>
    </w:p>
    <w:p>
      <w:pPr>
        <w:tabs>
          <w:tab w:val="left" w:pos="0"/>
          <w:tab w:val="left" w:pos="600"/>
        </w:tabs>
        <w:spacing w:line="360" w:lineRule="auto"/>
        <w:rPr>
          <w:rFonts w:ascii="宋体"/>
          <w:sz w:val="24"/>
          <w:szCs w:val="24"/>
        </w:rPr>
      </w:pPr>
      <w:r>
        <w:rPr>
          <w:rFonts w:ascii="宋体" w:hAnsi="宋体"/>
          <w:sz w:val="24"/>
          <w:szCs w:val="24"/>
        </w:rPr>
        <w:t>5.7.2.9</w:t>
      </w:r>
      <w:r>
        <w:rPr>
          <w:rFonts w:hint="eastAsia" w:ascii="宋体" w:hAnsi="宋体"/>
          <w:sz w:val="24"/>
          <w:szCs w:val="24"/>
        </w:rPr>
        <w:t>微机设备安装时要保持机房清洁，要防潮，防尘，防腐蚀气体。</w:t>
      </w:r>
    </w:p>
    <w:p>
      <w:pPr>
        <w:tabs>
          <w:tab w:val="left" w:pos="0"/>
          <w:tab w:val="left" w:pos="600"/>
        </w:tabs>
        <w:spacing w:line="360" w:lineRule="auto"/>
        <w:rPr>
          <w:rFonts w:ascii="宋体"/>
          <w:bCs/>
          <w:sz w:val="24"/>
          <w:szCs w:val="24"/>
        </w:rPr>
      </w:pPr>
      <w:r>
        <w:rPr>
          <w:rFonts w:ascii="宋体" w:hAnsi="宋体"/>
          <w:bCs/>
          <w:sz w:val="24"/>
          <w:szCs w:val="24"/>
        </w:rPr>
        <w:t>5.8</w:t>
      </w:r>
      <w:r>
        <w:rPr>
          <w:rFonts w:hint="eastAsia" w:ascii="宋体" w:hAnsi="宋体"/>
          <w:bCs/>
          <w:sz w:val="24"/>
          <w:szCs w:val="24"/>
        </w:rPr>
        <w:t>全厂照明系统安装质量控制</w:t>
      </w:r>
    </w:p>
    <w:p>
      <w:pPr>
        <w:tabs>
          <w:tab w:val="left" w:pos="0"/>
          <w:tab w:val="left" w:pos="600"/>
        </w:tabs>
        <w:spacing w:line="360" w:lineRule="auto"/>
        <w:rPr>
          <w:rFonts w:ascii="宋体"/>
          <w:sz w:val="24"/>
          <w:szCs w:val="24"/>
        </w:rPr>
      </w:pPr>
      <w:r>
        <w:rPr>
          <w:rFonts w:ascii="宋体" w:hAnsi="宋体"/>
          <w:sz w:val="24"/>
          <w:szCs w:val="24"/>
        </w:rPr>
        <w:t>5.8.1</w:t>
      </w:r>
      <w:r>
        <w:rPr>
          <w:rFonts w:hint="eastAsia" w:ascii="宋体" w:hAnsi="宋体"/>
          <w:sz w:val="24"/>
          <w:szCs w:val="24"/>
        </w:rPr>
        <w:t>配线管安装</w:t>
      </w:r>
    </w:p>
    <w:p>
      <w:pPr>
        <w:tabs>
          <w:tab w:val="left" w:pos="0"/>
          <w:tab w:val="left" w:pos="600"/>
        </w:tabs>
        <w:spacing w:line="360" w:lineRule="auto"/>
        <w:rPr>
          <w:rFonts w:ascii="宋体"/>
          <w:sz w:val="24"/>
          <w:szCs w:val="24"/>
        </w:rPr>
      </w:pPr>
      <w:r>
        <w:rPr>
          <w:rFonts w:ascii="宋体" w:hAnsi="宋体"/>
          <w:sz w:val="24"/>
          <w:szCs w:val="24"/>
        </w:rPr>
        <w:t>5.8.1.1</w:t>
      </w:r>
      <w:r>
        <w:rPr>
          <w:rFonts w:hint="eastAsia" w:ascii="宋体" w:hAnsi="宋体"/>
          <w:sz w:val="24"/>
          <w:szCs w:val="24"/>
        </w:rPr>
        <w:t>照明埋管及预埋盒安装随土建施工同步进行，保证管路规格及相接处的安装质量。</w:t>
      </w:r>
    </w:p>
    <w:p>
      <w:pPr>
        <w:tabs>
          <w:tab w:val="left" w:pos="0"/>
          <w:tab w:val="left" w:pos="600"/>
        </w:tabs>
        <w:spacing w:line="360" w:lineRule="auto"/>
        <w:rPr>
          <w:rFonts w:ascii="宋体"/>
          <w:sz w:val="24"/>
          <w:szCs w:val="24"/>
        </w:rPr>
      </w:pPr>
      <w:r>
        <w:rPr>
          <w:rFonts w:ascii="宋体" w:hAnsi="宋体"/>
          <w:sz w:val="24"/>
          <w:szCs w:val="24"/>
        </w:rPr>
        <w:t>5.8.1.2</w:t>
      </w:r>
      <w:r>
        <w:rPr>
          <w:rFonts w:hint="eastAsia" w:ascii="宋体" w:hAnsi="宋体"/>
          <w:sz w:val="24"/>
          <w:szCs w:val="24"/>
        </w:rPr>
        <w:t>配线管，接线盒，灯盒，开关盒，插座盒等在预埋时应进行封堵。明敷</w:t>
      </w:r>
      <w:r>
        <w:rPr>
          <w:rFonts w:ascii="宋体" w:hAnsi="宋体"/>
          <w:sz w:val="24"/>
          <w:szCs w:val="24"/>
        </w:rPr>
        <w:t>PVC</w:t>
      </w:r>
      <w:r>
        <w:rPr>
          <w:rFonts w:hint="eastAsia" w:ascii="宋体" w:hAnsi="宋体"/>
          <w:sz w:val="24"/>
          <w:szCs w:val="24"/>
        </w:rPr>
        <w:t>管的基本原则是要求做到（横平竖直，美观大方，弯曲适度，连接平滑，供电可靠，安全第一），管径应符合设计及规范要求。</w:t>
      </w:r>
    </w:p>
    <w:p>
      <w:pPr>
        <w:tabs>
          <w:tab w:val="left" w:pos="0"/>
          <w:tab w:val="left" w:pos="600"/>
        </w:tabs>
        <w:spacing w:line="360" w:lineRule="auto"/>
        <w:rPr>
          <w:rFonts w:ascii="宋体"/>
          <w:sz w:val="24"/>
          <w:szCs w:val="24"/>
        </w:rPr>
      </w:pPr>
      <w:r>
        <w:rPr>
          <w:rFonts w:ascii="宋体" w:hAnsi="宋体"/>
          <w:sz w:val="24"/>
          <w:szCs w:val="24"/>
        </w:rPr>
        <w:t>5.8.1.3</w:t>
      </w:r>
      <w:r>
        <w:rPr>
          <w:rFonts w:hint="eastAsia" w:ascii="宋体" w:hAnsi="宋体"/>
          <w:sz w:val="24"/>
          <w:szCs w:val="24"/>
        </w:rPr>
        <w:t>配线管固定按规定间隔一定距离，采用支架或管卡固定。</w:t>
      </w:r>
    </w:p>
    <w:p>
      <w:pPr>
        <w:tabs>
          <w:tab w:val="left" w:pos="0"/>
          <w:tab w:val="left" w:pos="600"/>
        </w:tabs>
        <w:spacing w:line="360" w:lineRule="auto"/>
        <w:rPr>
          <w:rFonts w:ascii="宋体"/>
          <w:sz w:val="24"/>
          <w:szCs w:val="24"/>
        </w:rPr>
      </w:pPr>
      <w:r>
        <w:rPr>
          <w:rFonts w:ascii="宋体" w:hAnsi="宋体"/>
          <w:sz w:val="24"/>
          <w:szCs w:val="24"/>
        </w:rPr>
        <w:t>5.8.1.4</w:t>
      </w:r>
      <w:r>
        <w:rPr>
          <w:rFonts w:hint="eastAsia" w:ascii="宋体" w:hAnsi="宋体"/>
          <w:sz w:val="24"/>
          <w:szCs w:val="24"/>
        </w:rPr>
        <w:t>吊顶内的电气配线管宜按照配管的要求施工，不得将配线管固定在吊顶内的吊架或龙骨上。</w:t>
      </w:r>
    </w:p>
    <w:p>
      <w:pPr>
        <w:tabs>
          <w:tab w:val="left" w:pos="0"/>
          <w:tab w:val="left" w:pos="600"/>
        </w:tabs>
        <w:spacing w:line="360" w:lineRule="auto"/>
        <w:rPr>
          <w:rFonts w:ascii="宋体"/>
          <w:sz w:val="24"/>
          <w:szCs w:val="24"/>
        </w:rPr>
      </w:pPr>
      <w:r>
        <w:rPr>
          <w:rFonts w:ascii="宋体" w:hAnsi="宋体"/>
          <w:sz w:val="24"/>
          <w:szCs w:val="24"/>
        </w:rPr>
        <w:t>5.8.1.5</w:t>
      </w:r>
      <w:r>
        <w:rPr>
          <w:rFonts w:hint="eastAsia" w:ascii="宋体" w:hAnsi="宋体"/>
          <w:sz w:val="24"/>
          <w:szCs w:val="24"/>
        </w:rPr>
        <w:t>导线穿管时，用力适当，管内导线不得有接头和扭接，绝缘无损伤。电线不打折，导线截面及材质符合设计要求。管内导线总截面积不大于管截面积的</w:t>
      </w:r>
      <w:r>
        <w:rPr>
          <w:rFonts w:ascii="宋体" w:hAnsi="宋体"/>
          <w:sz w:val="24"/>
          <w:szCs w:val="24"/>
        </w:rPr>
        <w:t>40%</w:t>
      </w:r>
      <w:r>
        <w:rPr>
          <w:rFonts w:hint="eastAsia" w:ascii="宋体" w:hAnsi="宋体"/>
          <w:sz w:val="24"/>
          <w:szCs w:val="24"/>
        </w:rPr>
        <w:t>。</w:t>
      </w:r>
    </w:p>
    <w:p>
      <w:pPr>
        <w:tabs>
          <w:tab w:val="left" w:pos="0"/>
          <w:tab w:val="left" w:pos="120"/>
        </w:tabs>
        <w:spacing w:line="360" w:lineRule="auto"/>
        <w:rPr>
          <w:rFonts w:ascii="宋体"/>
          <w:sz w:val="24"/>
          <w:szCs w:val="24"/>
        </w:rPr>
      </w:pPr>
      <w:r>
        <w:rPr>
          <w:rFonts w:ascii="宋体" w:hAnsi="宋体"/>
          <w:sz w:val="24"/>
          <w:szCs w:val="24"/>
        </w:rPr>
        <w:t>5.8.2</w:t>
      </w:r>
      <w:r>
        <w:rPr>
          <w:rFonts w:hint="eastAsia" w:ascii="宋体" w:hAnsi="宋体"/>
          <w:sz w:val="24"/>
          <w:szCs w:val="24"/>
        </w:rPr>
        <w:t>照明配电柜安装</w:t>
      </w:r>
    </w:p>
    <w:p>
      <w:pPr>
        <w:tabs>
          <w:tab w:val="left" w:pos="0"/>
          <w:tab w:val="left" w:pos="600"/>
        </w:tabs>
        <w:spacing w:line="360" w:lineRule="auto"/>
        <w:rPr>
          <w:rFonts w:ascii="宋体" w:hAnsi="宋体"/>
          <w:sz w:val="24"/>
          <w:szCs w:val="24"/>
        </w:rPr>
      </w:pPr>
      <w:r>
        <w:rPr>
          <w:rFonts w:ascii="宋体" w:hAnsi="宋体"/>
          <w:sz w:val="24"/>
          <w:szCs w:val="24"/>
        </w:rPr>
        <w:t>5.8.2.1</w:t>
      </w:r>
      <w:r>
        <w:rPr>
          <w:rFonts w:hint="eastAsia" w:ascii="宋体" w:hAnsi="宋体"/>
          <w:sz w:val="24"/>
          <w:szCs w:val="24"/>
        </w:rPr>
        <w:t>按设计图纸配合土建预埋槽钢固定件，采用电焊时，每个柜子的焊缝不少于四处，每处焊缝长度约</w:t>
      </w:r>
      <w:r>
        <w:rPr>
          <w:rFonts w:ascii="宋体" w:hAnsi="宋体"/>
          <w:sz w:val="24"/>
          <w:szCs w:val="24"/>
        </w:rPr>
        <w:t>100mm</w:t>
      </w:r>
      <w:r>
        <w:rPr>
          <w:rFonts w:hint="eastAsia" w:ascii="宋体" w:hAnsi="宋体"/>
          <w:sz w:val="24"/>
          <w:szCs w:val="24"/>
        </w:rPr>
        <w:t>左右，焊缝应在柜体内侧。焊接时，应把垫于柜下的垫片电焊在基础型钢上。配电箱安装垂直，允许偏差不大于</w:t>
      </w:r>
      <w:r>
        <w:rPr>
          <w:rFonts w:ascii="宋体" w:hAnsi="宋体"/>
          <w:sz w:val="24"/>
          <w:szCs w:val="24"/>
        </w:rPr>
        <w:t>1.5</w:t>
      </w:r>
      <w:r>
        <w:rPr>
          <w:rFonts w:hint="eastAsia" w:ascii="宋体" w:hAnsi="宋体"/>
          <w:sz w:val="24"/>
          <w:szCs w:val="24"/>
        </w:rPr>
        <w:t>‰；底边与地面距离应大于或等于</w:t>
      </w:r>
      <w:r>
        <w:rPr>
          <w:rFonts w:ascii="宋体" w:hAnsi="宋体"/>
          <w:sz w:val="24"/>
          <w:szCs w:val="24"/>
        </w:rPr>
        <w:t>1.8m</w:t>
      </w:r>
      <w:r>
        <w:rPr>
          <w:rFonts w:hint="eastAsia" w:ascii="宋体" w:hAnsi="宋体"/>
          <w:sz w:val="24"/>
          <w:szCs w:val="24"/>
        </w:rPr>
        <w:t>。当无设计要求时，按照下表</w:t>
      </w:r>
    </w:p>
    <w:p>
      <w:pPr>
        <w:tabs>
          <w:tab w:val="left" w:pos="0"/>
          <w:tab w:val="left" w:pos="600"/>
        </w:tabs>
        <w:spacing w:line="360" w:lineRule="auto"/>
        <w:rPr>
          <w:rFonts w:ascii="宋体"/>
          <w:sz w:val="24"/>
          <w:szCs w:val="24"/>
        </w:rPr>
      </w:pPr>
    </w:p>
    <w:tbl>
      <w:tblPr>
        <w:tblStyle w:val="9"/>
        <w:tblW w:w="738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tabs>
                <w:tab w:val="left" w:pos="0"/>
                <w:tab w:val="left" w:pos="600"/>
              </w:tabs>
              <w:spacing w:line="360" w:lineRule="auto"/>
              <w:rPr>
                <w:rFonts w:ascii="宋体"/>
                <w:sz w:val="24"/>
                <w:szCs w:val="24"/>
              </w:rPr>
            </w:pPr>
            <w:r>
              <w:rPr>
                <w:rFonts w:hint="eastAsia" w:ascii="宋体"/>
                <w:sz w:val="24"/>
                <w:szCs w:val="24"/>
              </w:rPr>
              <w:t>配电箱高度（</w:t>
            </w:r>
            <w:r>
              <w:rPr>
                <w:rFonts w:ascii="宋体"/>
                <w:sz w:val="24"/>
                <w:szCs w:val="24"/>
              </w:rPr>
              <w:t>mm</w:t>
            </w:r>
            <w:r>
              <w:rPr>
                <w:rFonts w:hint="eastAsia" w:ascii="宋体"/>
                <w:sz w:val="24"/>
                <w:szCs w:val="24"/>
              </w:rPr>
              <w:t>）</w:t>
            </w:r>
          </w:p>
        </w:tc>
        <w:tc>
          <w:tcPr>
            <w:tcW w:w="5040" w:type="dxa"/>
          </w:tcPr>
          <w:p>
            <w:pPr>
              <w:tabs>
                <w:tab w:val="left" w:pos="0"/>
                <w:tab w:val="left" w:pos="600"/>
              </w:tabs>
              <w:spacing w:line="360" w:lineRule="auto"/>
              <w:rPr>
                <w:rFonts w:ascii="宋体"/>
                <w:sz w:val="24"/>
                <w:szCs w:val="24"/>
              </w:rPr>
            </w:pPr>
            <w:r>
              <w:rPr>
                <w:rFonts w:hint="eastAsia" w:ascii="宋体"/>
                <w:sz w:val="24"/>
                <w:szCs w:val="24"/>
              </w:rPr>
              <w:t>配电箱低距楼面高度（</w:t>
            </w:r>
            <w:r>
              <w:rPr>
                <w:rFonts w:ascii="宋体"/>
                <w:sz w:val="24"/>
                <w:szCs w:val="24"/>
              </w:rPr>
              <w:t>m</w:t>
            </w:r>
            <w:r>
              <w:rPr>
                <w:rFonts w:hint="eastAsia" w:asci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tabs>
                <w:tab w:val="left" w:pos="0"/>
                <w:tab w:val="left" w:pos="600"/>
              </w:tabs>
              <w:spacing w:line="360" w:lineRule="auto"/>
              <w:rPr>
                <w:rFonts w:ascii="宋体"/>
                <w:sz w:val="24"/>
                <w:szCs w:val="24"/>
              </w:rPr>
            </w:pPr>
            <w:r>
              <w:rPr>
                <w:rFonts w:ascii="宋体"/>
                <w:sz w:val="24"/>
                <w:szCs w:val="24"/>
              </w:rPr>
              <w:t>600</w:t>
            </w:r>
            <w:r>
              <w:rPr>
                <w:rFonts w:hint="eastAsia" w:ascii="宋体"/>
                <w:sz w:val="24"/>
                <w:szCs w:val="24"/>
              </w:rPr>
              <w:t>以下</w:t>
            </w:r>
          </w:p>
        </w:tc>
        <w:tc>
          <w:tcPr>
            <w:tcW w:w="5040" w:type="dxa"/>
          </w:tcPr>
          <w:p>
            <w:pPr>
              <w:tabs>
                <w:tab w:val="left" w:pos="0"/>
                <w:tab w:val="left" w:pos="600"/>
              </w:tabs>
              <w:spacing w:line="360" w:lineRule="auto"/>
              <w:rPr>
                <w:rFonts w:ascii="宋体"/>
                <w:sz w:val="24"/>
                <w:szCs w:val="24"/>
              </w:rPr>
            </w:pPr>
            <w:r>
              <w:rPr>
                <w:rFonts w:ascii="宋体"/>
                <w:sz w:val="24"/>
                <w:szCs w:val="24"/>
              </w:rPr>
              <w:t>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tabs>
                <w:tab w:val="left" w:pos="0"/>
                <w:tab w:val="left" w:pos="600"/>
              </w:tabs>
              <w:spacing w:line="360" w:lineRule="auto"/>
              <w:rPr>
                <w:rFonts w:ascii="宋体"/>
                <w:sz w:val="24"/>
                <w:szCs w:val="24"/>
              </w:rPr>
            </w:pPr>
            <w:r>
              <w:rPr>
                <w:rFonts w:ascii="宋体"/>
                <w:sz w:val="24"/>
                <w:szCs w:val="24"/>
              </w:rPr>
              <w:t>600-800</w:t>
            </w:r>
          </w:p>
        </w:tc>
        <w:tc>
          <w:tcPr>
            <w:tcW w:w="5040" w:type="dxa"/>
          </w:tcPr>
          <w:p>
            <w:pPr>
              <w:tabs>
                <w:tab w:val="left" w:pos="0"/>
                <w:tab w:val="left" w:pos="600"/>
              </w:tabs>
              <w:spacing w:line="360" w:lineRule="auto"/>
              <w:rPr>
                <w:rFonts w:ascii="宋体"/>
                <w:sz w:val="24"/>
                <w:szCs w:val="24"/>
              </w:rPr>
            </w:pPr>
            <w:r>
              <w:rPr>
                <w:rFonts w:ascii="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tabs>
                <w:tab w:val="left" w:pos="0"/>
                <w:tab w:val="left" w:pos="600"/>
              </w:tabs>
              <w:spacing w:line="360" w:lineRule="auto"/>
              <w:rPr>
                <w:rFonts w:ascii="宋体"/>
                <w:sz w:val="24"/>
                <w:szCs w:val="24"/>
              </w:rPr>
            </w:pPr>
            <w:r>
              <w:rPr>
                <w:rFonts w:ascii="宋体"/>
                <w:sz w:val="24"/>
                <w:szCs w:val="24"/>
              </w:rPr>
              <w:t>800-1000</w:t>
            </w:r>
          </w:p>
        </w:tc>
        <w:tc>
          <w:tcPr>
            <w:tcW w:w="5040" w:type="dxa"/>
          </w:tcPr>
          <w:p>
            <w:pPr>
              <w:tabs>
                <w:tab w:val="left" w:pos="0"/>
                <w:tab w:val="left" w:pos="600"/>
              </w:tabs>
              <w:spacing w:line="360" w:lineRule="auto"/>
              <w:rPr>
                <w:rFonts w:ascii="宋体"/>
                <w:sz w:val="24"/>
                <w:szCs w:val="24"/>
              </w:rPr>
            </w:pPr>
            <w:r>
              <w:rPr>
                <w:rFonts w:ascii="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tabs>
                <w:tab w:val="left" w:pos="0"/>
                <w:tab w:val="left" w:pos="600"/>
              </w:tabs>
              <w:spacing w:line="360" w:lineRule="auto"/>
              <w:rPr>
                <w:rFonts w:ascii="宋体"/>
                <w:sz w:val="24"/>
                <w:szCs w:val="24"/>
              </w:rPr>
            </w:pPr>
            <w:r>
              <w:rPr>
                <w:rFonts w:ascii="宋体"/>
                <w:sz w:val="24"/>
                <w:szCs w:val="24"/>
              </w:rPr>
              <w:t>1000-1200</w:t>
            </w:r>
          </w:p>
        </w:tc>
        <w:tc>
          <w:tcPr>
            <w:tcW w:w="5040" w:type="dxa"/>
          </w:tcPr>
          <w:p>
            <w:pPr>
              <w:tabs>
                <w:tab w:val="left" w:pos="0"/>
                <w:tab w:val="left" w:pos="600"/>
              </w:tabs>
              <w:spacing w:line="360" w:lineRule="auto"/>
              <w:rPr>
                <w:rFonts w:ascii="宋体"/>
                <w:sz w:val="24"/>
                <w:szCs w:val="24"/>
              </w:rPr>
            </w:pPr>
            <w:r>
              <w:rPr>
                <w:rFonts w:ascii="宋体"/>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tabs>
                <w:tab w:val="left" w:pos="0"/>
                <w:tab w:val="left" w:pos="600"/>
              </w:tabs>
              <w:spacing w:line="360" w:lineRule="auto"/>
              <w:rPr>
                <w:rFonts w:ascii="宋体"/>
                <w:sz w:val="24"/>
                <w:szCs w:val="24"/>
              </w:rPr>
            </w:pPr>
            <w:r>
              <w:rPr>
                <w:rFonts w:ascii="宋体"/>
                <w:sz w:val="24"/>
                <w:szCs w:val="24"/>
              </w:rPr>
              <w:t>1200</w:t>
            </w:r>
            <w:r>
              <w:rPr>
                <w:rFonts w:hint="eastAsia" w:ascii="宋体"/>
                <w:sz w:val="24"/>
                <w:szCs w:val="24"/>
              </w:rPr>
              <w:t>以上</w:t>
            </w:r>
          </w:p>
        </w:tc>
        <w:tc>
          <w:tcPr>
            <w:tcW w:w="5040" w:type="dxa"/>
          </w:tcPr>
          <w:p>
            <w:pPr>
              <w:tabs>
                <w:tab w:val="left" w:pos="0"/>
                <w:tab w:val="left" w:pos="600"/>
              </w:tabs>
              <w:spacing w:line="360" w:lineRule="auto"/>
              <w:rPr>
                <w:rFonts w:ascii="宋体"/>
                <w:sz w:val="24"/>
                <w:szCs w:val="24"/>
              </w:rPr>
            </w:pPr>
            <w:r>
              <w:rPr>
                <w:rFonts w:hint="eastAsia" w:ascii="宋体"/>
                <w:sz w:val="24"/>
                <w:szCs w:val="24"/>
              </w:rPr>
              <w:t>落地安装，潮湿场所箱柜应设</w:t>
            </w:r>
            <w:r>
              <w:rPr>
                <w:rFonts w:ascii="宋体"/>
                <w:sz w:val="24"/>
                <w:szCs w:val="24"/>
              </w:rPr>
              <w:t>200mm</w:t>
            </w:r>
            <w:r>
              <w:rPr>
                <w:rFonts w:hint="eastAsia" w:ascii="宋体"/>
                <w:sz w:val="24"/>
                <w:szCs w:val="24"/>
              </w:rPr>
              <w:t>高的基础</w:t>
            </w:r>
          </w:p>
        </w:tc>
      </w:tr>
    </w:tbl>
    <w:p>
      <w:pPr>
        <w:tabs>
          <w:tab w:val="left" w:pos="0"/>
          <w:tab w:val="left" w:pos="600"/>
        </w:tabs>
        <w:spacing w:line="360" w:lineRule="auto"/>
        <w:rPr>
          <w:rFonts w:ascii="宋体"/>
          <w:sz w:val="24"/>
          <w:szCs w:val="24"/>
        </w:rPr>
      </w:pPr>
    </w:p>
    <w:p>
      <w:pPr>
        <w:tabs>
          <w:tab w:val="left" w:pos="0"/>
          <w:tab w:val="left" w:pos="600"/>
        </w:tabs>
        <w:spacing w:line="360" w:lineRule="auto"/>
        <w:rPr>
          <w:rFonts w:ascii="宋体"/>
          <w:sz w:val="24"/>
          <w:szCs w:val="24"/>
        </w:rPr>
      </w:pPr>
      <w:r>
        <w:rPr>
          <w:rFonts w:ascii="宋体" w:hAnsi="宋体"/>
          <w:sz w:val="24"/>
          <w:szCs w:val="24"/>
        </w:rPr>
        <w:t>5.8.2.2</w:t>
      </w:r>
      <w:r>
        <w:rPr>
          <w:rFonts w:hint="eastAsia" w:ascii="宋体" w:hAnsi="宋体"/>
          <w:sz w:val="24"/>
          <w:szCs w:val="24"/>
        </w:rPr>
        <w:t>全部柜体安装就位并固定后，按设备供应商的要求和提供的支柱绝缘子，小母线进行配接。柜内母线的支撑绝缘子及母线固定牢固，整齐，绝缘符合要求；开关的机械闭锁，电气闭锁应动作准确，可靠；刀闸开关动触头与静触头的中心线一致，触头接触紧密；二次回路</w:t>
      </w:r>
      <w:r>
        <w:rPr>
          <w:rFonts w:ascii="宋体" w:hAnsi="宋体"/>
          <w:sz w:val="24"/>
          <w:szCs w:val="24"/>
        </w:rPr>
        <w:t xml:space="preserve"> </w:t>
      </w:r>
      <w:r>
        <w:rPr>
          <w:rFonts w:hint="eastAsia" w:ascii="宋体" w:hAnsi="宋体"/>
          <w:sz w:val="24"/>
          <w:szCs w:val="24"/>
        </w:rPr>
        <w:t>辅助开关的切换接点应动作准确，接触可靠；柜内照明齐全；固定牢固，接地可靠。</w:t>
      </w:r>
    </w:p>
    <w:p>
      <w:pPr>
        <w:tabs>
          <w:tab w:val="left" w:pos="0"/>
          <w:tab w:val="left" w:pos="600"/>
        </w:tabs>
        <w:spacing w:line="360" w:lineRule="auto"/>
        <w:rPr>
          <w:rFonts w:ascii="宋体"/>
          <w:sz w:val="24"/>
          <w:szCs w:val="24"/>
        </w:rPr>
      </w:pPr>
      <w:r>
        <w:rPr>
          <w:rFonts w:ascii="宋体" w:hAnsi="宋体"/>
          <w:sz w:val="24"/>
          <w:szCs w:val="24"/>
        </w:rPr>
        <w:t>5.8.2.3</w:t>
      </w:r>
      <w:r>
        <w:rPr>
          <w:rFonts w:hint="eastAsia" w:ascii="宋体" w:hAnsi="宋体"/>
          <w:sz w:val="24"/>
          <w:szCs w:val="24"/>
        </w:rPr>
        <w:t>测量照明配电箱的绝缘电阻，阻值应大于</w:t>
      </w:r>
      <w:r>
        <w:rPr>
          <w:rFonts w:ascii="宋体" w:hAnsi="宋体"/>
          <w:sz w:val="24"/>
          <w:szCs w:val="24"/>
        </w:rPr>
        <w:t>0.5</w:t>
      </w:r>
      <w:r>
        <w:rPr>
          <w:rFonts w:hint="eastAsia" w:ascii="宋体" w:hAnsi="宋体"/>
          <w:sz w:val="24"/>
          <w:szCs w:val="24"/>
        </w:rPr>
        <w:t>兆欧；配电箱安装稳固，油漆完整；配电箱回路标志正确，清晰；照明配电盘的配线应符合国际电气盘柜二次配线的工艺要求；照明配电盘的配线应符合国际电气盘柜二次配线的工艺要求。</w:t>
      </w:r>
    </w:p>
    <w:p>
      <w:pPr>
        <w:tabs>
          <w:tab w:val="left" w:pos="0"/>
          <w:tab w:val="left" w:pos="600"/>
        </w:tabs>
        <w:spacing w:line="360" w:lineRule="auto"/>
        <w:rPr>
          <w:rFonts w:ascii="宋体"/>
          <w:b/>
          <w:sz w:val="24"/>
          <w:szCs w:val="24"/>
        </w:rPr>
      </w:pPr>
      <w:r>
        <w:rPr>
          <w:rFonts w:ascii="宋体" w:hAnsi="宋体"/>
          <w:sz w:val="24"/>
          <w:szCs w:val="24"/>
        </w:rPr>
        <w:t>5.8.3</w:t>
      </w:r>
      <w:r>
        <w:rPr>
          <w:rFonts w:hint="eastAsia" w:ascii="宋体" w:hAnsi="宋体"/>
          <w:sz w:val="24"/>
          <w:szCs w:val="24"/>
        </w:rPr>
        <w:t>灯具、开关、插座安装</w:t>
      </w:r>
    </w:p>
    <w:p>
      <w:pPr>
        <w:tabs>
          <w:tab w:val="left" w:pos="0"/>
          <w:tab w:val="left" w:pos="600"/>
        </w:tabs>
        <w:spacing w:line="360" w:lineRule="auto"/>
        <w:rPr>
          <w:rFonts w:ascii="宋体"/>
          <w:sz w:val="24"/>
          <w:szCs w:val="24"/>
        </w:rPr>
      </w:pPr>
      <w:r>
        <w:rPr>
          <w:rFonts w:ascii="宋体" w:hAnsi="宋体"/>
          <w:sz w:val="24"/>
          <w:szCs w:val="24"/>
        </w:rPr>
        <w:t>5.8.3.1</w:t>
      </w:r>
      <w:r>
        <w:rPr>
          <w:rFonts w:hint="eastAsia" w:ascii="宋体" w:hAnsi="宋体"/>
          <w:sz w:val="24"/>
          <w:szCs w:val="24"/>
        </w:rPr>
        <w:t>所有器件安装前要进行外观检查：灯具，开关，插座的本体及其配件应齐全，无机械损伤，变形，油漆脱落等缺陷。安装灯具前要对所有导线进行绝缘测试并做好记录，保证导线电阻在</w:t>
      </w:r>
      <w:r>
        <w:rPr>
          <w:rFonts w:ascii="宋体" w:hAnsi="宋体"/>
          <w:sz w:val="24"/>
          <w:szCs w:val="24"/>
        </w:rPr>
        <w:t>0.5</w:t>
      </w:r>
      <w:r>
        <w:rPr>
          <w:rFonts w:hint="eastAsia" w:ascii="宋体" w:hAnsi="宋体"/>
          <w:sz w:val="24"/>
          <w:szCs w:val="24"/>
        </w:rPr>
        <w:t>兆欧以上。</w:t>
      </w:r>
    </w:p>
    <w:p>
      <w:pPr>
        <w:tabs>
          <w:tab w:val="left" w:pos="0"/>
          <w:tab w:val="left" w:pos="600"/>
        </w:tabs>
        <w:spacing w:line="360" w:lineRule="auto"/>
        <w:rPr>
          <w:rFonts w:ascii="宋体"/>
          <w:sz w:val="24"/>
          <w:szCs w:val="24"/>
        </w:rPr>
      </w:pPr>
      <w:r>
        <w:rPr>
          <w:rFonts w:ascii="宋体" w:hAnsi="宋体"/>
          <w:sz w:val="24"/>
          <w:szCs w:val="24"/>
        </w:rPr>
        <w:t>5.8.3.2</w:t>
      </w:r>
      <w:r>
        <w:rPr>
          <w:rFonts w:hint="eastAsia" w:ascii="宋体" w:hAnsi="宋体"/>
          <w:sz w:val="24"/>
          <w:szCs w:val="24"/>
        </w:rPr>
        <w:t>灯具，开关，插座安装平整，牢固，位置正确，高度符合要求，暗开关，插座紧贴墙面，成排灯具，开关，插座偏差符合要求。</w:t>
      </w:r>
    </w:p>
    <w:p>
      <w:pPr>
        <w:tabs>
          <w:tab w:val="left" w:pos="0"/>
          <w:tab w:val="left" w:pos="600"/>
        </w:tabs>
        <w:spacing w:line="360" w:lineRule="auto"/>
        <w:rPr>
          <w:rFonts w:ascii="宋体"/>
          <w:sz w:val="24"/>
          <w:szCs w:val="24"/>
        </w:rPr>
      </w:pPr>
      <w:r>
        <w:rPr>
          <w:rFonts w:ascii="宋体" w:hAnsi="宋体"/>
          <w:sz w:val="24"/>
          <w:szCs w:val="24"/>
        </w:rPr>
        <w:t>5.8.3.3</w:t>
      </w:r>
      <w:r>
        <w:rPr>
          <w:rFonts w:hint="eastAsia" w:ascii="宋体" w:hAnsi="宋体"/>
          <w:sz w:val="24"/>
          <w:szCs w:val="24"/>
        </w:rPr>
        <w:t>安装要求保证美观，牢固可靠，事故照明与工作照明应有明显区别标志。</w:t>
      </w:r>
    </w:p>
    <w:p>
      <w:pPr>
        <w:tabs>
          <w:tab w:val="left" w:pos="0"/>
          <w:tab w:val="left" w:pos="600"/>
        </w:tabs>
        <w:spacing w:line="360" w:lineRule="auto"/>
        <w:rPr>
          <w:rFonts w:ascii="宋体"/>
          <w:sz w:val="24"/>
          <w:szCs w:val="24"/>
        </w:rPr>
      </w:pPr>
      <w:r>
        <w:rPr>
          <w:rFonts w:ascii="宋体" w:hAnsi="宋体"/>
          <w:sz w:val="24"/>
          <w:szCs w:val="24"/>
        </w:rPr>
        <w:t>5.8.3.4</w:t>
      </w:r>
      <w:r>
        <w:rPr>
          <w:rFonts w:hint="eastAsia" w:ascii="宋体" w:hAnsi="宋体"/>
          <w:sz w:val="24"/>
          <w:szCs w:val="24"/>
        </w:rPr>
        <w:t>插座极性正确，开关应装在相线回路且工作可靠。</w:t>
      </w:r>
    </w:p>
    <w:p>
      <w:pPr>
        <w:tabs>
          <w:tab w:val="left" w:pos="0"/>
          <w:tab w:val="left" w:pos="600"/>
        </w:tabs>
        <w:spacing w:line="360" w:lineRule="auto"/>
        <w:rPr>
          <w:rFonts w:ascii="宋体"/>
          <w:sz w:val="24"/>
          <w:szCs w:val="24"/>
        </w:rPr>
      </w:pPr>
      <w:r>
        <w:rPr>
          <w:rFonts w:ascii="宋体" w:hAnsi="宋体"/>
          <w:sz w:val="24"/>
          <w:szCs w:val="24"/>
        </w:rPr>
        <w:t>5.8.3.5</w:t>
      </w:r>
      <w:r>
        <w:rPr>
          <w:rFonts w:hint="eastAsia" w:ascii="宋体" w:hAnsi="宋体"/>
          <w:sz w:val="24"/>
          <w:szCs w:val="24"/>
        </w:rPr>
        <w:t>荧光灯或其它气体放电灯具的附件配套规格一致。</w:t>
      </w:r>
    </w:p>
    <w:p>
      <w:pPr>
        <w:tabs>
          <w:tab w:val="left" w:pos="0"/>
          <w:tab w:val="left" w:pos="600"/>
        </w:tabs>
        <w:spacing w:line="360" w:lineRule="auto"/>
        <w:rPr>
          <w:rFonts w:ascii="宋体"/>
          <w:sz w:val="24"/>
          <w:szCs w:val="24"/>
        </w:rPr>
      </w:pPr>
      <w:r>
        <w:rPr>
          <w:rFonts w:ascii="宋体" w:hAnsi="宋体"/>
          <w:sz w:val="24"/>
          <w:szCs w:val="24"/>
        </w:rPr>
        <w:t>5.8.3.6</w:t>
      </w:r>
      <w:r>
        <w:rPr>
          <w:rFonts w:hint="eastAsia" w:ascii="宋体" w:hAnsi="宋体"/>
          <w:sz w:val="24"/>
          <w:szCs w:val="24"/>
        </w:rPr>
        <w:t>灯具安装时，搭设活动脚手架和升降梯，并和装修同步进行。</w:t>
      </w:r>
    </w:p>
    <w:p>
      <w:pPr>
        <w:tabs>
          <w:tab w:val="left" w:pos="0"/>
          <w:tab w:val="left" w:pos="600"/>
        </w:tabs>
        <w:spacing w:line="360" w:lineRule="auto"/>
        <w:rPr>
          <w:rFonts w:ascii="宋体"/>
          <w:sz w:val="24"/>
          <w:szCs w:val="24"/>
        </w:rPr>
      </w:pPr>
      <w:r>
        <w:rPr>
          <w:rFonts w:ascii="宋体" w:hAnsi="宋体"/>
          <w:sz w:val="24"/>
          <w:szCs w:val="24"/>
        </w:rPr>
        <w:t>5.8.3.7</w:t>
      </w:r>
      <w:r>
        <w:rPr>
          <w:rFonts w:hint="eastAsia" w:ascii="宋体" w:hAnsi="宋体"/>
          <w:sz w:val="24"/>
          <w:szCs w:val="24"/>
        </w:rPr>
        <w:t>灯头盒，接线盒的位置应便于维修，并加盖板，各种导线都严禁在吊顶内裸露。</w:t>
      </w:r>
    </w:p>
    <w:p>
      <w:pPr>
        <w:tabs>
          <w:tab w:val="left" w:pos="0"/>
          <w:tab w:val="left" w:pos="600"/>
        </w:tabs>
        <w:spacing w:line="360" w:lineRule="auto"/>
        <w:rPr>
          <w:rFonts w:ascii="宋体"/>
          <w:sz w:val="24"/>
          <w:szCs w:val="24"/>
        </w:rPr>
      </w:pPr>
      <w:r>
        <w:rPr>
          <w:rFonts w:ascii="宋体" w:hAnsi="宋体"/>
          <w:sz w:val="24"/>
          <w:szCs w:val="24"/>
        </w:rPr>
        <w:t>5.8.3.8</w:t>
      </w:r>
      <w:r>
        <w:rPr>
          <w:rFonts w:hint="eastAsia" w:ascii="宋体" w:hAnsi="宋体"/>
          <w:sz w:val="24"/>
          <w:szCs w:val="24"/>
        </w:rPr>
        <w:t>吊顶上的灯具安装前应有加强龙骨架或专用吊架。</w:t>
      </w:r>
    </w:p>
    <w:p>
      <w:pPr>
        <w:tabs>
          <w:tab w:val="left" w:pos="0"/>
          <w:tab w:val="left" w:pos="600"/>
        </w:tabs>
        <w:spacing w:line="360" w:lineRule="auto"/>
        <w:rPr>
          <w:rFonts w:ascii="宋体"/>
          <w:bCs/>
          <w:sz w:val="24"/>
          <w:szCs w:val="24"/>
        </w:rPr>
      </w:pPr>
      <w:r>
        <w:rPr>
          <w:rFonts w:ascii="宋体" w:hAnsi="宋体"/>
          <w:bCs/>
          <w:sz w:val="24"/>
          <w:szCs w:val="24"/>
        </w:rPr>
        <w:t>5.9</w:t>
      </w:r>
      <w:r>
        <w:rPr>
          <w:rFonts w:hint="eastAsia" w:ascii="宋体" w:hAnsi="宋体"/>
          <w:bCs/>
          <w:sz w:val="24"/>
          <w:szCs w:val="24"/>
        </w:rPr>
        <w:t>电气试验质量控制</w:t>
      </w:r>
    </w:p>
    <w:p>
      <w:pPr>
        <w:tabs>
          <w:tab w:val="left" w:pos="0"/>
          <w:tab w:val="left" w:pos="600"/>
        </w:tabs>
        <w:spacing w:line="360" w:lineRule="auto"/>
        <w:rPr>
          <w:rFonts w:ascii="宋体"/>
          <w:sz w:val="24"/>
          <w:szCs w:val="24"/>
        </w:rPr>
      </w:pPr>
      <w:r>
        <w:rPr>
          <w:rFonts w:ascii="宋体" w:hAnsi="宋体"/>
          <w:sz w:val="24"/>
          <w:szCs w:val="24"/>
        </w:rPr>
        <w:t>5.9.1</w:t>
      </w:r>
      <w:r>
        <w:rPr>
          <w:rFonts w:hint="eastAsia" w:ascii="宋体"/>
          <w:sz w:val="24"/>
          <w:szCs w:val="24"/>
        </w:rPr>
        <w:t>组件开路电压和极性检查。</w:t>
      </w:r>
    </w:p>
    <w:p>
      <w:pPr>
        <w:tabs>
          <w:tab w:val="left" w:pos="0"/>
          <w:tab w:val="left" w:pos="600"/>
        </w:tabs>
        <w:spacing w:line="360" w:lineRule="auto"/>
        <w:rPr>
          <w:rFonts w:ascii="宋体"/>
          <w:sz w:val="24"/>
          <w:szCs w:val="24"/>
        </w:rPr>
      </w:pPr>
      <w:r>
        <w:rPr>
          <w:rFonts w:ascii="宋体" w:hAnsi="宋体"/>
          <w:sz w:val="24"/>
          <w:szCs w:val="24"/>
        </w:rPr>
        <w:t>5.9.2</w:t>
      </w:r>
      <w:r>
        <w:rPr>
          <w:rFonts w:hint="eastAsia" w:ascii="宋体" w:hAnsi="宋体"/>
          <w:sz w:val="24"/>
          <w:szCs w:val="24"/>
        </w:rPr>
        <w:t>组件和支架接地检查。</w:t>
      </w:r>
    </w:p>
    <w:p>
      <w:pPr>
        <w:tabs>
          <w:tab w:val="left" w:pos="0"/>
          <w:tab w:val="left" w:pos="600"/>
        </w:tabs>
        <w:spacing w:line="360" w:lineRule="auto"/>
        <w:rPr>
          <w:rFonts w:ascii="宋体"/>
          <w:sz w:val="24"/>
          <w:szCs w:val="24"/>
        </w:rPr>
      </w:pPr>
      <w:r>
        <w:rPr>
          <w:rFonts w:ascii="宋体" w:hAnsi="宋体"/>
          <w:sz w:val="24"/>
          <w:szCs w:val="24"/>
        </w:rPr>
        <w:t>5.9.3</w:t>
      </w:r>
      <w:r>
        <w:rPr>
          <w:rFonts w:hint="eastAsia" w:ascii="宋体" w:hAnsi="宋体"/>
          <w:sz w:val="24"/>
          <w:szCs w:val="24"/>
        </w:rPr>
        <w:t>方阵和光伏区接地测试。</w:t>
      </w:r>
    </w:p>
    <w:p>
      <w:pPr>
        <w:tabs>
          <w:tab w:val="left" w:pos="0"/>
          <w:tab w:val="left" w:pos="600"/>
        </w:tabs>
        <w:spacing w:line="360" w:lineRule="auto"/>
        <w:rPr>
          <w:rFonts w:ascii="宋体"/>
          <w:sz w:val="24"/>
          <w:szCs w:val="24"/>
        </w:rPr>
      </w:pPr>
      <w:r>
        <w:rPr>
          <w:rFonts w:ascii="宋体" w:hAnsi="宋体"/>
          <w:sz w:val="24"/>
          <w:szCs w:val="24"/>
        </w:rPr>
        <w:t>5.9.4</w:t>
      </w:r>
      <w:r>
        <w:rPr>
          <w:rFonts w:hint="eastAsia" w:ascii="宋体" w:hAnsi="宋体"/>
          <w:sz w:val="24"/>
          <w:szCs w:val="24"/>
        </w:rPr>
        <w:t>对各盘柜按厂家（或设计院）图纸对二次回路检查。</w:t>
      </w:r>
    </w:p>
    <w:p>
      <w:pPr>
        <w:tabs>
          <w:tab w:val="left" w:pos="0"/>
          <w:tab w:val="left" w:pos="600"/>
        </w:tabs>
        <w:spacing w:line="360" w:lineRule="auto"/>
        <w:rPr>
          <w:rFonts w:ascii="宋体"/>
          <w:sz w:val="24"/>
          <w:szCs w:val="24"/>
        </w:rPr>
      </w:pPr>
      <w:r>
        <w:rPr>
          <w:rFonts w:ascii="宋体" w:hAnsi="宋体"/>
          <w:sz w:val="24"/>
          <w:szCs w:val="24"/>
        </w:rPr>
        <w:t>5.9.5</w:t>
      </w:r>
      <w:r>
        <w:rPr>
          <w:rFonts w:hint="eastAsia" w:ascii="宋体" w:hAnsi="宋体"/>
          <w:sz w:val="24"/>
          <w:szCs w:val="24"/>
        </w:rPr>
        <w:t>交流装置耐压试验报告检查。</w:t>
      </w:r>
    </w:p>
    <w:p>
      <w:pPr>
        <w:tabs>
          <w:tab w:val="left" w:pos="0"/>
          <w:tab w:val="left" w:pos="600"/>
        </w:tabs>
        <w:spacing w:line="360" w:lineRule="auto"/>
        <w:rPr>
          <w:rFonts w:ascii="宋体"/>
          <w:sz w:val="24"/>
          <w:szCs w:val="24"/>
        </w:rPr>
      </w:pPr>
      <w:r>
        <w:rPr>
          <w:rFonts w:ascii="宋体" w:hAnsi="宋体"/>
          <w:sz w:val="24"/>
          <w:szCs w:val="24"/>
        </w:rPr>
        <w:t>5.9.6</w:t>
      </w:r>
      <w:r>
        <w:rPr>
          <w:rFonts w:hint="eastAsia" w:ascii="宋体" w:hAnsi="宋体"/>
          <w:sz w:val="24"/>
          <w:szCs w:val="24"/>
        </w:rPr>
        <w:t>继电保护试验报告检查。</w:t>
      </w:r>
    </w:p>
    <w:p>
      <w:pPr>
        <w:tabs>
          <w:tab w:val="left" w:pos="0"/>
          <w:tab w:val="left" w:pos="600"/>
        </w:tabs>
        <w:spacing w:line="360" w:lineRule="auto"/>
        <w:rPr>
          <w:rFonts w:ascii="宋体"/>
          <w:sz w:val="24"/>
          <w:szCs w:val="24"/>
        </w:rPr>
      </w:pPr>
      <w:r>
        <w:rPr>
          <w:rFonts w:ascii="宋体" w:hAnsi="宋体"/>
          <w:sz w:val="24"/>
          <w:szCs w:val="24"/>
        </w:rPr>
        <w:t>5.9.7</w:t>
      </w:r>
      <w:r>
        <w:rPr>
          <w:rFonts w:hint="eastAsia" w:ascii="宋体" w:hAnsi="宋体"/>
          <w:sz w:val="24"/>
          <w:szCs w:val="24"/>
        </w:rPr>
        <w:t>单元调试和整租调试试验检查。</w:t>
      </w:r>
    </w:p>
    <w:p>
      <w:pPr>
        <w:tabs>
          <w:tab w:val="left" w:pos="0"/>
          <w:tab w:val="left" w:pos="240"/>
        </w:tabs>
        <w:spacing w:line="360" w:lineRule="auto"/>
        <w:rPr>
          <w:rFonts w:ascii="宋体"/>
          <w:sz w:val="24"/>
          <w:szCs w:val="24"/>
        </w:rPr>
      </w:pPr>
      <w:r>
        <w:rPr>
          <w:rFonts w:ascii="宋体" w:hAnsi="宋体"/>
          <w:sz w:val="24"/>
          <w:szCs w:val="24"/>
        </w:rPr>
        <w:t>5.9.8</w:t>
      </w:r>
      <w:r>
        <w:rPr>
          <w:rFonts w:hint="eastAsia" w:ascii="宋体" w:hAnsi="宋体"/>
          <w:sz w:val="24"/>
          <w:szCs w:val="24"/>
        </w:rPr>
        <w:t>按照工业电视系统的功能要求完成工业电视系统与电站火灾自动报警和联动控制系统，电站计算机监控系统联合调试工作。</w:t>
      </w:r>
    </w:p>
    <w:p>
      <w:pPr>
        <w:pStyle w:val="3"/>
      </w:pPr>
      <w:bookmarkStart w:id="46" w:name="_Toc12100594"/>
      <w:r>
        <w:t>6</w:t>
      </w:r>
      <w:r>
        <w:rPr>
          <w:rFonts w:hint="eastAsia"/>
        </w:rPr>
        <w:t>火灾报警系统</w:t>
      </w:r>
      <w:bookmarkEnd w:id="46"/>
    </w:p>
    <w:p>
      <w:pPr>
        <w:tabs>
          <w:tab w:val="left" w:pos="0"/>
          <w:tab w:val="left" w:pos="240"/>
        </w:tabs>
        <w:spacing w:line="360" w:lineRule="auto"/>
        <w:rPr>
          <w:rFonts w:ascii="宋体"/>
          <w:sz w:val="24"/>
          <w:szCs w:val="24"/>
        </w:rPr>
      </w:pPr>
      <w:r>
        <w:rPr>
          <w:rFonts w:ascii="宋体"/>
          <w:sz w:val="24"/>
          <w:szCs w:val="24"/>
        </w:rPr>
        <w:tab/>
      </w:r>
      <w:r>
        <w:rPr>
          <w:rFonts w:hint="eastAsia" w:ascii="宋体" w:hAnsi="宋体"/>
          <w:sz w:val="24"/>
          <w:szCs w:val="24"/>
        </w:rPr>
        <w:t>火灾报警系统的连接电缆及电缆敷设方式</w:t>
      </w:r>
    </w:p>
    <w:p>
      <w:pPr>
        <w:tabs>
          <w:tab w:val="left" w:pos="0"/>
          <w:tab w:val="left" w:pos="240"/>
        </w:tabs>
        <w:spacing w:line="360" w:lineRule="auto"/>
        <w:rPr>
          <w:rFonts w:ascii="宋体"/>
          <w:sz w:val="24"/>
          <w:szCs w:val="24"/>
        </w:rPr>
      </w:pPr>
      <w:r>
        <w:rPr>
          <w:rFonts w:ascii="宋体"/>
          <w:sz w:val="24"/>
          <w:szCs w:val="24"/>
        </w:rPr>
        <w:tab/>
      </w:r>
      <w:r>
        <w:rPr>
          <w:rFonts w:hint="eastAsia" w:ascii="宋体" w:hAnsi="宋体"/>
          <w:sz w:val="24"/>
          <w:szCs w:val="24"/>
        </w:rPr>
        <w:t>全厂探测设备，火警电话，电源，火警广播等设备的连接电缆均采用阻燃型屏蔽专用电缆；启动灭火及其它联动设备的电缆均采用防火耐高温电缆。所有设备应符合国家消防标准。</w:t>
      </w:r>
    </w:p>
    <w:p>
      <w:pPr>
        <w:pStyle w:val="3"/>
      </w:pPr>
      <w:bookmarkStart w:id="47" w:name="_Toc12100595"/>
      <w:r>
        <w:t>7</w:t>
      </w:r>
      <w:r>
        <w:rPr>
          <w:rFonts w:hint="eastAsia"/>
        </w:rPr>
        <w:t>旁站监理控制</w:t>
      </w:r>
      <w:bookmarkEnd w:id="47"/>
    </w:p>
    <w:p>
      <w:pPr>
        <w:tabs>
          <w:tab w:val="left" w:pos="0"/>
          <w:tab w:val="left" w:pos="600"/>
        </w:tabs>
        <w:spacing w:line="360" w:lineRule="auto"/>
        <w:rPr>
          <w:rFonts w:ascii="宋体"/>
          <w:bCs/>
          <w:sz w:val="24"/>
          <w:szCs w:val="24"/>
        </w:rPr>
      </w:pPr>
      <w:r>
        <w:rPr>
          <w:rFonts w:ascii="宋体"/>
          <w:bCs/>
          <w:sz w:val="24"/>
          <w:szCs w:val="24"/>
        </w:rPr>
        <w:t>7.1</w:t>
      </w:r>
      <w:r>
        <w:rPr>
          <w:rFonts w:hint="eastAsia" w:ascii="宋体" w:hAnsi="宋体"/>
          <w:bCs/>
          <w:sz w:val="24"/>
          <w:szCs w:val="24"/>
        </w:rPr>
        <w:t>旁站工作流程及要求</w:t>
      </w:r>
    </w:p>
    <w:p>
      <w:pPr>
        <w:tabs>
          <w:tab w:val="left" w:pos="0"/>
          <w:tab w:val="left" w:pos="240"/>
        </w:tabs>
        <w:spacing w:line="360" w:lineRule="auto"/>
        <w:rPr>
          <w:rFonts w:ascii="宋体"/>
          <w:sz w:val="24"/>
          <w:szCs w:val="24"/>
        </w:rPr>
      </w:pPr>
      <w:r>
        <w:rPr>
          <w:rFonts w:ascii="宋体" w:hAnsi="宋体"/>
          <w:sz w:val="24"/>
          <w:szCs w:val="24"/>
        </w:rPr>
        <w:t>7.1.1</w:t>
      </w:r>
      <w:r>
        <w:rPr>
          <w:rFonts w:hint="eastAsia" w:ascii="宋体" w:hAnsi="宋体"/>
          <w:sz w:val="24"/>
          <w:szCs w:val="24"/>
        </w:rPr>
        <w:t>实施旁站监理的各项工程，施工单位应提前</w:t>
      </w:r>
      <w:r>
        <w:rPr>
          <w:rFonts w:ascii="宋体" w:hAnsi="宋体"/>
          <w:sz w:val="24"/>
          <w:szCs w:val="24"/>
        </w:rPr>
        <w:t>24H</w:t>
      </w:r>
      <w:r>
        <w:rPr>
          <w:rFonts w:hint="eastAsia" w:ascii="宋体" w:hAnsi="宋体"/>
          <w:sz w:val="24"/>
          <w:szCs w:val="24"/>
        </w:rPr>
        <w:t>项目监理部申请申报施工申请。</w:t>
      </w:r>
    </w:p>
    <w:p>
      <w:pPr>
        <w:tabs>
          <w:tab w:val="left" w:pos="0"/>
          <w:tab w:val="left" w:pos="240"/>
        </w:tabs>
        <w:spacing w:line="360" w:lineRule="auto"/>
        <w:rPr>
          <w:rFonts w:ascii="宋体"/>
          <w:sz w:val="24"/>
          <w:szCs w:val="24"/>
        </w:rPr>
      </w:pPr>
      <w:r>
        <w:rPr>
          <w:rFonts w:ascii="宋体" w:hAnsi="宋体"/>
          <w:sz w:val="24"/>
          <w:szCs w:val="24"/>
        </w:rPr>
        <w:t>7.1.2</w:t>
      </w:r>
      <w:r>
        <w:rPr>
          <w:rFonts w:hint="eastAsia" w:ascii="宋体" w:hAnsi="宋体"/>
          <w:sz w:val="24"/>
          <w:szCs w:val="24"/>
        </w:rPr>
        <w:t>受到施工单位的报告后，监理工程师应立即检查确认是否已具备施工条件。检查如下：</w:t>
      </w:r>
    </w:p>
    <w:p>
      <w:pPr>
        <w:tabs>
          <w:tab w:val="left" w:pos="0"/>
          <w:tab w:val="left" w:pos="600"/>
        </w:tabs>
        <w:spacing w:line="360" w:lineRule="auto"/>
        <w:rPr>
          <w:rFonts w:ascii="宋体"/>
          <w:sz w:val="24"/>
          <w:szCs w:val="24"/>
        </w:rPr>
      </w:pPr>
      <w:r>
        <w:rPr>
          <w:rFonts w:ascii="宋体"/>
          <w:sz w:val="24"/>
          <w:szCs w:val="24"/>
        </w:rPr>
        <w:tab/>
      </w:r>
      <w:r>
        <w:rPr>
          <w:rFonts w:hint="eastAsia" w:ascii="宋体" w:hAnsi="宋体"/>
          <w:sz w:val="24"/>
          <w:szCs w:val="24"/>
        </w:rPr>
        <w:t>（</w:t>
      </w:r>
      <w:r>
        <w:rPr>
          <w:rFonts w:ascii="宋体" w:hAnsi="宋体"/>
          <w:sz w:val="24"/>
          <w:szCs w:val="24"/>
        </w:rPr>
        <w:t>1</w:t>
      </w:r>
      <w:r>
        <w:rPr>
          <w:rFonts w:hint="eastAsia" w:ascii="宋体" w:hAnsi="宋体"/>
          <w:sz w:val="24"/>
          <w:szCs w:val="24"/>
        </w:rPr>
        <w:t>）上道工序及其它专业在该部位的工程是否已确认合格。</w:t>
      </w:r>
    </w:p>
    <w:p>
      <w:pPr>
        <w:tabs>
          <w:tab w:val="left" w:pos="0"/>
          <w:tab w:val="left" w:pos="600"/>
        </w:tabs>
        <w:spacing w:line="360" w:lineRule="auto"/>
        <w:rPr>
          <w:rFonts w:ascii="宋体"/>
          <w:sz w:val="24"/>
          <w:szCs w:val="24"/>
        </w:rPr>
      </w:pPr>
      <w:r>
        <w:rPr>
          <w:rFonts w:ascii="宋体"/>
          <w:b/>
          <w:sz w:val="24"/>
          <w:szCs w:val="24"/>
        </w:rPr>
        <w:tab/>
      </w:r>
      <w:r>
        <w:rPr>
          <w:rFonts w:hint="eastAsia" w:ascii="宋体" w:hAnsi="宋体"/>
          <w:sz w:val="24"/>
          <w:szCs w:val="24"/>
        </w:rPr>
        <w:t>（</w:t>
      </w:r>
      <w:r>
        <w:rPr>
          <w:rFonts w:ascii="宋体" w:hAnsi="宋体"/>
          <w:sz w:val="24"/>
          <w:szCs w:val="24"/>
        </w:rPr>
        <w:t>2</w:t>
      </w:r>
      <w:r>
        <w:rPr>
          <w:rFonts w:hint="eastAsia" w:ascii="宋体" w:hAnsi="宋体"/>
          <w:sz w:val="24"/>
          <w:szCs w:val="24"/>
        </w:rPr>
        <w:t>）施工方案是否已经监理批准。</w:t>
      </w:r>
    </w:p>
    <w:p>
      <w:pPr>
        <w:tabs>
          <w:tab w:val="left" w:pos="0"/>
          <w:tab w:val="left" w:pos="600"/>
        </w:tabs>
        <w:spacing w:line="360" w:lineRule="auto"/>
        <w:rPr>
          <w:rFonts w:ascii="宋体"/>
          <w:sz w:val="24"/>
          <w:szCs w:val="24"/>
        </w:rPr>
      </w:pPr>
      <w:r>
        <w:rPr>
          <w:rFonts w:ascii="宋体"/>
          <w:b/>
          <w:sz w:val="24"/>
          <w:szCs w:val="24"/>
        </w:rPr>
        <w:tab/>
      </w:r>
      <w:r>
        <w:rPr>
          <w:rFonts w:hint="eastAsia" w:ascii="宋体" w:hAnsi="宋体"/>
          <w:sz w:val="24"/>
          <w:szCs w:val="24"/>
        </w:rPr>
        <w:t>（</w:t>
      </w:r>
      <w:r>
        <w:rPr>
          <w:rFonts w:ascii="宋体" w:hAnsi="宋体"/>
          <w:sz w:val="24"/>
          <w:szCs w:val="24"/>
        </w:rPr>
        <w:t>3</w:t>
      </w:r>
      <w:r>
        <w:rPr>
          <w:rFonts w:hint="eastAsia" w:ascii="宋体" w:hAnsi="宋体"/>
          <w:sz w:val="24"/>
          <w:szCs w:val="24"/>
        </w:rPr>
        <w:t>）施工设备，人员，材料等是否到位。</w:t>
      </w:r>
    </w:p>
    <w:p>
      <w:pPr>
        <w:tabs>
          <w:tab w:val="left" w:pos="0"/>
          <w:tab w:val="left" w:pos="600"/>
        </w:tabs>
        <w:spacing w:line="360" w:lineRule="auto"/>
        <w:rPr>
          <w:rFonts w:ascii="宋体"/>
          <w:sz w:val="24"/>
          <w:szCs w:val="24"/>
        </w:rPr>
      </w:pPr>
      <w:r>
        <w:rPr>
          <w:rFonts w:ascii="宋体"/>
          <w:b/>
          <w:sz w:val="24"/>
          <w:szCs w:val="24"/>
        </w:rPr>
        <w:tab/>
      </w:r>
      <w:r>
        <w:rPr>
          <w:rFonts w:hint="eastAsia" w:ascii="宋体" w:hAnsi="宋体"/>
          <w:sz w:val="24"/>
          <w:szCs w:val="24"/>
        </w:rPr>
        <w:t>（</w:t>
      </w:r>
      <w:r>
        <w:rPr>
          <w:rFonts w:ascii="宋体" w:hAnsi="宋体"/>
          <w:sz w:val="24"/>
          <w:szCs w:val="24"/>
        </w:rPr>
        <w:t>4</w:t>
      </w:r>
      <w:r>
        <w:rPr>
          <w:rFonts w:hint="eastAsia" w:ascii="宋体" w:hAnsi="宋体"/>
          <w:sz w:val="24"/>
          <w:szCs w:val="24"/>
        </w:rPr>
        <w:t>）安全设施是否符合相关要求。</w:t>
      </w:r>
    </w:p>
    <w:p>
      <w:pPr>
        <w:tabs>
          <w:tab w:val="left" w:pos="0"/>
          <w:tab w:val="left" w:pos="600"/>
        </w:tabs>
        <w:spacing w:line="360" w:lineRule="auto"/>
        <w:rPr>
          <w:rFonts w:ascii="宋体"/>
          <w:sz w:val="24"/>
          <w:szCs w:val="24"/>
        </w:rPr>
      </w:pPr>
      <w:r>
        <w:rPr>
          <w:rFonts w:ascii="宋体"/>
          <w:sz w:val="24"/>
          <w:szCs w:val="24"/>
        </w:rPr>
        <w:tab/>
      </w:r>
      <w:r>
        <w:rPr>
          <w:rFonts w:hint="eastAsia" w:ascii="宋体" w:hAnsi="宋体"/>
          <w:sz w:val="24"/>
          <w:szCs w:val="24"/>
        </w:rPr>
        <w:t>（</w:t>
      </w:r>
      <w:r>
        <w:rPr>
          <w:rFonts w:ascii="宋体" w:hAnsi="宋体"/>
          <w:sz w:val="24"/>
          <w:szCs w:val="24"/>
        </w:rPr>
        <w:t>5</w:t>
      </w:r>
      <w:r>
        <w:rPr>
          <w:rFonts w:hint="eastAsia" w:ascii="宋体" w:hAnsi="宋体"/>
          <w:sz w:val="24"/>
          <w:szCs w:val="24"/>
        </w:rPr>
        <w:t>）是否有影响施工的其它因素。</w:t>
      </w:r>
    </w:p>
    <w:p>
      <w:pPr>
        <w:tabs>
          <w:tab w:val="left" w:pos="0"/>
          <w:tab w:val="left" w:pos="600"/>
        </w:tabs>
        <w:spacing w:line="360" w:lineRule="auto"/>
        <w:rPr>
          <w:rFonts w:ascii="宋体"/>
          <w:sz w:val="24"/>
          <w:szCs w:val="24"/>
        </w:rPr>
      </w:pPr>
      <w:r>
        <w:rPr>
          <w:rFonts w:ascii="宋体"/>
          <w:sz w:val="24"/>
          <w:szCs w:val="24"/>
        </w:rPr>
        <w:tab/>
      </w:r>
      <w:r>
        <w:rPr>
          <w:rFonts w:hint="eastAsia" w:ascii="宋体" w:hAnsi="宋体"/>
          <w:sz w:val="24"/>
          <w:szCs w:val="24"/>
        </w:rPr>
        <w:t>在以上条件均满足，并经总监理工程师确认后，签认申请表，并安排好旁站监理人员实施旁站监理。</w:t>
      </w:r>
    </w:p>
    <w:p>
      <w:pPr>
        <w:tabs>
          <w:tab w:val="left" w:pos="0"/>
          <w:tab w:val="left" w:pos="600"/>
        </w:tabs>
        <w:spacing w:line="360" w:lineRule="auto"/>
        <w:rPr>
          <w:rFonts w:ascii="宋体"/>
          <w:sz w:val="24"/>
          <w:szCs w:val="24"/>
        </w:rPr>
      </w:pPr>
      <w:r>
        <w:rPr>
          <w:rFonts w:ascii="宋体" w:hAnsi="宋体"/>
          <w:sz w:val="24"/>
          <w:szCs w:val="24"/>
        </w:rPr>
        <w:t>7.1.3</w:t>
      </w:r>
      <w:r>
        <w:rPr>
          <w:rFonts w:hint="eastAsia" w:ascii="宋体" w:hAnsi="宋体"/>
          <w:sz w:val="24"/>
          <w:szCs w:val="24"/>
        </w:rPr>
        <w:t>旁站前监理人员应充分了解和掌握施工所用材料，设备的质量情况以及施工图纸，设计要求，标准，规范等。</w:t>
      </w:r>
    </w:p>
    <w:p>
      <w:pPr>
        <w:tabs>
          <w:tab w:val="left" w:pos="0"/>
          <w:tab w:val="left" w:pos="600"/>
        </w:tabs>
        <w:spacing w:line="360" w:lineRule="auto"/>
        <w:rPr>
          <w:rFonts w:ascii="宋体"/>
          <w:sz w:val="24"/>
          <w:szCs w:val="24"/>
        </w:rPr>
      </w:pPr>
      <w:r>
        <w:rPr>
          <w:rFonts w:ascii="宋体" w:hAnsi="宋体"/>
          <w:sz w:val="24"/>
          <w:szCs w:val="24"/>
        </w:rPr>
        <w:t>7.1.4</w:t>
      </w:r>
      <w:r>
        <w:rPr>
          <w:rFonts w:hint="eastAsia" w:ascii="宋体" w:hAnsi="宋体"/>
          <w:sz w:val="24"/>
          <w:szCs w:val="24"/>
        </w:rPr>
        <w:t>旁站监理工作主要有现场监理员进行，监理员执行旁站前，专业监理工程师向其进行交底，明确交代旁站项目范围，质量标准，注意事项及突发事件处理要点。并配备必要的监理设施。</w:t>
      </w:r>
    </w:p>
    <w:p>
      <w:pPr>
        <w:tabs>
          <w:tab w:val="left" w:pos="0"/>
          <w:tab w:val="left" w:pos="600"/>
        </w:tabs>
        <w:spacing w:line="360" w:lineRule="auto"/>
        <w:rPr>
          <w:rFonts w:ascii="宋体"/>
          <w:sz w:val="24"/>
          <w:szCs w:val="24"/>
        </w:rPr>
      </w:pPr>
      <w:r>
        <w:rPr>
          <w:rFonts w:ascii="宋体" w:hAnsi="宋体"/>
          <w:sz w:val="24"/>
          <w:szCs w:val="24"/>
        </w:rPr>
        <w:t>7.1.5</w:t>
      </w:r>
      <w:r>
        <w:rPr>
          <w:rFonts w:hint="eastAsia" w:ascii="宋体" w:hAnsi="宋体"/>
          <w:sz w:val="24"/>
          <w:szCs w:val="24"/>
        </w:rPr>
        <w:t>旁站监理人员在施工现场功能班监督，及时发现和处理旁站监理过程中出现的质量问题，如实准确地做好旁站监理记录。凡旁站监理人员和施工单位现场质检人员未在旁站监理记录上签字的，不得进行下一道工序施工。</w:t>
      </w:r>
    </w:p>
    <w:p>
      <w:pPr>
        <w:tabs>
          <w:tab w:val="left" w:pos="0"/>
          <w:tab w:val="left" w:pos="600"/>
        </w:tabs>
        <w:spacing w:line="360" w:lineRule="auto"/>
        <w:rPr>
          <w:rFonts w:ascii="宋体"/>
          <w:sz w:val="24"/>
          <w:szCs w:val="24"/>
        </w:rPr>
      </w:pPr>
      <w:r>
        <w:rPr>
          <w:rFonts w:ascii="宋体" w:hAnsi="宋体"/>
          <w:sz w:val="24"/>
          <w:szCs w:val="24"/>
        </w:rPr>
        <w:t>7.1.6</w:t>
      </w:r>
      <w:r>
        <w:rPr>
          <w:rFonts w:hint="eastAsia" w:ascii="宋体" w:hAnsi="宋体"/>
          <w:sz w:val="24"/>
          <w:szCs w:val="24"/>
        </w:rPr>
        <w:t>旁站监理人员实施旁站监理时，发现施工单位有违反工程建设强制性标准行为的，应责令施工单位立即整改；发现其施工活动已经或可能危及工程质量的，应当及时向总监理工程师和监理工程师报告，有总监理工程师下达局部暂停施工令或者采取其它应急措施。</w:t>
      </w:r>
    </w:p>
    <w:p>
      <w:pPr>
        <w:tabs>
          <w:tab w:val="left" w:pos="0"/>
          <w:tab w:val="left" w:pos="600"/>
        </w:tabs>
        <w:spacing w:line="360" w:lineRule="auto"/>
        <w:rPr>
          <w:rFonts w:ascii="宋体"/>
          <w:sz w:val="24"/>
          <w:szCs w:val="24"/>
        </w:rPr>
      </w:pPr>
      <w:r>
        <w:rPr>
          <w:rFonts w:ascii="宋体" w:hAnsi="宋体"/>
          <w:sz w:val="24"/>
          <w:szCs w:val="24"/>
        </w:rPr>
        <w:t>7.1.7</w:t>
      </w:r>
      <w:r>
        <w:rPr>
          <w:rFonts w:hint="eastAsia" w:ascii="宋体" w:hAnsi="宋体"/>
          <w:sz w:val="24"/>
          <w:szCs w:val="24"/>
        </w:rPr>
        <w:t>按总监理工程师批准的监理实施细则逐项执行或按商定的工艺质量标准进行监督检查，并做好质量记录和取样分析。应旁站监理的关键部位，关键工序施工。</w:t>
      </w:r>
    </w:p>
    <w:p>
      <w:pPr>
        <w:tabs>
          <w:tab w:val="left" w:pos="0"/>
        </w:tabs>
        <w:spacing w:line="360" w:lineRule="auto"/>
        <w:rPr>
          <w:rFonts w:ascii="宋体"/>
          <w:bCs/>
          <w:sz w:val="24"/>
          <w:szCs w:val="24"/>
        </w:rPr>
      </w:pPr>
      <w:r>
        <w:rPr>
          <w:rFonts w:ascii="宋体" w:hAnsi="宋体"/>
          <w:bCs/>
          <w:sz w:val="24"/>
          <w:szCs w:val="24"/>
        </w:rPr>
        <w:t>7.2</w:t>
      </w:r>
      <w:r>
        <w:rPr>
          <w:rFonts w:hint="eastAsia" w:ascii="宋体" w:hAnsi="宋体"/>
          <w:bCs/>
          <w:sz w:val="24"/>
          <w:szCs w:val="24"/>
        </w:rPr>
        <w:t>旁站监理职责</w:t>
      </w:r>
    </w:p>
    <w:p>
      <w:pPr>
        <w:tabs>
          <w:tab w:val="left" w:pos="0"/>
          <w:tab w:val="left" w:pos="600"/>
        </w:tabs>
        <w:spacing w:line="360" w:lineRule="auto"/>
        <w:rPr>
          <w:rFonts w:ascii="宋体"/>
          <w:sz w:val="24"/>
          <w:szCs w:val="24"/>
        </w:rPr>
      </w:pPr>
      <w:r>
        <w:rPr>
          <w:rFonts w:ascii="宋体" w:hAnsi="宋体"/>
          <w:sz w:val="24"/>
          <w:szCs w:val="24"/>
        </w:rPr>
        <w:t>7.2.1</w:t>
      </w:r>
      <w:r>
        <w:rPr>
          <w:rFonts w:hint="eastAsia" w:ascii="宋体" w:hAnsi="宋体"/>
          <w:sz w:val="24"/>
          <w:szCs w:val="24"/>
        </w:rPr>
        <w:t>检查施工单位现场人员到岗，特殊工作人员持证上岗以及施工机械，建设测量准备情况。</w:t>
      </w:r>
    </w:p>
    <w:p>
      <w:pPr>
        <w:tabs>
          <w:tab w:val="left" w:pos="0"/>
          <w:tab w:val="left" w:pos="600"/>
        </w:tabs>
        <w:spacing w:line="360" w:lineRule="auto"/>
        <w:rPr>
          <w:rFonts w:ascii="宋体"/>
          <w:sz w:val="24"/>
          <w:szCs w:val="24"/>
        </w:rPr>
      </w:pPr>
      <w:r>
        <w:rPr>
          <w:rFonts w:ascii="宋体" w:hAnsi="宋体"/>
          <w:sz w:val="24"/>
          <w:szCs w:val="24"/>
        </w:rPr>
        <w:t>7.2.2</w:t>
      </w:r>
      <w:r>
        <w:rPr>
          <w:rFonts w:hint="eastAsia" w:ascii="宋体" w:hAnsi="宋体"/>
          <w:sz w:val="24"/>
          <w:szCs w:val="24"/>
        </w:rPr>
        <w:t>在现场跟班监督关键部位，关键工序的施工执行施工方案以及工程建设强制性标准情况。</w:t>
      </w:r>
    </w:p>
    <w:p>
      <w:pPr>
        <w:tabs>
          <w:tab w:val="left" w:pos="0"/>
          <w:tab w:val="left" w:pos="600"/>
        </w:tabs>
        <w:spacing w:line="360" w:lineRule="auto"/>
        <w:rPr>
          <w:rFonts w:ascii="宋体"/>
          <w:sz w:val="24"/>
          <w:szCs w:val="24"/>
        </w:rPr>
      </w:pPr>
      <w:r>
        <w:rPr>
          <w:rFonts w:ascii="宋体" w:hAnsi="宋体"/>
          <w:sz w:val="24"/>
          <w:szCs w:val="24"/>
        </w:rPr>
        <w:t>7.2.3</w:t>
      </w:r>
      <w:r>
        <w:rPr>
          <w:rFonts w:hint="eastAsia" w:ascii="宋体" w:hAnsi="宋体"/>
          <w:sz w:val="24"/>
          <w:szCs w:val="24"/>
        </w:rPr>
        <w:t>核查进场材料，构配件，设备的出厂质量证明，质量检验报告。</w:t>
      </w:r>
    </w:p>
    <w:p>
      <w:pPr>
        <w:tabs>
          <w:tab w:val="left" w:pos="0"/>
          <w:tab w:val="left" w:pos="600"/>
        </w:tabs>
        <w:spacing w:line="360" w:lineRule="auto"/>
        <w:rPr>
          <w:rFonts w:ascii="宋体"/>
          <w:sz w:val="24"/>
          <w:szCs w:val="24"/>
        </w:rPr>
      </w:pPr>
      <w:r>
        <w:rPr>
          <w:rFonts w:ascii="宋体" w:hAnsi="宋体"/>
          <w:sz w:val="24"/>
          <w:szCs w:val="24"/>
        </w:rPr>
        <w:t>7.2.4</w:t>
      </w:r>
      <w:r>
        <w:rPr>
          <w:rFonts w:hint="eastAsia" w:ascii="宋体" w:hAnsi="宋体"/>
          <w:sz w:val="24"/>
          <w:szCs w:val="24"/>
        </w:rPr>
        <w:t>督促施工单位进行现场检查和必要的复验。</w:t>
      </w:r>
    </w:p>
    <w:p>
      <w:pPr>
        <w:tabs>
          <w:tab w:val="left" w:pos="0"/>
          <w:tab w:val="left" w:pos="600"/>
        </w:tabs>
        <w:spacing w:line="360" w:lineRule="auto"/>
        <w:rPr>
          <w:rFonts w:ascii="宋体"/>
          <w:sz w:val="24"/>
          <w:szCs w:val="24"/>
        </w:rPr>
      </w:pPr>
      <w:r>
        <w:rPr>
          <w:rFonts w:ascii="宋体" w:hAnsi="宋体"/>
          <w:sz w:val="24"/>
          <w:szCs w:val="24"/>
        </w:rPr>
        <w:t>7.2.5</w:t>
      </w:r>
      <w:r>
        <w:rPr>
          <w:rFonts w:hint="eastAsia" w:ascii="宋体" w:hAnsi="宋体"/>
          <w:sz w:val="24"/>
          <w:szCs w:val="24"/>
        </w:rPr>
        <w:t>做好旁站监理记录和监理日记，保存旁站监理原始资料。</w:t>
      </w:r>
    </w:p>
    <w:p>
      <w:pPr>
        <w:tabs>
          <w:tab w:val="left" w:pos="0"/>
          <w:tab w:val="left" w:pos="600"/>
        </w:tabs>
        <w:spacing w:line="360" w:lineRule="auto"/>
        <w:rPr>
          <w:rFonts w:ascii="宋体"/>
          <w:sz w:val="24"/>
          <w:szCs w:val="24"/>
        </w:rPr>
      </w:pPr>
      <w:r>
        <w:rPr>
          <w:rFonts w:ascii="宋体" w:hAnsi="宋体"/>
          <w:sz w:val="24"/>
          <w:szCs w:val="24"/>
        </w:rPr>
        <w:t>7.2.6</w:t>
      </w:r>
      <w:r>
        <w:rPr>
          <w:rFonts w:hint="eastAsia" w:ascii="宋体" w:hAnsi="宋体"/>
          <w:sz w:val="24"/>
          <w:szCs w:val="24"/>
        </w:rPr>
        <w:t>旁站监理过程中，发现有违反工程建设强制性标准行为的，有权责令施工单位立即改正</w:t>
      </w:r>
      <w:r>
        <w:rPr>
          <w:rFonts w:ascii="宋体"/>
          <w:sz w:val="24"/>
          <w:szCs w:val="24"/>
        </w:rPr>
        <w:t>,</w:t>
      </w:r>
      <w:r>
        <w:rPr>
          <w:rFonts w:hint="eastAsia" w:ascii="宋体" w:hAnsi="宋体"/>
          <w:sz w:val="24"/>
          <w:szCs w:val="24"/>
        </w:rPr>
        <w:t>应及时向总监理工程师报告，由总监理工程师采取必要的措施。</w:t>
      </w:r>
    </w:p>
    <w:p>
      <w:pPr>
        <w:tabs>
          <w:tab w:val="left" w:pos="0"/>
          <w:tab w:val="left" w:pos="240"/>
        </w:tabs>
        <w:spacing w:line="360" w:lineRule="auto"/>
        <w:rPr>
          <w:rFonts w:ascii="宋体"/>
          <w:sz w:val="24"/>
          <w:szCs w:val="24"/>
        </w:rPr>
      </w:pPr>
      <w:r>
        <w:rPr>
          <w:rFonts w:ascii="宋体" w:hAnsi="宋体"/>
          <w:sz w:val="24"/>
          <w:szCs w:val="24"/>
        </w:rPr>
        <w:t>7.2.7</w:t>
      </w:r>
      <w:r>
        <w:rPr>
          <w:rFonts w:hint="eastAsia" w:ascii="宋体" w:hAnsi="宋体"/>
          <w:sz w:val="24"/>
          <w:szCs w:val="24"/>
        </w:rPr>
        <w:t>必须如实，准确地填写旁站记录。</w:t>
      </w:r>
      <w:r>
        <w:rPr>
          <w:rFonts w:ascii="宋体"/>
          <w:sz w:val="24"/>
          <w:szCs w:val="24"/>
        </w:rPr>
        <w:tab/>
      </w:r>
    </w:p>
    <w:p>
      <w:pPr>
        <w:pStyle w:val="3"/>
      </w:pPr>
      <w:bookmarkStart w:id="48" w:name="_Toc12100596"/>
      <w:r>
        <w:rPr>
          <w:rStyle w:val="14"/>
          <w:b/>
        </w:rPr>
        <w:t>8</w:t>
      </w:r>
      <w:r>
        <w:rPr>
          <w:rStyle w:val="14"/>
          <w:rFonts w:hint="eastAsia"/>
          <w:b/>
        </w:rPr>
        <w:t>质量目标</w:t>
      </w:r>
      <w:bookmarkEnd w:id="45"/>
      <w:r>
        <w:rPr>
          <w:rFonts w:hint="eastAsia"/>
        </w:rPr>
        <w:t>：</w:t>
      </w:r>
      <w:bookmarkEnd w:id="48"/>
      <w:bookmarkStart w:id="49" w:name="_Toc318380212"/>
    </w:p>
    <w:p>
      <w:pPr>
        <w:tabs>
          <w:tab w:val="left" w:pos="0"/>
          <w:tab w:val="left" w:pos="600"/>
        </w:tabs>
        <w:spacing w:line="360" w:lineRule="auto"/>
        <w:rPr>
          <w:rFonts w:ascii="宋体"/>
          <w:sz w:val="24"/>
          <w:szCs w:val="24"/>
        </w:rPr>
      </w:pPr>
      <w:r>
        <w:rPr>
          <w:rFonts w:hint="eastAsia" w:ascii="宋体" w:hAnsi="宋体"/>
          <w:sz w:val="24"/>
          <w:szCs w:val="24"/>
        </w:rPr>
        <w:t>接入系统带电一次成功。</w:t>
      </w:r>
    </w:p>
    <w:p>
      <w:pPr>
        <w:pStyle w:val="3"/>
      </w:pPr>
      <w:bookmarkStart w:id="50" w:name="_Toc12100597"/>
      <w:r>
        <w:t>9</w:t>
      </w:r>
      <w:r>
        <w:rPr>
          <w:rFonts w:hint="eastAsia"/>
        </w:rPr>
        <w:t>监理工作方法及</w:t>
      </w:r>
      <w:bookmarkEnd w:id="49"/>
      <w:r>
        <w:rPr>
          <w:rFonts w:hint="eastAsia"/>
        </w:rPr>
        <w:t>程序</w:t>
      </w:r>
      <w:bookmarkEnd w:id="50"/>
    </w:p>
    <w:p>
      <w:pPr>
        <w:tabs>
          <w:tab w:val="left" w:pos="0"/>
          <w:tab w:val="left" w:pos="1080"/>
        </w:tabs>
        <w:spacing w:line="360" w:lineRule="auto"/>
        <w:rPr>
          <w:rFonts w:ascii="宋体"/>
          <w:bCs/>
          <w:sz w:val="24"/>
          <w:szCs w:val="24"/>
        </w:rPr>
      </w:pPr>
      <w:r>
        <w:rPr>
          <w:rFonts w:ascii="宋体" w:hAnsi="宋体"/>
          <w:bCs/>
          <w:sz w:val="24"/>
          <w:szCs w:val="24"/>
        </w:rPr>
        <w:t>9.1</w:t>
      </w:r>
      <w:r>
        <w:rPr>
          <w:rFonts w:hint="eastAsia" w:ascii="宋体" w:hAnsi="宋体"/>
          <w:bCs/>
          <w:sz w:val="24"/>
          <w:szCs w:val="24"/>
        </w:rPr>
        <w:t>监理工作方法</w:t>
      </w:r>
    </w:p>
    <w:p>
      <w:pPr>
        <w:tabs>
          <w:tab w:val="left" w:pos="0"/>
          <w:tab w:val="left" w:pos="1080"/>
        </w:tabs>
        <w:spacing w:line="360" w:lineRule="auto"/>
        <w:rPr>
          <w:rFonts w:ascii="宋体"/>
          <w:sz w:val="24"/>
          <w:szCs w:val="24"/>
        </w:rPr>
      </w:pPr>
      <w:r>
        <w:rPr>
          <w:rFonts w:ascii="宋体" w:hAnsi="宋体"/>
          <w:sz w:val="24"/>
          <w:szCs w:val="24"/>
        </w:rPr>
        <w:t>9.1</w:t>
      </w:r>
      <w:r>
        <w:rPr>
          <w:rFonts w:hint="eastAsia" w:ascii="宋体" w:hAnsi="宋体"/>
          <w:sz w:val="24"/>
          <w:szCs w:val="24"/>
        </w:rPr>
        <w:t>．</w:t>
      </w:r>
      <w:r>
        <w:rPr>
          <w:rFonts w:ascii="宋体" w:hAnsi="宋体"/>
          <w:sz w:val="24"/>
          <w:szCs w:val="24"/>
        </w:rPr>
        <w:t>1</w:t>
      </w:r>
      <w:r>
        <w:rPr>
          <w:rFonts w:hint="eastAsia" w:ascii="宋体" w:hAnsi="宋体"/>
          <w:sz w:val="24"/>
          <w:szCs w:val="24"/>
        </w:rPr>
        <w:t>监理工作程序应体现过程控制原则，事前、事中、事后控制原则和主动控制的要求，应结合工程项目的特点，注重效果。应该明确工作内容，引为的主体，考核所采用的标准，也要符合委托监理合同和施工合同的规定。</w:t>
      </w:r>
    </w:p>
    <w:p>
      <w:pPr>
        <w:spacing w:line="360" w:lineRule="auto"/>
        <w:rPr>
          <w:rFonts w:ascii="宋体"/>
          <w:bCs/>
          <w:sz w:val="24"/>
        </w:rPr>
      </w:pPr>
      <w:r>
        <w:rPr>
          <w:rFonts w:ascii="宋体" w:hAnsi="宋体"/>
          <w:bCs/>
          <w:sz w:val="24"/>
        </w:rPr>
        <w:t>9.2</w:t>
      </w:r>
      <w:r>
        <w:rPr>
          <w:rFonts w:hint="eastAsia" w:ascii="宋体" w:hAnsi="宋体"/>
          <w:bCs/>
          <w:sz w:val="24"/>
        </w:rPr>
        <w:t>监理工作程序</w:t>
      </w:r>
    </w:p>
    <w:p>
      <w:pPr>
        <w:widowControl/>
        <w:jc w:val="left"/>
        <w:rPr>
          <w:rFonts w:ascii="宋体" w:hAnsi="宋体"/>
          <w:sz w:val="24"/>
        </w:rPr>
      </w:pPr>
      <w:r>
        <w:rPr>
          <w:rFonts w:ascii="宋体" w:hAnsi="宋体"/>
          <w:sz w:val="24"/>
        </w:rPr>
        <w:br w:type="page"/>
      </w:r>
    </w:p>
    <w:p>
      <w:pPr>
        <w:spacing w:line="360" w:lineRule="auto"/>
        <w:rPr>
          <w:rFonts w:ascii="宋体"/>
          <w:sz w:val="24"/>
        </w:rPr>
      </w:pPr>
      <w:r>
        <w:rPr>
          <w:rFonts w:ascii="宋体" w:hAnsi="宋体"/>
          <w:sz w:val="24"/>
        </w:rPr>
        <w:t>9.2.1</w:t>
      </w:r>
      <w:r>
        <w:rPr>
          <w:rFonts w:hint="eastAsia" w:ascii="宋体" w:hAnsi="宋体"/>
          <w:sz w:val="24"/>
        </w:rPr>
        <w:t>质量控制程序</w:t>
      </w:r>
    </w:p>
    <w:p>
      <w:pPr>
        <w:spacing w:line="360" w:lineRule="auto"/>
        <w:rPr>
          <w:rFonts w:ascii="宋体"/>
          <w:color w:val="000000"/>
          <w:sz w:val="24"/>
        </w:rPr>
      </w:pPr>
      <w:r>
        <w:rPr>
          <w:rFonts w:hint="eastAsia" w:ascii="宋体" w:hAnsi="宋体"/>
          <w:color w:val="000000"/>
          <w:sz w:val="24"/>
        </w:rPr>
        <w:object>
          <v:shape id="_x0000_i1025" o:spt="75" type="#_x0000_t75" style="height:652.05pt;width:413.4pt;" o:ole="t" fillcolor="#000005" filled="f" o:preferrelative="t" stroked="f" coordsize="21600,21600">
            <v:path/>
            <v:fill on="f" focussize="0,0"/>
            <v:stroke on="f" joinstyle="miter"/>
            <v:imagedata r:id="rId11" o:title=""/>
            <o:lock v:ext="edit" aspectratio="t"/>
            <w10:wrap type="none"/>
            <w10:anchorlock/>
          </v:shape>
          <o:OLEObject Type="Embed" ProgID="Word.Picture.8" ShapeID="_x0000_i1025" DrawAspect="Content" ObjectID="_1468075725" r:id="rId10">
            <o:LockedField>false</o:LockedField>
          </o:OLEObject>
        </w:object>
      </w:r>
    </w:p>
    <w:p>
      <w:pPr>
        <w:widowControl/>
        <w:jc w:val="left"/>
        <w:rPr>
          <w:rFonts w:ascii="宋体"/>
          <w:sz w:val="24"/>
        </w:rPr>
      </w:pPr>
      <w:r>
        <w:rPr>
          <w:rFonts w:ascii="宋体"/>
          <w:sz w:val="24"/>
        </w:rPr>
        <w:br w:type="page"/>
      </w:r>
    </w:p>
    <w:p>
      <w:pPr>
        <w:spacing w:line="360" w:lineRule="auto"/>
        <w:rPr>
          <w:rFonts w:ascii="宋体"/>
          <w:sz w:val="24"/>
        </w:rPr>
      </w:pPr>
      <w:r>
        <w:rPr>
          <w:rFonts w:ascii="宋体" w:hAnsi="宋体"/>
          <w:sz w:val="24"/>
        </w:rPr>
        <w:t xml:space="preserve">9.2.2 </w:t>
      </w:r>
      <w:r>
        <w:rPr>
          <w:rFonts w:hint="eastAsia" w:ascii="宋体" w:hAnsi="宋体"/>
          <w:sz w:val="24"/>
        </w:rPr>
        <w:t>进度控制程序</w:t>
      </w:r>
    </w:p>
    <w:p>
      <w:pPr>
        <w:spacing w:line="360" w:lineRule="auto"/>
        <w:rPr>
          <w:rFonts w:ascii="宋体"/>
          <w:sz w:val="24"/>
        </w:rPr>
      </w:pPr>
    </w:p>
    <w:p>
      <w:pPr>
        <w:spacing w:line="360" w:lineRule="auto"/>
        <w:jc w:val="center"/>
        <w:rPr>
          <w:rFonts w:ascii="宋体"/>
          <w:sz w:val="24"/>
        </w:rPr>
      </w:pPr>
      <w:r>
        <w:rPr>
          <w:rFonts w:hint="eastAsia" w:ascii="宋体" w:hAnsi="宋体"/>
          <w:color w:val="000000"/>
          <w:sz w:val="24"/>
        </w:rPr>
        <w:object>
          <v:shape id="_x0000_i1026" o:spt="75" type="#_x0000_t75" style="height:626.95pt;width:436.3pt;" o:ole="t" fillcolor="#000005" filled="f" o:preferrelative="t" stroked="f" coordsize="21600,21600">
            <v:path/>
            <v:fill on="f" focussize="0,0"/>
            <v:stroke on="f" joinstyle="miter"/>
            <v:imagedata r:id="rId13" o:title=""/>
            <o:lock v:ext="edit" aspectratio="t"/>
            <w10:wrap type="none"/>
            <w10:anchorlock/>
          </v:shape>
          <o:OLEObject Type="Embed" ProgID="Word.Picture.8" ShapeID="_x0000_i1026" DrawAspect="Content" ObjectID="_1468075726" r:id="rId12">
            <o:LockedField>false</o:LockedField>
          </o:OLEObject>
        </w:object>
      </w:r>
    </w:p>
    <w:p>
      <w:pPr>
        <w:spacing w:line="360" w:lineRule="auto"/>
        <w:rPr>
          <w:rFonts w:ascii="宋体"/>
          <w:sz w:val="24"/>
        </w:rPr>
      </w:pPr>
    </w:p>
    <w:p>
      <w:pPr>
        <w:spacing w:line="360" w:lineRule="auto"/>
        <w:rPr>
          <w:rFonts w:ascii="宋体"/>
          <w:sz w:val="24"/>
        </w:rPr>
      </w:pPr>
      <w:r>
        <w:rPr>
          <w:rFonts w:ascii="宋体" w:hAnsi="宋体"/>
          <w:sz w:val="24"/>
        </w:rPr>
        <w:t xml:space="preserve">9.2.3 </w:t>
      </w:r>
      <w:r>
        <w:rPr>
          <w:rFonts w:hint="eastAsia" w:ascii="宋体" w:hAnsi="宋体"/>
          <w:sz w:val="24"/>
        </w:rPr>
        <w:t>安全控制程序</w:t>
      </w:r>
    </w:p>
    <w:p>
      <w:pPr>
        <w:spacing w:line="360" w:lineRule="auto"/>
        <w:rPr>
          <w:rFonts w:ascii="宋体"/>
          <w:sz w:val="24"/>
        </w:rPr>
      </w:pPr>
    </w:p>
    <w:p>
      <w:pPr>
        <w:spacing w:line="360" w:lineRule="auto"/>
        <w:jc w:val="center"/>
        <w:rPr>
          <w:rFonts w:ascii="宋体"/>
          <w:sz w:val="24"/>
        </w:rPr>
      </w:pPr>
      <w:r>
        <w:rPr>
          <w:rFonts w:hint="eastAsia" w:ascii="宋体" w:hAnsi="宋体"/>
          <w:sz w:val="24"/>
        </w:rPr>
        <w:object>
          <v:shape id="_x0000_i1027" o:spt="75" type="#_x0000_t75" style="height:607.25pt;width:438.1pt;" o:ole="t" filled="f" o:preferrelative="t" stroked="f" coordsize="21600,21600">
            <v:path/>
            <v:fill on="f" focussize="0,0"/>
            <v:stroke on="f" joinstyle="miter"/>
            <v:imagedata r:id="rId15" o:title=""/>
            <o:lock v:ext="edit" aspectratio="t"/>
            <w10:wrap type="none"/>
            <w10:anchorlock/>
          </v:shape>
          <o:OLEObject Type="Embed" ProgID="Word.Picture.8" ShapeID="_x0000_i1027" DrawAspect="Content" ObjectID="_1468075727" r:id="rId14">
            <o:LockedField>false</o:LockedField>
          </o:OLEObject>
        </w:objec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r>
        <w:rPr>
          <w:rFonts w:ascii="宋体" w:hAnsi="宋体"/>
          <w:sz w:val="24"/>
        </w:rPr>
        <w:t xml:space="preserve">9.2.4 </w:t>
      </w:r>
      <w:r>
        <w:rPr>
          <w:rFonts w:hint="eastAsia" w:ascii="宋体" w:hAnsi="宋体"/>
          <w:sz w:val="24"/>
        </w:rPr>
        <w:t>投资控制程序</w:t>
      </w:r>
    </w:p>
    <w:p>
      <w:pPr>
        <w:spacing w:line="360" w:lineRule="auto"/>
        <w:rPr>
          <w:rFonts w:ascii="宋体"/>
          <w:sz w:val="24"/>
        </w:rPr>
      </w:pPr>
    </w:p>
    <w:p>
      <w:pPr>
        <w:spacing w:line="360" w:lineRule="auto"/>
        <w:jc w:val="center"/>
        <w:rPr>
          <w:rFonts w:ascii="宋体"/>
          <w:sz w:val="24"/>
        </w:rPr>
      </w:pPr>
      <w:r>
        <w:rPr>
          <w:rFonts w:hint="eastAsia" w:ascii="宋体" w:hAnsi="宋体"/>
          <w:color w:val="000000"/>
          <w:sz w:val="24"/>
        </w:rPr>
        <w:object>
          <v:shape id="_x0000_i1028" o:spt="75" type="#_x0000_t75" style="height:598.4pt;width:430.65pt;" o:ole="t" fillcolor="#000005" filled="f" o:preferrelative="t" stroked="f" coordsize="21600,21600">
            <v:path/>
            <v:fill on="f" focussize="0,0"/>
            <v:stroke on="f" joinstyle="miter"/>
            <v:imagedata r:id="rId17" o:title=""/>
            <o:lock v:ext="edit" aspectratio="t"/>
            <w10:wrap type="none"/>
            <w10:anchorlock/>
          </v:shape>
          <o:OLEObject Type="Embed" ProgID="Word.Picture.8" ShapeID="_x0000_i1028" DrawAspect="Content" ObjectID="_1468075728" r:id="rId16">
            <o:LockedField>false</o:LockedField>
          </o:OLEObject>
        </w:objec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r>
        <w:rPr>
          <w:rFonts w:ascii="宋体" w:hAnsi="宋体"/>
          <w:sz w:val="24"/>
        </w:rPr>
        <w:t xml:space="preserve">9.2.5 </w:t>
      </w:r>
      <w:r>
        <w:rPr>
          <w:rFonts w:hint="eastAsia" w:ascii="宋体" w:hAnsi="宋体"/>
          <w:sz w:val="24"/>
        </w:rPr>
        <w:t>开工申请控制程序</w:t>
      </w:r>
    </w:p>
    <w:p>
      <w:pPr>
        <w:spacing w:line="360" w:lineRule="auto"/>
        <w:rPr>
          <w:rFonts w:ascii="宋体"/>
          <w:sz w:val="24"/>
        </w:rPr>
      </w:pPr>
      <w:r>
        <w:pict>
          <v:shape id="_x0000_s1026" o:spid="_x0000_s1026" o:spt="75" type="#_x0000_t75" style="position:absolute;left:0pt;margin-left:21pt;margin-top:7.8pt;height:656.1pt;width:396.75pt;mso-wrap-distance-bottom:0pt;mso-wrap-distance-left:9pt;mso-wrap-distance-right:9pt;mso-wrap-distance-top:0pt;z-index:251662336;mso-width-relative:page;mso-height-relative:page;" o:ole="t" filled="f" o:preferrelative="t" stroked="f" coordsize="21600,21600">
            <v:path/>
            <v:fill on="f" focussize="0,0"/>
            <v:stroke on="f" joinstyle="miter"/>
            <v:imagedata r:id="rId19" o:title=""/>
            <o:lock v:ext="edit" aspectratio="t"/>
            <w10:wrap type="square" side="right"/>
          </v:shape>
          <o:OLEObject Type="Embed" ProgID="Word.Picture.8" ShapeID="_x0000_s1026" DrawAspect="Content" ObjectID="_1468075729" r:id="rId18">
            <o:LockedField>false</o:LockedField>
          </o:OLEObject>
        </w:pict>
      </w:r>
      <w:r>
        <w:rPr>
          <w:rFonts w:hint="eastAsia" w:ascii="宋体"/>
          <w:sz w:val="24"/>
        </w:rPr>
        <w:t xml:space="preserve"> </w:t>
      </w:r>
    </w:p>
    <w:p>
      <w:pPr>
        <w:spacing w:line="360" w:lineRule="auto"/>
        <w:rPr>
          <w:rFonts w:ascii="宋体"/>
          <w:sz w:val="24"/>
        </w:rPr>
        <w:sectPr>
          <w:footerReference r:id="rId4" w:type="default"/>
          <w:pgSz w:w="11906" w:h="16838"/>
          <w:pgMar w:top="1134" w:right="964" w:bottom="1134" w:left="1361" w:header="851" w:footer="992" w:gutter="0"/>
          <w:pgNumType w:start="1" w:chapStyle="1"/>
          <w:cols w:space="425" w:num="1"/>
          <w:docGrid w:type="lines" w:linePitch="312" w:charSpace="0"/>
        </w:sectPr>
      </w:pPr>
    </w:p>
    <w:p>
      <w:pPr>
        <w:spacing w:line="360" w:lineRule="auto"/>
        <w:rPr>
          <w:rFonts w:ascii="宋体"/>
          <w:sz w:val="24"/>
        </w:rPr>
      </w:pPr>
      <w:r>
        <w:rPr>
          <w:rFonts w:ascii="宋体" w:hAnsi="宋体"/>
          <w:sz w:val="24"/>
        </w:rPr>
        <w:t>9.2.6</w:t>
      </w:r>
      <w:r>
        <w:rPr>
          <w:rFonts w:hint="eastAsia" w:ascii="宋体" w:hAnsi="宋体"/>
          <w:sz w:val="24"/>
        </w:rPr>
        <w:t>隐蔽、分项、分部工程、预验收验收程序</w:t>
      </w:r>
    </w:p>
    <w:p>
      <w:pPr>
        <w:spacing w:line="360" w:lineRule="auto"/>
        <w:rPr>
          <w:rFonts w:ascii="宋体" w:hAnsi="宋体"/>
          <w:sz w:val="24"/>
        </w:rPr>
      </w:pPr>
      <w:r>
        <w:rPr>
          <w:rFonts w:ascii="宋体" w:hAnsi="宋体"/>
          <w:sz w:val="24"/>
        </w:rPr>
        <w:t xml:space="preserve"> </w:t>
      </w:r>
    </w:p>
    <w:p>
      <w:pPr>
        <w:spacing w:line="360" w:lineRule="auto"/>
        <w:rPr>
          <w:rFonts w:ascii="宋体"/>
          <w:sz w:val="24"/>
        </w:rPr>
      </w:pPr>
      <w:r>
        <w:rPr>
          <w:rFonts w:ascii="宋体" w:hAnsi="宋体"/>
          <w:sz w:val="24"/>
        </w:rPr>
        <w:t xml:space="preserve">    </w:t>
      </w:r>
      <w:r>
        <w:rPr>
          <w:rFonts w:hint="eastAsia" w:ascii="宋体" w:hAnsi="宋体"/>
          <w:sz w:val="24"/>
        </w:rPr>
        <w:object>
          <v:shape id="_x0000_i1029" o:spt="75" type="#_x0000_t75" style="height:616.75pt;width:327.75pt;" o:ole="t" filled="f" o:preferrelative="t" stroked="f" coordsize="21600,21600">
            <v:path/>
            <v:fill on="f" focussize="0,0"/>
            <v:stroke on="f" joinstyle="miter"/>
            <v:imagedata r:id="rId21" o:title=""/>
            <o:lock v:ext="edit" aspectratio="t"/>
            <w10:wrap type="none"/>
            <w10:anchorlock/>
          </v:shape>
          <o:OLEObject Type="Embed" ProgID="Word.Picture.8" ShapeID="_x0000_i1029" DrawAspect="Content" ObjectID="_1468075730" r:id="rId20">
            <o:LockedField>false</o:LockedField>
          </o:OLEObject>
        </w:object>
      </w:r>
    </w:p>
    <w:p>
      <w:pPr>
        <w:tabs>
          <w:tab w:val="left" w:pos="0"/>
          <w:tab w:val="left" w:pos="1080"/>
        </w:tabs>
        <w:spacing w:line="360" w:lineRule="auto"/>
        <w:rPr>
          <w:rFonts w:ascii="宋体"/>
          <w:sz w:val="24"/>
          <w:szCs w:val="24"/>
        </w:rPr>
      </w:pPr>
    </w:p>
    <w:p/>
    <w:sectPr>
      <w:footerReference r:id="rId8" w:type="first"/>
      <w:headerReference r:id="rId5" w:type="default"/>
      <w:footerReference r:id="rId6" w:type="default"/>
      <w:footerReference r:id="rId7" w:type="even"/>
      <w:pgSz w:w="11906" w:h="16838"/>
      <w:pgMar w:top="1134" w:right="1134" w:bottom="1134"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pPr>
      <w:pStyle w:val="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MGM3ZWUwZTE1MTZiMTkwOTk0NDJmYTRjMzcwYzUifQ=="/>
  </w:docVars>
  <w:rsids>
    <w:rsidRoot w:val="00000000"/>
    <w:rsid w:val="00BE1545"/>
    <w:rsid w:val="00D03026"/>
    <w:rsid w:val="00FC02BF"/>
    <w:rsid w:val="019F1377"/>
    <w:rsid w:val="01EC5C3E"/>
    <w:rsid w:val="02820350"/>
    <w:rsid w:val="029C1412"/>
    <w:rsid w:val="030516AD"/>
    <w:rsid w:val="03323B24"/>
    <w:rsid w:val="043F474B"/>
    <w:rsid w:val="04ED064B"/>
    <w:rsid w:val="05235E1B"/>
    <w:rsid w:val="05665D07"/>
    <w:rsid w:val="05942874"/>
    <w:rsid w:val="06193AFD"/>
    <w:rsid w:val="061B11E8"/>
    <w:rsid w:val="061B2F96"/>
    <w:rsid w:val="06624721"/>
    <w:rsid w:val="06A05249"/>
    <w:rsid w:val="07342561"/>
    <w:rsid w:val="07416A2C"/>
    <w:rsid w:val="09FB55B8"/>
    <w:rsid w:val="0A894972"/>
    <w:rsid w:val="0A9E7CF1"/>
    <w:rsid w:val="0AAB0D8C"/>
    <w:rsid w:val="0AB15C77"/>
    <w:rsid w:val="0B354AFA"/>
    <w:rsid w:val="0B663CE2"/>
    <w:rsid w:val="0B6B051B"/>
    <w:rsid w:val="0BFD111B"/>
    <w:rsid w:val="0C0462D7"/>
    <w:rsid w:val="0C5114BF"/>
    <w:rsid w:val="0C9615C8"/>
    <w:rsid w:val="0C9B273A"/>
    <w:rsid w:val="0CFD33F5"/>
    <w:rsid w:val="0E056A05"/>
    <w:rsid w:val="0FF46D31"/>
    <w:rsid w:val="10260EB5"/>
    <w:rsid w:val="107C6D27"/>
    <w:rsid w:val="108C214B"/>
    <w:rsid w:val="11F50B3F"/>
    <w:rsid w:val="122356AC"/>
    <w:rsid w:val="12483364"/>
    <w:rsid w:val="12EB3CF0"/>
    <w:rsid w:val="12F157AA"/>
    <w:rsid w:val="131274CE"/>
    <w:rsid w:val="13C00FAB"/>
    <w:rsid w:val="13E62E35"/>
    <w:rsid w:val="14667AD2"/>
    <w:rsid w:val="14771CDF"/>
    <w:rsid w:val="14E05AD6"/>
    <w:rsid w:val="15190FE8"/>
    <w:rsid w:val="1571672E"/>
    <w:rsid w:val="159468C1"/>
    <w:rsid w:val="16E96798"/>
    <w:rsid w:val="17261B30"/>
    <w:rsid w:val="1732013F"/>
    <w:rsid w:val="1768590F"/>
    <w:rsid w:val="19430B4A"/>
    <w:rsid w:val="1981715C"/>
    <w:rsid w:val="19FB2A6A"/>
    <w:rsid w:val="1A0C4C78"/>
    <w:rsid w:val="1A18186E"/>
    <w:rsid w:val="1A461F1D"/>
    <w:rsid w:val="1AE71241"/>
    <w:rsid w:val="1BC25F36"/>
    <w:rsid w:val="1C580648"/>
    <w:rsid w:val="1C5B1EE6"/>
    <w:rsid w:val="1C6C7C4F"/>
    <w:rsid w:val="1D570900"/>
    <w:rsid w:val="1D5C7CC4"/>
    <w:rsid w:val="1E004AF3"/>
    <w:rsid w:val="1E380731"/>
    <w:rsid w:val="1EC21DA9"/>
    <w:rsid w:val="1F3F33F9"/>
    <w:rsid w:val="1FFC578E"/>
    <w:rsid w:val="207D242B"/>
    <w:rsid w:val="20D109C9"/>
    <w:rsid w:val="20E406FC"/>
    <w:rsid w:val="21274A8D"/>
    <w:rsid w:val="21717AB6"/>
    <w:rsid w:val="221E7C3E"/>
    <w:rsid w:val="22943A5C"/>
    <w:rsid w:val="23887A65"/>
    <w:rsid w:val="238E494F"/>
    <w:rsid w:val="23A81EB5"/>
    <w:rsid w:val="23E615CB"/>
    <w:rsid w:val="246758CC"/>
    <w:rsid w:val="249917FE"/>
    <w:rsid w:val="24A02B8C"/>
    <w:rsid w:val="24E018AC"/>
    <w:rsid w:val="2533755C"/>
    <w:rsid w:val="259F2E44"/>
    <w:rsid w:val="25D56865"/>
    <w:rsid w:val="261F5032"/>
    <w:rsid w:val="270F3FF9"/>
    <w:rsid w:val="278C73F8"/>
    <w:rsid w:val="27BF77CD"/>
    <w:rsid w:val="29596B24"/>
    <w:rsid w:val="2A524929"/>
    <w:rsid w:val="2ACD2201"/>
    <w:rsid w:val="2B084FE7"/>
    <w:rsid w:val="2B597F39"/>
    <w:rsid w:val="2C4B5AD3"/>
    <w:rsid w:val="2CAD22EA"/>
    <w:rsid w:val="2CBF5B79"/>
    <w:rsid w:val="2D9B2143"/>
    <w:rsid w:val="2DE10AA4"/>
    <w:rsid w:val="2E440A2C"/>
    <w:rsid w:val="2E9372BE"/>
    <w:rsid w:val="2F430CE4"/>
    <w:rsid w:val="2F5702EB"/>
    <w:rsid w:val="2F875074"/>
    <w:rsid w:val="2FA33530"/>
    <w:rsid w:val="30055F99"/>
    <w:rsid w:val="31271B1C"/>
    <w:rsid w:val="31BA4F9E"/>
    <w:rsid w:val="31E71DFA"/>
    <w:rsid w:val="31ED3189"/>
    <w:rsid w:val="31F77B64"/>
    <w:rsid w:val="320A3D3B"/>
    <w:rsid w:val="320F4EAD"/>
    <w:rsid w:val="32DD31FD"/>
    <w:rsid w:val="338B1FE9"/>
    <w:rsid w:val="338D69D1"/>
    <w:rsid w:val="33EA3E24"/>
    <w:rsid w:val="34056568"/>
    <w:rsid w:val="34C55C52"/>
    <w:rsid w:val="35E548A3"/>
    <w:rsid w:val="3639699D"/>
    <w:rsid w:val="366559E4"/>
    <w:rsid w:val="37337890"/>
    <w:rsid w:val="37B81B43"/>
    <w:rsid w:val="386C3059"/>
    <w:rsid w:val="39561614"/>
    <w:rsid w:val="39673821"/>
    <w:rsid w:val="39A700C1"/>
    <w:rsid w:val="39E9692C"/>
    <w:rsid w:val="3A6A181A"/>
    <w:rsid w:val="3B284A6A"/>
    <w:rsid w:val="3B471B5C"/>
    <w:rsid w:val="3B5C4740"/>
    <w:rsid w:val="3C4816E7"/>
    <w:rsid w:val="3CAD36E0"/>
    <w:rsid w:val="3D204412"/>
    <w:rsid w:val="3D7F55DD"/>
    <w:rsid w:val="3DBD6105"/>
    <w:rsid w:val="3E4405D4"/>
    <w:rsid w:val="3E6D18D9"/>
    <w:rsid w:val="3E9F580B"/>
    <w:rsid w:val="3EEB27FE"/>
    <w:rsid w:val="3F577E93"/>
    <w:rsid w:val="402D7572"/>
    <w:rsid w:val="40A86BF9"/>
    <w:rsid w:val="40BA692C"/>
    <w:rsid w:val="40E165AE"/>
    <w:rsid w:val="412546ED"/>
    <w:rsid w:val="414A4154"/>
    <w:rsid w:val="423B584A"/>
    <w:rsid w:val="432D5ADB"/>
    <w:rsid w:val="439E731D"/>
    <w:rsid w:val="43D9356D"/>
    <w:rsid w:val="43FE2FD4"/>
    <w:rsid w:val="441D5B50"/>
    <w:rsid w:val="44896D41"/>
    <w:rsid w:val="45D16BF2"/>
    <w:rsid w:val="468123C6"/>
    <w:rsid w:val="475353E4"/>
    <w:rsid w:val="48CC544E"/>
    <w:rsid w:val="49282FCC"/>
    <w:rsid w:val="49AD34D2"/>
    <w:rsid w:val="4A1C41B3"/>
    <w:rsid w:val="4A6E0EB3"/>
    <w:rsid w:val="4AA22801"/>
    <w:rsid w:val="4ADA20A4"/>
    <w:rsid w:val="4C371778"/>
    <w:rsid w:val="4C6562E6"/>
    <w:rsid w:val="4CAE1A3B"/>
    <w:rsid w:val="4CB70101"/>
    <w:rsid w:val="4D20220D"/>
    <w:rsid w:val="4D764D85"/>
    <w:rsid w:val="4D785BA5"/>
    <w:rsid w:val="4DC40DEA"/>
    <w:rsid w:val="4DF74D1B"/>
    <w:rsid w:val="4E08517B"/>
    <w:rsid w:val="4F820F5D"/>
    <w:rsid w:val="50B25872"/>
    <w:rsid w:val="50E84DEF"/>
    <w:rsid w:val="510F4A72"/>
    <w:rsid w:val="514209A3"/>
    <w:rsid w:val="515E50B1"/>
    <w:rsid w:val="51FA0C70"/>
    <w:rsid w:val="52707792"/>
    <w:rsid w:val="52720E14"/>
    <w:rsid w:val="52974D1F"/>
    <w:rsid w:val="534A1D91"/>
    <w:rsid w:val="536D782E"/>
    <w:rsid w:val="536F7A4A"/>
    <w:rsid w:val="53B65679"/>
    <w:rsid w:val="54161C73"/>
    <w:rsid w:val="546155E5"/>
    <w:rsid w:val="54AD4386"/>
    <w:rsid w:val="54EF0E42"/>
    <w:rsid w:val="55C0458D"/>
    <w:rsid w:val="55F34962"/>
    <w:rsid w:val="56650372"/>
    <w:rsid w:val="573C5E95"/>
    <w:rsid w:val="59DE4FE1"/>
    <w:rsid w:val="5A272E2C"/>
    <w:rsid w:val="5AA17C5B"/>
    <w:rsid w:val="5B0D3DD0"/>
    <w:rsid w:val="5B286E5C"/>
    <w:rsid w:val="5C384E7D"/>
    <w:rsid w:val="5D380EAD"/>
    <w:rsid w:val="5D3F73CD"/>
    <w:rsid w:val="5E3646E2"/>
    <w:rsid w:val="5EFD0600"/>
    <w:rsid w:val="5F7A57AC"/>
    <w:rsid w:val="5FC829BC"/>
    <w:rsid w:val="6008725C"/>
    <w:rsid w:val="6062071A"/>
    <w:rsid w:val="60AD570E"/>
    <w:rsid w:val="60BF20EF"/>
    <w:rsid w:val="61113EEE"/>
    <w:rsid w:val="6162299C"/>
    <w:rsid w:val="61A66D2D"/>
    <w:rsid w:val="61C15914"/>
    <w:rsid w:val="61CB6793"/>
    <w:rsid w:val="626F35C2"/>
    <w:rsid w:val="62CC4571"/>
    <w:rsid w:val="63AD6150"/>
    <w:rsid w:val="63BC2837"/>
    <w:rsid w:val="63C811DC"/>
    <w:rsid w:val="63F0603D"/>
    <w:rsid w:val="644D16E1"/>
    <w:rsid w:val="644F0FB6"/>
    <w:rsid w:val="64923598"/>
    <w:rsid w:val="6573035A"/>
    <w:rsid w:val="65C77271"/>
    <w:rsid w:val="6603474E"/>
    <w:rsid w:val="66D25ECE"/>
    <w:rsid w:val="670C7632"/>
    <w:rsid w:val="671958AB"/>
    <w:rsid w:val="67204E8B"/>
    <w:rsid w:val="672A2BB2"/>
    <w:rsid w:val="68264723"/>
    <w:rsid w:val="68817BAC"/>
    <w:rsid w:val="68A815DC"/>
    <w:rsid w:val="69872FA0"/>
    <w:rsid w:val="69AA4EE0"/>
    <w:rsid w:val="6A8B2F63"/>
    <w:rsid w:val="6AA47B81"/>
    <w:rsid w:val="6ACD532A"/>
    <w:rsid w:val="6AD77F57"/>
    <w:rsid w:val="6B2111D2"/>
    <w:rsid w:val="6B476E8A"/>
    <w:rsid w:val="6BAC13E3"/>
    <w:rsid w:val="6BC04E8F"/>
    <w:rsid w:val="6C101972"/>
    <w:rsid w:val="6C327B3B"/>
    <w:rsid w:val="6C4258A4"/>
    <w:rsid w:val="6C9C1458"/>
    <w:rsid w:val="6CFA617E"/>
    <w:rsid w:val="6D0D5EB2"/>
    <w:rsid w:val="6D6C595F"/>
    <w:rsid w:val="6DBD1686"/>
    <w:rsid w:val="6DC76061"/>
    <w:rsid w:val="6DDB1B0C"/>
    <w:rsid w:val="6EDF562C"/>
    <w:rsid w:val="6F5E0C47"/>
    <w:rsid w:val="6F9E1043"/>
    <w:rsid w:val="6FAB550E"/>
    <w:rsid w:val="6FD42CB7"/>
    <w:rsid w:val="6FE078AE"/>
    <w:rsid w:val="707F2C23"/>
    <w:rsid w:val="70D80585"/>
    <w:rsid w:val="71000205"/>
    <w:rsid w:val="71704C61"/>
    <w:rsid w:val="729F57FE"/>
    <w:rsid w:val="72AF5315"/>
    <w:rsid w:val="72C94629"/>
    <w:rsid w:val="72FB055A"/>
    <w:rsid w:val="73467A28"/>
    <w:rsid w:val="73F531FC"/>
    <w:rsid w:val="741B0EB4"/>
    <w:rsid w:val="746F2562"/>
    <w:rsid w:val="75022074"/>
    <w:rsid w:val="752D18BD"/>
    <w:rsid w:val="75B25848"/>
    <w:rsid w:val="76746FA2"/>
    <w:rsid w:val="768216BE"/>
    <w:rsid w:val="77AE3DED"/>
    <w:rsid w:val="78EF46BD"/>
    <w:rsid w:val="79246A5D"/>
    <w:rsid w:val="792678D5"/>
    <w:rsid w:val="796B01E8"/>
    <w:rsid w:val="79CE0777"/>
    <w:rsid w:val="7A3F3423"/>
    <w:rsid w:val="7A835A05"/>
    <w:rsid w:val="7B0408F4"/>
    <w:rsid w:val="7B7C4818"/>
    <w:rsid w:val="7CED7166"/>
    <w:rsid w:val="7CFB7AD5"/>
    <w:rsid w:val="7D11554A"/>
    <w:rsid w:val="7DFF53A3"/>
    <w:rsid w:val="7E4B05E8"/>
    <w:rsid w:val="7EB10D93"/>
    <w:rsid w:val="7EB63962"/>
    <w:rsid w:val="7F0A04A3"/>
    <w:rsid w:val="7F1615DE"/>
    <w:rsid w:val="7FA501CC"/>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4"/>
    <w:qFormat/>
    <w:uiPriority w:val="99"/>
    <w:pPr>
      <w:spacing w:line="480" w:lineRule="auto"/>
      <w:outlineLvl w:val="0"/>
    </w:pPr>
    <w:rPr>
      <w:b/>
      <w:sz w:val="28"/>
    </w:rPr>
  </w:style>
  <w:style w:type="paragraph" w:styleId="4">
    <w:name w:val="heading 2"/>
    <w:basedOn w:val="1"/>
    <w:next w:val="1"/>
    <w:autoRedefine/>
    <w:qFormat/>
    <w:uiPriority w:val="0"/>
    <w:pPr>
      <w:keepNext/>
      <w:keepLines/>
      <w:adjustRightInd w:val="0"/>
      <w:spacing w:before="120" w:after="120"/>
      <w:jc w:val="center"/>
      <w:textAlignment w:val="baseline"/>
      <w:outlineLvl w:val="1"/>
    </w:pPr>
    <w:rPr>
      <w:rFonts w:hAnsi="宋体"/>
      <w:b/>
      <w:color w:val="000000"/>
      <w:sz w:val="32"/>
    </w:rPr>
  </w:style>
  <w:style w:type="character" w:default="1" w:styleId="10">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Plain Text"/>
    <w:basedOn w:val="1"/>
    <w:unhideWhenUsed/>
    <w:qFormat/>
    <w:uiPriority w:val="99"/>
    <w:rPr>
      <w:rFonts w:ascii="宋体" w:hAnsi="Courier New"/>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style>
  <w:style w:type="character" w:styleId="11">
    <w:name w:val="page number"/>
    <w:basedOn w:val="10"/>
    <w:qFormat/>
    <w:uiPriority w:val="99"/>
    <w:rPr>
      <w:rFonts w:cs="Times New Roman"/>
    </w:rPr>
  </w:style>
  <w:style w:type="character" w:styleId="12">
    <w:name w:val="Hyperlink"/>
    <w:basedOn w:val="10"/>
    <w:qFormat/>
    <w:uiPriority w:val="99"/>
    <w:rPr>
      <w:rFonts w:cs="Times New Roman"/>
      <w:color w:val="0000FF"/>
      <w:u w:val="single"/>
    </w:rPr>
  </w:style>
  <w:style w:type="character" w:customStyle="1" w:styleId="13">
    <w:name w:val="answer_t"/>
    <w:basedOn w:val="10"/>
    <w:qFormat/>
    <w:uiPriority w:val="99"/>
    <w:rPr>
      <w:rFonts w:cs="Times New Roman"/>
    </w:rPr>
  </w:style>
  <w:style w:type="character" w:customStyle="1" w:styleId="14">
    <w:name w:val="标题 1 字符"/>
    <w:basedOn w:val="10"/>
    <w:link w:val="3"/>
    <w:qFormat/>
    <w:locked/>
    <w:uiPriority w:val="99"/>
    <w:rPr>
      <w:b/>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6.e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9661</Words>
  <Characters>11001</Characters>
  <Lines>0</Lines>
  <Paragraphs>0</Paragraphs>
  <TotalTime>0</TotalTime>
  <ScaleCrop>false</ScaleCrop>
  <LinksUpToDate>false</LinksUpToDate>
  <CharactersWithSpaces>11278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2024-03-17T09:10:02Z</cp:lastPrinted>
  <dcterms:modified xsi:type="dcterms:W3CDTF">2024-03-17T10:11:53Z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2A4DD786AB084C58AE56560B3E4B80FF</vt:lpwstr>
  </property>
</Properties>
</file>