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CB193D">
      <w:pPr>
        <w:tabs>
          <w:tab w:val="left" w:pos="1192"/>
        </w:tabs>
        <w:bidi w:val="0"/>
        <w:spacing w:line="360" w:lineRule="auto"/>
        <w:ind w:firstLine="3600" w:firstLineChars="15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anchor distT="0" distB="0" distL="114300" distR="114300" simplePos="0" relativeHeight="251660288" behindDoc="0" locked="0" layoutInCell="1" allowOverlap="1">
            <wp:simplePos x="0" y="0"/>
            <wp:positionH relativeFrom="column">
              <wp:posOffset>-2091690</wp:posOffset>
            </wp:positionH>
            <wp:positionV relativeFrom="paragraph">
              <wp:posOffset>-316865</wp:posOffset>
            </wp:positionV>
            <wp:extent cx="10076815" cy="10514330"/>
            <wp:effectExtent l="0" t="0" r="6985" b="1270"/>
            <wp:wrapNone/>
            <wp:docPr id="3" name="图片 3" descr="d9bbdb7e4e5e5f30f12bd74233106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9bbdb7e4e5e5f30f12bd74233106ff"/>
                    <pic:cNvPicPr>
                      <a:picLocks noChangeAspect="1"/>
                    </pic:cNvPicPr>
                  </pic:nvPicPr>
                  <pic:blipFill>
                    <a:blip r:embed="rId7"/>
                    <a:stretch>
                      <a:fillRect/>
                    </a:stretch>
                  </pic:blipFill>
                  <pic:spPr>
                    <a:xfrm>
                      <a:off x="0" y="0"/>
                      <a:ext cx="10076815" cy="10514330"/>
                    </a:xfrm>
                    <a:prstGeom prst="rect">
                      <a:avLst/>
                    </a:prstGeom>
                  </pic:spPr>
                </pic:pic>
              </a:graphicData>
            </a:graphic>
          </wp:anchor>
        </w:drawing>
      </w:r>
      <w:r>
        <w:rPr>
          <w:rFonts w:hint="eastAsia" w:ascii="宋体" w:hAnsi="宋体" w:eastAsia="宋体" w:cs="宋体"/>
          <w:sz w:val="24"/>
          <w:szCs w:val="24"/>
          <w:lang w:val="en-US" w:eastAsia="zh-CN"/>
        </w:rPr>
        <w:drawing>
          <wp:anchor distT="0" distB="0" distL="114300" distR="114300" simplePos="0" relativeHeight="251659264" behindDoc="0" locked="0" layoutInCell="1" allowOverlap="1">
            <wp:simplePos x="0" y="0"/>
            <wp:positionH relativeFrom="column">
              <wp:posOffset>7016750</wp:posOffset>
            </wp:positionH>
            <wp:positionV relativeFrom="paragraph">
              <wp:posOffset>-530860</wp:posOffset>
            </wp:positionV>
            <wp:extent cx="7615555" cy="10767695"/>
            <wp:effectExtent l="0" t="0" r="4445" b="1905"/>
            <wp:wrapNone/>
            <wp:docPr id="2" name="图片 2" descr="f04165349388224a5540bd0072430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04165349388224a5540bd0072430d2"/>
                    <pic:cNvPicPr>
                      <a:picLocks noChangeAspect="1"/>
                    </pic:cNvPicPr>
                  </pic:nvPicPr>
                  <pic:blipFill>
                    <a:blip r:embed="rId8"/>
                    <a:stretch>
                      <a:fillRect/>
                    </a:stretch>
                  </pic:blipFill>
                  <pic:spPr>
                    <a:xfrm>
                      <a:off x="0" y="0"/>
                      <a:ext cx="7615555" cy="10767695"/>
                    </a:xfrm>
                    <a:prstGeom prst="rect">
                      <a:avLst/>
                    </a:prstGeom>
                  </pic:spPr>
                </pic:pic>
              </a:graphicData>
            </a:graphic>
          </wp:anchor>
        </w:drawing>
      </w:r>
    </w:p>
    <w:p w14:paraId="3F8BC44E">
      <w:pPr>
        <w:tabs>
          <w:tab w:val="left" w:pos="1192"/>
        </w:tabs>
        <w:bidi w:val="0"/>
        <w:ind w:firstLine="4200" w:firstLineChars="1500"/>
        <w:jc w:val="left"/>
        <w:rPr>
          <w:rFonts w:hint="eastAsia"/>
          <w:sz w:val="28"/>
          <w:szCs w:val="36"/>
          <w:lang w:val="en-US" w:eastAsia="zh-CN"/>
        </w:rPr>
        <w:sectPr>
          <w:headerReference r:id="rId3" w:type="default"/>
          <w:footerReference r:id="rId4" w:type="default"/>
          <w:pgSz w:w="11906" w:h="16838"/>
          <w:pgMar w:top="933" w:right="964" w:bottom="1077" w:left="1304" w:header="779" w:footer="992" w:gutter="0"/>
          <w:pgNumType w:fmt="decimal" w:start="0"/>
          <w:cols w:space="720" w:num="1"/>
          <w:docGrid w:type="lines" w:linePitch="312" w:charSpace="0"/>
        </w:sectPr>
      </w:pPr>
    </w:p>
    <w:p w14:paraId="7DE31343">
      <w:pPr>
        <w:pStyle w:val="59"/>
        <w:spacing w:before="0" w:after="0" w:line="360" w:lineRule="auto"/>
        <w:outlineLvl w:val="0"/>
        <w:rPr>
          <w:rFonts w:hint="eastAsia" w:ascii="宋体" w:hAnsi="宋体" w:eastAsia="宋体" w:cs="宋体"/>
          <w:sz w:val="32"/>
          <w:szCs w:val="32"/>
        </w:rPr>
      </w:pPr>
      <w:bookmarkStart w:id="0" w:name="_Toc299183610"/>
      <w:r>
        <w:rPr>
          <w:rFonts w:hint="eastAsia" w:ascii="宋体" w:hAnsi="宋体" w:eastAsia="宋体" w:cs="宋体"/>
          <w:sz w:val="32"/>
          <w:szCs w:val="32"/>
          <w:lang w:eastAsia="zh-CN"/>
        </w:rPr>
        <w:t>一、</w:t>
      </w:r>
      <w:r>
        <w:rPr>
          <w:rFonts w:hint="eastAsia" w:ascii="宋体" w:hAnsi="宋体" w:eastAsia="宋体" w:cs="宋体"/>
          <w:sz w:val="32"/>
          <w:szCs w:val="32"/>
        </w:rPr>
        <w:t>概述</w:t>
      </w:r>
      <w:bookmarkEnd w:id="0"/>
      <w:bookmarkStart w:id="110" w:name="_GoBack"/>
      <w:bookmarkEnd w:id="110"/>
    </w:p>
    <w:p w14:paraId="4AC63BF3">
      <w:pPr>
        <w:ind w:firstLine="720" w:firstLineChars="300"/>
        <w:contextualSpacing/>
        <w:rPr>
          <w:rFonts w:hint="eastAsia" w:ascii="宋体" w:hAnsi="宋体" w:cs="宋体"/>
          <w:sz w:val="24"/>
          <w:szCs w:val="24"/>
          <w:highlight w:val="none"/>
          <w:lang w:val="en-US" w:eastAsia="zh-CN"/>
        </w:rPr>
      </w:pPr>
      <w:bookmarkStart w:id="1" w:name="_Toc129377943"/>
      <w:bookmarkStart w:id="2" w:name="_Toc21140809"/>
      <w:bookmarkStart w:id="3" w:name="_Toc174614942"/>
      <w:bookmarkStart w:id="4" w:name="_Toc161147649"/>
      <w:bookmarkStart w:id="5" w:name="_Toc299183611"/>
      <w:bookmarkStart w:id="6" w:name="_Toc174874762"/>
      <w:bookmarkStart w:id="7" w:name="_Toc175568616"/>
      <w:bookmarkStart w:id="8" w:name="_Toc174604252"/>
      <w:bookmarkStart w:id="9" w:name="_Toc176150582"/>
      <w:bookmarkStart w:id="10" w:name="_Toc20880889"/>
      <w:bookmarkStart w:id="11" w:name="_Toc129096794"/>
      <w:bookmarkStart w:id="12" w:name="_Toc20475872"/>
      <w:bookmarkStart w:id="13" w:name="_Toc299021730"/>
      <w:r>
        <w:rPr>
          <w:rFonts w:hint="eastAsia" w:ascii="宋体" w:hAnsi="宋体" w:cs="宋体"/>
          <w:sz w:val="24"/>
          <w:szCs w:val="24"/>
          <w:highlight w:val="none"/>
          <w:lang w:val="en-US" w:eastAsia="zh-CN"/>
        </w:rPr>
        <w:t xml:space="preserve">工程概况： </w:t>
      </w:r>
      <w:r>
        <w:rPr>
          <w:rFonts w:hint="eastAsia"/>
          <w:sz w:val="24"/>
          <w:szCs w:val="24"/>
        </w:rPr>
        <w:t>本项目为用户侧储能电站项目，项目规划容量为</w:t>
      </w:r>
      <w:r>
        <w:rPr>
          <w:color w:val="000000"/>
          <w:sz w:val="24"/>
          <w:szCs w:val="24"/>
        </w:rPr>
        <w:t>4.8</w:t>
      </w:r>
      <w:r>
        <w:rPr>
          <w:rFonts w:hint="eastAsia"/>
          <w:color w:val="000000"/>
          <w:sz w:val="24"/>
          <w:szCs w:val="24"/>
        </w:rPr>
        <w:t>MW/</w:t>
      </w:r>
      <w:r>
        <w:rPr>
          <w:color w:val="000000"/>
          <w:sz w:val="24"/>
          <w:szCs w:val="24"/>
        </w:rPr>
        <w:t>10.4</w:t>
      </w:r>
      <w:r>
        <w:rPr>
          <w:rFonts w:hint="eastAsia"/>
          <w:color w:val="000000"/>
          <w:sz w:val="24"/>
          <w:szCs w:val="24"/>
        </w:rPr>
        <w:t>MWh</w:t>
      </w:r>
      <w:r>
        <w:rPr>
          <w:rFonts w:hint="eastAsia"/>
          <w:sz w:val="24"/>
          <w:szCs w:val="24"/>
        </w:rPr>
        <w:t xml:space="preserve"> 。</w:t>
      </w:r>
      <w:r>
        <w:rPr>
          <w:rFonts w:hint="eastAsia"/>
          <w:color w:val="000000"/>
          <w:sz w:val="24"/>
          <w:szCs w:val="24"/>
        </w:rPr>
        <w:t>项目按照整体设计、一次建设的原则实施。本项</w:t>
      </w:r>
      <w:r>
        <w:rPr>
          <w:rFonts w:hint="eastAsia"/>
          <w:sz w:val="24"/>
          <w:szCs w:val="24"/>
        </w:rPr>
        <w:t>目建成后主要参与峰谷套利。本项目由集中式储能系统及</w:t>
      </w:r>
      <w:r>
        <w:rPr>
          <w:sz w:val="24"/>
          <w:szCs w:val="24"/>
        </w:rPr>
        <w:t>1</w:t>
      </w:r>
      <w:r>
        <w:rPr>
          <w:rFonts w:hint="eastAsia"/>
          <w:sz w:val="24"/>
          <w:szCs w:val="24"/>
        </w:rPr>
        <w:t>0kV开关站配电</w:t>
      </w:r>
      <w:r>
        <w:rPr>
          <w:sz w:val="24"/>
          <w:szCs w:val="24"/>
        </w:rPr>
        <w:t xml:space="preserve"> </w:t>
      </w:r>
      <w:r>
        <w:rPr>
          <w:rFonts w:hint="eastAsia"/>
          <w:sz w:val="24"/>
          <w:szCs w:val="24"/>
        </w:rPr>
        <w:t>组成。其中锂电池集中式储能系统采用基于磷酸铁锂电芯的电化学储能方案，容量为</w:t>
      </w:r>
      <w:r>
        <w:rPr>
          <w:color w:val="000000"/>
          <w:sz w:val="24"/>
          <w:szCs w:val="24"/>
        </w:rPr>
        <w:t>4.8</w:t>
      </w:r>
      <w:r>
        <w:rPr>
          <w:rFonts w:hint="eastAsia"/>
          <w:color w:val="000000"/>
          <w:sz w:val="24"/>
          <w:szCs w:val="24"/>
        </w:rPr>
        <w:t>MW/</w:t>
      </w:r>
      <w:r>
        <w:rPr>
          <w:color w:val="000000"/>
          <w:sz w:val="24"/>
          <w:szCs w:val="24"/>
        </w:rPr>
        <w:t>10.4</w:t>
      </w:r>
      <w:r>
        <w:rPr>
          <w:rFonts w:hint="eastAsia"/>
          <w:color w:val="000000"/>
          <w:sz w:val="24"/>
          <w:szCs w:val="24"/>
        </w:rPr>
        <w:t>MWh</w:t>
      </w:r>
      <w:r>
        <w:rPr>
          <w:rFonts w:hint="eastAsia"/>
          <w:sz w:val="24"/>
          <w:szCs w:val="24"/>
        </w:rPr>
        <w:t xml:space="preserve"> 集中式储能系统。项目采用新建一座</w:t>
      </w:r>
      <w:r>
        <w:rPr>
          <w:rFonts w:hint="eastAsia"/>
          <w:sz w:val="24"/>
          <w:szCs w:val="24"/>
          <w:highlight w:val="none"/>
        </w:rPr>
        <w:t>开关站,通过</w:t>
      </w:r>
      <w:r>
        <w:rPr>
          <w:sz w:val="24"/>
          <w:szCs w:val="24"/>
          <w:highlight w:val="none"/>
        </w:rPr>
        <w:t>1</w:t>
      </w:r>
      <w:r>
        <w:rPr>
          <w:rFonts w:hint="eastAsia"/>
          <w:sz w:val="24"/>
          <w:szCs w:val="24"/>
          <w:highlight w:val="none"/>
        </w:rPr>
        <w:t>回</w:t>
      </w:r>
      <w:r>
        <w:rPr>
          <w:sz w:val="24"/>
          <w:szCs w:val="24"/>
          <w:highlight w:val="none"/>
        </w:rPr>
        <w:t>1</w:t>
      </w:r>
      <w:r>
        <w:rPr>
          <w:rFonts w:hint="eastAsia"/>
          <w:sz w:val="24"/>
          <w:szCs w:val="24"/>
          <w:highlight w:val="none"/>
        </w:rPr>
        <w:t>0kV线</w:t>
      </w:r>
      <w:r>
        <w:rPr>
          <w:rFonts w:hint="eastAsia"/>
          <w:sz w:val="24"/>
          <w:szCs w:val="24"/>
        </w:rPr>
        <w:t>路接至</w:t>
      </w:r>
      <w:r>
        <w:rPr>
          <w:rFonts w:hint="eastAsia"/>
          <w:color w:val="000000"/>
          <w:sz w:val="24"/>
          <w:szCs w:val="24"/>
        </w:rPr>
        <w:t>绍兴华茂化纤有限公司的原有1</w:t>
      </w:r>
      <w:r>
        <w:rPr>
          <w:color w:val="000000"/>
          <w:sz w:val="24"/>
          <w:szCs w:val="24"/>
        </w:rPr>
        <w:t>0</w:t>
      </w:r>
      <w:r>
        <w:rPr>
          <w:rFonts w:hint="eastAsia"/>
          <w:color w:val="000000"/>
          <w:sz w:val="24"/>
          <w:szCs w:val="24"/>
        </w:rPr>
        <w:t>k</w:t>
      </w:r>
      <w:r>
        <w:rPr>
          <w:color w:val="000000"/>
          <w:sz w:val="24"/>
          <w:szCs w:val="24"/>
        </w:rPr>
        <w:t>V</w:t>
      </w:r>
      <w:r>
        <w:rPr>
          <w:rFonts w:hint="eastAsia"/>
          <w:color w:val="000000"/>
          <w:sz w:val="24"/>
          <w:szCs w:val="24"/>
        </w:rPr>
        <w:t>配电装置</w:t>
      </w:r>
      <w:r>
        <w:rPr>
          <w:rFonts w:hint="eastAsia"/>
          <w:sz w:val="24"/>
          <w:szCs w:val="24"/>
        </w:rPr>
        <w:t>。接入系统方案最终以接入系统审查意见为准</w:t>
      </w:r>
      <w:r>
        <w:rPr>
          <w:rFonts w:hint="eastAsia"/>
          <w:sz w:val="24"/>
          <w:szCs w:val="24"/>
          <w:lang w:eastAsia="zh-CN"/>
        </w:rPr>
        <w:t>。</w:t>
      </w:r>
    </w:p>
    <w:p w14:paraId="70A3B1ED">
      <w:pPr>
        <w:ind w:firstLine="720" w:firstLineChars="300"/>
        <w:contextualSpacing/>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 xml:space="preserve">    </w:t>
      </w:r>
    </w:p>
    <w:p w14:paraId="72A68D73">
      <w:pPr>
        <w:spacing w:line="360" w:lineRule="auto"/>
        <w:ind w:firstLine="480" w:firstLineChars="200"/>
        <w:outlineLvl w:val="2"/>
        <w:rPr>
          <w:rFonts w:hint="eastAsia" w:ascii="宋体" w:hAnsi="宋体" w:cs="Times New Roman"/>
          <w:sz w:val="24"/>
          <w:szCs w:val="24"/>
          <w:highlight w:val="none"/>
          <w:lang w:val="en-US" w:eastAsia="zh-CN"/>
        </w:rPr>
      </w:pPr>
      <w:r>
        <w:rPr>
          <w:rFonts w:hint="eastAsia" w:ascii="宋体" w:hAnsi="宋体" w:cs="Times New Roman"/>
          <w:sz w:val="24"/>
          <w:szCs w:val="24"/>
          <w:highlight w:val="none"/>
          <w:lang w:val="en-US" w:eastAsia="zh-CN"/>
        </w:rPr>
        <w:t>项目名称：</w:t>
      </w:r>
      <w:r>
        <w:rPr>
          <w:rFonts w:hint="eastAsia" w:ascii="宋体" w:hAnsi="宋体" w:cs="宋体"/>
          <w:b w:val="0"/>
          <w:bCs/>
          <w:sz w:val="24"/>
          <w:szCs w:val="24"/>
          <w:u w:val="none"/>
          <w:lang w:val="en-US" w:eastAsia="zh-CN"/>
        </w:rPr>
        <w:t>绍兴华茂化纤有限公司4.8MW/10.4MWh电化学储能电站项目。</w:t>
      </w:r>
    </w:p>
    <w:p w14:paraId="306394AB">
      <w:pPr>
        <w:spacing w:line="360" w:lineRule="auto"/>
        <w:ind w:firstLine="480" w:firstLineChars="200"/>
        <w:rPr>
          <w:rFonts w:hint="eastAsia" w:ascii="宋体" w:hAnsi="宋体" w:cs="Times New Roman"/>
          <w:sz w:val="24"/>
          <w:szCs w:val="24"/>
          <w:highlight w:val="none"/>
          <w:lang w:val="en-US" w:eastAsia="zh-CN"/>
        </w:rPr>
      </w:pPr>
      <w:r>
        <w:rPr>
          <w:rFonts w:hint="eastAsia" w:ascii="宋体" w:hAnsi="宋体" w:cs="Times New Roman"/>
          <w:sz w:val="24"/>
          <w:szCs w:val="24"/>
          <w:highlight w:val="none"/>
          <w:lang w:val="en-US" w:eastAsia="zh-CN"/>
        </w:rPr>
        <w:t>项目建设单位：</w:t>
      </w:r>
      <w:r>
        <w:rPr>
          <w:rFonts w:hint="eastAsia" w:ascii="宋体" w:hAnsi="宋体" w:cs="宋体"/>
          <w:sz w:val="24"/>
          <w:szCs w:val="24"/>
          <w:u w:val="none"/>
          <w:lang w:val="en-US" w:eastAsia="zh-CN"/>
        </w:rPr>
        <w:t>北京京能数字科技有限公司</w:t>
      </w:r>
    </w:p>
    <w:p w14:paraId="7156D613">
      <w:pPr>
        <w:widowControl/>
        <w:shd w:val="clear" w:color="auto" w:fill="FFFFFF"/>
        <w:spacing w:line="360" w:lineRule="auto"/>
        <w:ind w:firstLine="480"/>
        <w:jc w:val="left"/>
        <w:rPr>
          <w:rFonts w:hint="eastAsia" w:ascii="宋体" w:hAnsi="宋体" w:cs="Times New Roman"/>
          <w:sz w:val="24"/>
          <w:szCs w:val="24"/>
          <w:highlight w:val="none"/>
          <w:lang w:val="en-US" w:eastAsia="zh-CN"/>
        </w:rPr>
      </w:pPr>
      <w:r>
        <w:rPr>
          <w:rFonts w:hint="eastAsia" w:ascii="宋体" w:hAnsi="宋体" w:cs="Times New Roman"/>
          <w:sz w:val="24"/>
          <w:szCs w:val="24"/>
          <w:highlight w:val="none"/>
          <w:lang w:val="en-US" w:eastAsia="zh-CN"/>
        </w:rPr>
        <w:t>项目监理单位：常州正衡电力工程监理有限公司</w:t>
      </w:r>
    </w:p>
    <w:p w14:paraId="6E767A06">
      <w:pPr>
        <w:widowControl/>
        <w:shd w:val="clear" w:color="auto" w:fill="FFFFFF"/>
        <w:spacing w:line="360" w:lineRule="auto"/>
        <w:ind w:firstLine="480"/>
        <w:jc w:val="left"/>
        <w:rPr>
          <w:rFonts w:hint="eastAsia" w:ascii="宋体" w:hAnsi="宋体" w:cs="Times New Roman"/>
          <w:sz w:val="24"/>
          <w:szCs w:val="24"/>
          <w:highlight w:val="none"/>
          <w:lang w:val="en-US" w:eastAsia="zh-CN"/>
        </w:rPr>
      </w:pPr>
      <w:r>
        <w:rPr>
          <w:rFonts w:hint="eastAsia" w:ascii="宋体" w:hAnsi="宋体" w:cs="Times New Roman"/>
          <w:sz w:val="24"/>
          <w:szCs w:val="24"/>
          <w:highlight w:val="none"/>
          <w:lang w:val="en-US" w:eastAsia="zh-CN"/>
        </w:rPr>
        <w:t>项目设计单位：中国联合工程有限公司</w:t>
      </w:r>
    </w:p>
    <w:p w14:paraId="116A8CD8">
      <w:pPr>
        <w:widowControl/>
        <w:shd w:val="clear" w:color="auto" w:fill="FFFFFF"/>
        <w:spacing w:line="360" w:lineRule="auto"/>
        <w:ind w:firstLine="480"/>
        <w:jc w:val="left"/>
        <w:rPr>
          <w:rFonts w:hint="default" w:ascii="宋体" w:hAnsi="宋体" w:cs="宋体"/>
          <w:sz w:val="24"/>
          <w:szCs w:val="24"/>
          <w:highlight w:val="none"/>
          <w:lang w:val="en-US" w:eastAsia="zh-CN"/>
        </w:rPr>
      </w:pPr>
      <w:r>
        <w:rPr>
          <w:rFonts w:hint="eastAsia" w:ascii="宋体" w:hAnsi="宋体" w:cs="Times New Roman"/>
          <w:sz w:val="24"/>
          <w:szCs w:val="24"/>
          <w:highlight w:val="none"/>
          <w:lang w:val="en-US" w:eastAsia="zh-CN"/>
        </w:rPr>
        <w:t>项目施工单位：</w:t>
      </w:r>
      <w:r>
        <w:rPr>
          <w:rFonts w:hint="eastAsia" w:ascii="宋体" w:hAnsi="宋体" w:eastAsia="宋体" w:cs="宋体"/>
          <w:sz w:val="24"/>
          <w:szCs w:val="24"/>
          <w:highlight w:val="none"/>
          <w:lang w:val="en-US" w:eastAsia="zh-CN"/>
        </w:rPr>
        <w:t>(</w:t>
      </w:r>
      <w:r>
        <w:rPr>
          <w:rFonts w:hint="eastAsia" w:asciiTheme="minorEastAsia" w:hAnsiTheme="minorEastAsia" w:cstheme="minorEastAsia"/>
          <w:sz w:val="24"/>
          <w:szCs w:val="24"/>
          <w:highlight w:val="none"/>
          <w:lang w:val="en-US" w:eastAsia="zh-CN"/>
        </w:rPr>
        <w:t>PC</w:t>
      </w:r>
      <w:r>
        <w:rPr>
          <w:rFonts w:hint="eastAsia" w:ascii="宋体" w:hAnsi="宋体" w:eastAsia="宋体" w:cs="宋体"/>
          <w:sz w:val="24"/>
          <w:szCs w:val="24"/>
          <w:highlight w:val="none"/>
          <w:lang w:val="en-US" w:eastAsia="zh-CN"/>
        </w:rPr>
        <w:t>)</w:t>
      </w:r>
      <w:r>
        <w:rPr>
          <w:rFonts w:hint="eastAsia" w:asciiTheme="minorEastAsia" w:hAnsiTheme="minorEastAsia" w:cstheme="minorEastAsia"/>
          <w:sz w:val="24"/>
          <w:szCs w:val="24"/>
          <w:highlight w:val="none"/>
          <w:lang w:val="en-US" w:eastAsia="zh-CN"/>
        </w:rPr>
        <w:t>许继电气股份</w:t>
      </w:r>
      <w:r>
        <w:rPr>
          <w:rFonts w:hint="eastAsia" w:ascii="宋体" w:hAnsi="宋体" w:cs="Times New Roman"/>
          <w:sz w:val="24"/>
          <w:szCs w:val="24"/>
          <w:highlight w:val="none"/>
          <w:lang w:val="en-US" w:eastAsia="zh-CN"/>
        </w:rPr>
        <w:t>有限公司</w:t>
      </w:r>
    </w:p>
    <w:p w14:paraId="5C6AEB7E">
      <w:pPr>
        <w:pStyle w:val="59"/>
        <w:spacing w:before="0" w:after="0" w:line="360" w:lineRule="auto"/>
        <w:rPr>
          <w:rFonts w:hint="eastAsia" w:ascii="宋体" w:hAnsi="宋体" w:eastAsia="宋体" w:cs="宋体"/>
        </w:rPr>
      </w:pPr>
      <w:r>
        <w:rPr>
          <w:rFonts w:hint="eastAsia" w:ascii="宋体" w:hAnsi="宋体" w:eastAsia="宋体" w:cs="宋体"/>
        </w:rPr>
        <w:t>1.1监理范围</w:t>
      </w:r>
      <w:bookmarkEnd w:id="1"/>
      <w:bookmarkEnd w:id="2"/>
      <w:bookmarkEnd w:id="3"/>
      <w:bookmarkEnd w:id="4"/>
      <w:bookmarkEnd w:id="5"/>
      <w:bookmarkEnd w:id="6"/>
      <w:bookmarkEnd w:id="7"/>
      <w:bookmarkEnd w:id="8"/>
      <w:bookmarkEnd w:id="9"/>
      <w:bookmarkEnd w:id="10"/>
      <w:bookmarkEnd w:id="11"/>
      <w:bookmarkEnd w:id="12"/>
      <w:bookmarkEnd w:id="13"/>
      <w:bookmarkStart w:id="14" w:name="_Toc129377992"/>
      <w:bookmarkStart w:id="15" w:name="_Toc129139247"/>
      <w:r>
        <w:rPr>
          <w:rFonts w:hint="eastAsia" w:ascii="宋体" w:hAnsi="宋体" w:eastAsia="宋体" w:cs="宋体"/>
        </w:rPr>
        <w:t xml:space="preserve"> </w:t>
      </w:r>
      <w:bookmarkEnd w:id="14"/>
      <w:bookmarkEnd w:id="15"/>
    </w:p>
    <w:p w14:paraId="04083007">
      <w:pPr>
        <w:pStyle w:val="73"/>
        <w:ind w:left="0" w:leftChars="0" w:firstLine="480" w:firstLineChars="200"/>
        <w:rPr>
          <w:rFonts w:hint="eastAsia" w:ascii="宋体" w:hAnsi="宋体" w:eastAsia="宋体" w:cs="宋体"/>
          <w:sz w:val="24"/>
          <w:szCs w:val="24"/>
        </w:rPr>
      </w:pPr>
      <w:bookmarkStart w:id="16" w:name="_Toc299021731"/>
      <w:bookmarkStart w:id="17" w:name="_Toc174604253"/>
      <w:bookmarkStart w:id="18" w:name="_Toc175568617"/>
      <w:bookmarkStart w:id="19" w:name="_Toc176150583"/>
      <w:bookmarkStart w:id="20" w:name="_Toc161147654"/>
      <w:bookmarkStart w:id="21" w:name="_Toc174874763"/>
      <w:bookmarkStart w:id="22" w:name="_Toc174614943"/>
      <w:r>
        <w:rPr>
          <w:rFonts w:hint="eastAsia" w:ascii="宋体" w:hAnsi="宋体" w:eastAsia="宋体" w:cs="宋体"/>
          <w:sz w:val="24"/>
          <w:szCs w:val="24"/>
        </w:rPr>
        <w:t>以下所述各系统电气设备的到货验收、</w:t>
      </w:r>
      <w:r>
        <w:rPr>
          <w:rFonts w:hint="eastAsia" w:ascii="宋体" w:hAnsi="宋体" w:eastAsia="宋体" w:cs="宋体"/>
          <w:sz w:val="24"/>
          <w:szCs w:val="24"/>
          <w:lang w:eastAsia="zh-CN"/>
        </w:rPr>
        <w:t>电气</w:t>
      </w:r>
      <w:r>
        <w:rPr>
          <w:rFonts w:hint="eastAsia" w:ascii="宋体" w:hAnsi="宋体" w:eastAsia="宋体" w:cs="宋体"/>
          <w:sz w:val="24"/>
          <w:szCs w:val="24"/>
        </w:rPr>
        <w:t>试验、调试、试运行等工作。</w:t>
      </w:r>
    </w:p>
    <w:p w14:paraId="3408A397">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eastAsia="zh-CN"/>
        </w:rPr>
        <w:t>电气设备</w:t>
      </w:r>
      <w:r>
        <w:rPr>
          <w:rFonts w:hint="eastAsia" w:ascii="宋体" w:hAnsi="宋体" w:eastAsia="宋体" w:cs="宋体"/>
          <w:sz w:val="24"/>
          <w:szCs w:val="24"/>
        </w:rPr>
        <w:t>安装调试</w:t>
      </w:r>
    </w:p>
    <w:p w14:paraId="18FB3D7C">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)全站电气一</w:t>
      </w:r>
      <w:r>
        <w:rPr>
          <w:rFonts w:hint="eastAsia" w:ascii="宋体" w:hAnsi="宋体" w:cs="宋体"/>
          <w:sz w:val="24"/>
          <w:szCs w:val="24"/>
          <w:lang w:eastAsia="zh-CN"/>
        </w:rPr>
        <w:t>、二</w:t>
      </w:r>
      <w:r>
        <w:rPr>
          <w:rFonts w:hint="eastAsia" w:ascii="宋体" w:hAnsi="宋体" w:eastAsia="宋体" w:cs="宋体"/>
          <w:sz w:val="24"/>
          <w:szCs w:val="24"/>
        </w:rPr>
        <w:t>次电缆安装调试</w:t>
      </w:r>
    </w:p>
    <w:p w14:paraId="05D5008A">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)全站接地和防雷系统的安装调试</w:t>
      </w:r>
    </w:p>
    <w:p w14:paraId="093D0EC6">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 全站</w:t>
      </w:r>
      <w:r>
        <w:rPr>
          <w:rFonts w:hint="eastAsia" w:ascii="宋体" w:hAnsi="宋体" w:eastAsia="宋体" w:cs="宋体"/>
          <w:sz w:val="24"/>
          <w:szCs w:val="24"/>
          <w:lang w:eastAsia="zh-CN"/>
        </w:rPr>
        <w:t>通讯</w:t>
      </w:r>
      <w:r>
        <w:rPr>
          <w:rFonts w:hint="eastAsia" w:ascii="宋体" w:hAnsi="宋体" w:eastAsia="宋体" w:cs="宋体"/>
          <w:sz w:val="24"/>
          <w:szCs w:val="24"/>
        </w:rPr>
        <w:t>电缆安装调试</w:t>
      </w:r>
    </w:p>
    <w:p w14:paraId="6A7D221B">
      <w:pPr>
        <w:pStyle w:val="73"/>
        <w:ind w:left="0" w:leftChars="0"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）电缆支架的制作及</w:t>
      </w:r>
      <w:r>
        <w:rPr>
          <w:rFonts w:hint="eastAsia" w:ascii="宋体" w:hAnsi="宋体" w:eastAsia="宋体" w:cs="宋体"/>
          <w:sz w:val="24"/>
          <w:szCs w:val="24"/>
          <w:lang w:eastAsia="zh-CN"/>
        </w:rPr>
        <w:t>安装</w:t>
      </w:r>
    </w:p>
    <w:p w14:paraId="78042427">
      <w:pPr>
        <w:pStyle w:val="59"/>
        <w:spacing w:before="0" w:after="0" w:line="360" w:lineRule="auto"/>
        <w:rPr>
          <w:rFonts w:hint="eastAsia" w:ascii="宋体" w:hAnsi="宋体" w:eastAsia="宋体" w:cs="宋体"/>
        </w:rPr>
      </w:pPr>
      <w:bookmarkStart w:id="23" w:name="_Toc299183612"/>
      <w:r>
        <w:rPr>
          <w:rFonts w:hint="eastAsia" w:ascii="宋体" w:hAnsi="宋体" w:eastAsia="宋体" w:cs="宋体"/>
        </w:rPr>
        <w:t>1.2监理依据</w:t>
      </w:r>
      <w:bookmarkEnd w:id="16"/>
      <w:bookmarkEnd w:id="17"/>
      <w:bookmarkEnd w:id="18"/>
      <w:bookmarkEnd w:id="19"/>
      <w:bookmarkEnd w:id="20"/>
      <w:bookmarkEnd w:id="21"/>
      <w:bookmarkEnd w:id="22"/>
      <w:bookmarkEnd w:id="23"/>
    </w:p>
    <w:p w14:paraId="455866EE">
      <w:pPr>
        <w:pStyle w:val="73"/>
        <w:ind w:left="0" w:leftChars="0" w:firstLine="480" w:firstLineChars="200"/>
        <w:rPr>
          <w:rFonts w:hint="eastAsia" w:ascii="宋体" w:hAnsi="宋体" w:eastAsia="宋体" w:cs="宋体"/>
          <w:sz w:val="24"/>
          <w:szCs w:val="24"/>
        </w:rPr>
      </w:pPr>
      <w:bookmarkStart w:id="24" w:name="_Toc176150598"/>
      <w:bookmarkStart w:id="25" w:name="_Toc175568633"/>
      <w:bookmarkStart w:id="26" w:name="_Toc173165039"/>
      <w:bookmarkStart w:id="27" w:name="_Toc173164733"/>
      <w:r>
        <w:rPr>
          <w:rFonts w:hint="eastAsia" w:ascii="宋体" w:hAnsi="宋体" w:eastAsia="宋体" w:cs="宋体"/>
          <w:sz w:val="24"/>
          <w:szCs w:val="24"/>
        </w:rPr>
        <w:t>本工程监理服务适用的国家法律、行政法规和部门规章以及地方法规、规章主要包括：《中华人民共和国建筑法》；《中华人民共和国合同法》；《中华人民共和国质量法》；《建设工程质量管理条例》（国务院令第279号）等。</w:t>
      </w:r>
    </w:p>
    <w:p w14:paraId="656D51CD">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监理依据主要有：</w:t>
      </w:r>
    </w:p>
    <w:p w14:paraId="1A941255">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光伏发电工程建设有关的法律、法规、技术标准和规程规范；</w:t>
      </w:r>
    </w:p>
    <w:p w14:paraId="3E667F29">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国家或国家授权部门与机构批准的工程项目建设文件。(包括建设计划、规划、设计任务书等)；</w:t>
      </w:r>
    </w:p>
    <w:p w14:paraId="7983C670">
      <w:pPr>
        <w:pStyle w:val="73"/>
        <w:ind w:left="0" w:leftChars="0" w:firstLine="480" w:firstLineChars="200"/>
        <w:rPr>
          <w:rFonts w:hint="eastAsia" w:ascii="宋体" w:hAnsi="宋体" w:eastAsia="宋体" w:cs="宋体"/>
          <w:sz w:val="24"/>
          <w:szCs w:val="24"/>
        </w:rPr>
      </w:pPr>
      <w:bookmarkStart w:id="28" w:name="_Toc299021732"/>
      <w:r>
        <w:rPr>
          <w:rFonts w:hint="eastAsia" w:ascii="宋体" w:hAnsi="宋体" w:eastAsia="宋体" w:cs="宋体"/>
          <w:sz w:val="24"/>
          <w:szCs w:val="24"/>
        </w:rPr>
        <w:t>《建筑电气工程施工质量验收规范》</w:t>
      </w:r>
      <w:r>
        <w:rPr>
          <w:rFonts w:hint="eastAsia" w:ascii="宋体" w:hAnsi="宋体" w:eastAsia="宋体" w:cs="宋体"/>
          <w:sz w:val="24"/>
          <w:szCs w:val="24"/>
        </w:rPr>
        <w:tab/>
      </w:r>
      <w:r>
        <w:rPr>
          <w:rFonts w:hint="eastAsia" w:ascii="宋体" w:hAnsi="宋体" w:eastAsia="宋体" w:cs="宋体"/>
          <w:sz w:val="24"/>
          <w:szCs w:val="24"/>
        </w:rPr>
        <w:t xml:space="preserve">                GB 50303</w:t>
      </w:r>
    </w:p>
    <w:p w14:paraId="5EF2D282">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《电力建设施工及验收技术规范》                     DJ 57</w:t>
      </w:r>
    </w:p>
    <w:p w14:paraId="5678FA0D">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《电气装置安装工程 电气设备交接试验标准》          GB 50150</w:t>
      </w:r>
    </w:p>
    <w:p w14:paraId="6171D760">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《电气装置安装工程 电缆线路施工及验收规范》        GB 50168</w:t>
      </w:r>
    </w:p>
    <w:p w14:paraId="722A441C">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 xml:space="preserve">《电气装置安装工程 接地装置施工及验收规范》        GB 50169 </w:t>
      </w:r>
    </w:p>
    <w:p w14:paraId="6E20B69A">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《电气装置安装工程 盘、柜及二次回路接线施工及验收规范》GB50171</w:t>
      </w:r>
    </w:p>
    <w:p w14:paraId="35A02415">
      <w:pPr>
        <w:pStyle w:val="73"/>
        <w:ind w:left="0" w:leftChars="0"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《电气装置安装工程 低压电气施工及验收规范》        GB 50254</w:t>
      </w:r>
    </w:p>
    <w:p w14:paraId="1417DA61">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《电气装置安装工程 质量检验及评定标准（第1部分—第17部分）》     DL/T5161.1--5161.17</w:t>
      </w:r>
    </w:p>
    <w:p w14:paraId="0D4199AA">
      <w:pPr>
        <w:pStyle w:val="73"/>
        <w:ind w:left="0" w:leftChars="0" w:firstLine="480" w:firstLineChars="200"/>
        <w:rPr>
          <w:rFonts w:hint="eastAsia" w:ascii="宋体" w:hAnsi="宋体" w:eastAsia="宋体" w:cs="宋体"/>
          <w:sz w:val="24"/>
        </w:rPr>
      </w:pPr>
      <w:r>
        <w:rPr>
          <w:rFonts w:hint="eastAsia" w:ascii="宋体" w:hAnsi="宋体" w:eastAsia="宋体" w:cs="宋体"/>
          <w:sz w:val="24"/>
          <w:szCs w:val="24"/>
        </w:rPr>
        <w:t xml:space="preserve">《电能计量装置技术管理规程》      </w:t>
      </w:r>
      <w:r>
        <w:rPr>
          <w:rFonts w:hint="eastAsia" w:ascii="宋体" w:hAnsi="宋体" w:eastAsia="宋体" w:cs="宋体"/>
          <w:sz w:val="24"/>
          <w:szCs w:val="24"/>
        </w:rPr>
        <w:tab/>
      </w:r>
      <w:r>
        <w:rPr>
          <w:rFonts w:hint="eastAsia" w:ascii="宋体" w:hAnsi="宋体" w:eastAsia="宋体" w:cs="宋体"/>
          <w:sz w:val="24"/>
          <w:szCs w:val="24"/>
        </w:rPr>
        <w:t xml:space="preserve">  DL/T 448</w:t>
      </w:r>
    </w:p>
    <w:p w14:paraId="7B9F3AE6">
      <w:pPr>
        <w:snapToGrid w:val="0"/>
        <w:spacing w:before="20" w:line="312" w:lineRule="auto"/>
        <w:ind w:left="420"/>
        <w:rPr>
          <w:rFonts w:hint="default" w:ascii="宋体" w:hAnsi="宋体" w:eastAsia="宋体" w:cs="宋体"/>
          <w:color w:val="000000"/>
          <w:sz w:val="24"/>
          <w:lang w:val="en-US" w:eastAsia="zh-CN"/>
        </w:rPr>
      </w:pPr>
      <w:r>
        <w:rPr>
          <w:rFonts w:hint="eastAsia" w:ascii="宋体" w:hAnsi="宋体" w:eastAsia="宋体" w:cs="宋体"/>
          <w:color w:val="000000"/>
          <w:sz w:val="24"/>
        </w:rPr>
        <w:t>《实施工程建设强制性标准监督规定》建设部第81号令</w:t>
      </w:r>
      <w:r>
        <w:rPr>
          <w:rFonts w:hint="eastAsia" w:ascii="宋体" w:hAnsi="宋体" w:cs="宋体"/>
          <w:color w:val="000000"/>
          <w:sz w:val="24"/>
          <w:lang w:val="en-US" w:eastAsia="zh-CN"/>
        </w:rPr>
        <w:t xml:space="preserve">                           </w:t>
      </w:r>
    </w:p>
    <w:p w14:paraId="5E7B194D">
      <w:pPr>
        <w:snapToGrid w:val="0"/>
        <w:spacing w:before="20" w:line="312" w:lineRule="auto"/>
        <w:ind w:left="420"/>
        <w:rPr>
          <w:rFonts w:hint="eastAsia" w:ascii="宋体" w:hAnsi="宋体" w:cs="宋体"/>
          <w:sz w:val="24"/>
          <w:szCs w:val="24"/>
          <w:lang w:val="en-US" w:eastAsia="zh-CN"/>
        </w:rPr>
      </w:pPr>
      <w:r>
        <w:rPr>
          <w:rFonts w:hint="eastAsia" w:ascii="宋体" w:hAnsi="宋体" w:eastAsia="宋体" w:cs="宋体"/>
          <w:sz w:val="24"/>
          <w:szCs w:val="24"/>
        </w:rPr>
        <w:t>《</w:t>
      </w:r>
      <w:r>
        <w:rPr>
          <w:rFonts w:hint="eastAsia" w:ascii="宋体" w:hAnsi="宋体" w:cs="宋体"/>
          <w:sz w:val="24"/>
          <w:szCs w:val="24"/>
          <w:lang w:eastAsia="zh-CN"/>
        </w:rPr>
        <w:t>电化学储能系统接入配电网测规范</w:t>
      </w:r>
      <w:r>
        <w:rPr>
          <w:rFonts w:hint="eastAsia" w:ascii="宋体" w:hAnsi="宋体" w:eastAsia="宋体" w:cs="宋体"/>
          <w:sz w:val="24"/>
          <w:szCs w:val="24"/>
        </w:rPr>
        <w:t>》</w:t>
      </w:r>
      <w:r>
        <w:rPr>
          <w:rFonts w:hint="eastAsia" w:ascii="宋体" w:hAnsi="宋体" w:cs="宋体"/>
          <w:sz w:val="24"/>
          <w:szCs w:val="24"/>
          <w:lang w:val="en-US" w:eastAsia="zh-CN"/>
        </w:rPr>
        <w:t>Q/GDW</w:t>
      </w:r>
    </w:p>
    <w:p w14:paraId="23A38940">
      <w:pPr>
        <w:snapToGrid w:val="0"/>
        <w:spacing w:before="20" w:line="312" w:lineRule="auto"/>
        <w:ind w:left="420"/>
        <w:rPr>
          <w:rFonts w:hint="eastAsia" w:ascii="宋体" w:hAnsi="宋体" w:cs="宋体"/>
          <w:sz w:val="24"/>
          <w:szCs w:val="24"/>
          <w:lang w:val="en-US" w:eastAsia="zh-CN"/>
        </w:rPr>
      </w:pPr>
      <w:r>
        <w:rPr>
          <w:rFonts w:hint="eastAsia" w:ascii="宋体" w:hAnsi="宋体" w:eastAsia="宋体" w:cs="宋体"/>
          <w:sz w:val="24"/>
          <w:szCs w:val="24"/>
        </w:rPr>
        <w:t>《</w:t>
      </w:r>
      <w:r>
        <w:rPr>
          <w:rFonts w:hint="eastAsia" w:ascii="宋体" w:hAnsi="宋体" w:cs="宋体"/>
          <w:sz w:val="24"/>
          <w:szCs w:val="24"/>
          <w:lang w:eastAsia="zh-CN"/>
        </w:rPr>
        <w:t>电力建设工程监理规范</w:t>
      </w:r>
      <w:r>
        <w:rPr>
          <w:rFonts w:hint="eastAsia" w:ascii="宋体" w:hAnsi="宋体" w:eastAsia="宋体" w:cs="宋体"/>
          <w:sz w:val="24"/>
          <w:szCs w:val="24"/>
        </w:rPr>
        <w:t>》</w:t>
      </w:r>
      <w:r>
        <w:rPr>
          <w:rFonts w:hint="eastAsia" w:ascii="宋体" w:hAnsi="宋体" w:cs="宋体"/>
          <w:sz w:val="24"/>
          <w:szCs w:val="24"/>
          <w:lang w:val="en-US" w:eastAsia="zh-CN"/>
        </w:rPr>
        <w:t>DL/T5434-2021</w:t>
      </w:r>
    </w:p>
    <w:p w14:paraId="16E6278C">
      <w:pPr>
        <w:snapToGrid w:val="0"/>
        <w:spacing w:before="20" w:line="312" w:lineRule="auto"/>
        <w:ind w:left="420"/>
        <w:rPr>
          <w:rFonts w:hint="eastAsia" w:ascii="宋体" w:hAnsi="宋体" w:cs="宋体"/>
          <w:sz w:val="24"/>
          <w:szCs w:val="24"/>
          <w:lang w:val="en-US" w:eastAsia="zh-CN"/>
        </w:rPr>
      </w:pPr>
      <w:r>
        <w:rPr>
          <w:rFonts w:hint="eastAsia" w:ascii="宋体" w:hAnsi="宋体" w:eastAsia="宋体" w:cs="宋体"/>
          <w:sz w:val="24"/>
          <w:szCs w:val="24"/>
        </w:rPr>
        <w:t>《</w:t>
      </w:r>
      <w:r>
        <w:rPr>
          <w:rFonts w:hint="eastAsia" w:ascii="宋体" w:hAnsi="宋体" w:cs="宋体"/>
          <w:sz w:val="24"/>
          <w:szCs w:val="24"/>
          <w:lang w:eastAsia="zh-CN"/>
        </w:rPr>
        <w:t>预制舱式磷酸铁锂电池储能站消防技术规范</w:t>
      </w:r>
      <w:r>
        <w:rPr>
          <w:rFonts w:hint="eastAsia" w:ascii="宋体" w:hAnsi="宋体" w:eastAsia="宋体" w:cs="宋体"/>
          <w:sz w:val="24"/>
          <w:szCs w:val="24"/>
        </w:rPr>
        <w:t>》</w:t>
      </w:r>
      <w:r>
        <w:rPr>
          <w:rFonts w:hint="eastAsia" w:ascii="宋体" w:hAnsi="宋体" w:cs="宋体"/>
          <w:sz w:val="24"/>
          <w:szCs w:val="24"/>
          <w:lang w:val="en-US" w:eastAsia="zh-CN"/>
        </w:rPr>
        <w:t xml:space="preserve">T/CEC  </w:t>
      </w:r>
    </w:p>
    <w:p w14:paraId="290FE6D5">
      <w:pPr>
        <w:snapToGrid w:val="0"/>
        <w:spacing w:before="20" w:line="312" w:lineRule="auto"/>
        <w:ind w:left="420"/>
        <w:rPr>
          <w:rFonts w:hint="eastAsia" w:ascii="宋体" w:hAnsi="宋体" w:cs="宋体"/>
          <w:sz w:val="24"/>
          <w:szCs w:val="24"/>
          <w:lang w:val="en-US" w:eastAsia="zh-CN"/>
        </w:rPr>
      </w:pPr>
      <w:r>
        <w:rPr>
          <w:rFonts w:hint="eastAsia" w:ascii="宋体" w:hAnsi="宋体" w:eastAsia="宋体" w:cs="宋体"/>
          <w:sz w:val="24"/>
          <w:szCs w:val="24"/>
        </w:rPr>
        <w:t>《</w:t>
      </w:r>
      <w:r>
        <w:rPr>
          <w:rFonts w:hint="eastAsia" w:ascii="宋体" w:hAnsi="宋体" w:cs="宋体"/>
          <w:sz w:val="24"/>
          <w:szCs w:val="24"/>
          <w:lang w:val="en-US" w:eastAsia="zh-CN"/>
        </w:rPr>
        <w:t>电化学储能系统现场验收通用要求</w:t>
      </w:r>
      <w:r>
        <w:rPr>
          <w:rFonts w:hint="eastAsia" w:ascii="宋体" w:hAnsi="宋体" w:eastAsia="宋体" w:cs="宋体"/>
          <w:sz w:val="24"/>
          <w:szCs w:val="24"/>
        </w:rPr>
        <w:t>》</w:t>
      </w:r>
      <w:r>
        <w:rPr>
          <w:rFonts w:hint="eastAsia" w:ascii="宋体" w:hAnsi="宋体" w:cs="宋体"/>
          <w:sz w:val="24"/>
          <w:szCs w:val="24"/>
          <w:lang w:val="en-US" w:eastAsia="zh-CN"/>
        </w:rPr>
        <w:t>TIAPS0022-2022</w:t>
      </w:r>
    </w:p>
    <w:p w14:paraId="7F612919">
      <w:pPr>
        <w:snapToGrid w:val="0"/>
        <w:spacing w:before="20" w:line="312" w:lineRule="auto"/>
        <w:ind w:left="42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浙江省集中式和分散式储能施工安装技术标准规范</w:t>
      </w:r>
      <w:r>
        <w:rPr>
          <w:rFonts w:hint="eastAsia" w:ascii="宋体" w:hAnsi="宋体" w:eastAsia="宋体" w:cs="宋体"/>
          <w:sz w:val="24"/>
          <w:szCs w:val="24"/>
        </w:rPr>
        <w:t>》</w:t>
      </w:r>
    </w:p>
    <w:p w14:paraId="7BF431F5">
      <w:pPr>
        <w:snapToGrid w:val="0"/>
        <w:spacing w:before="20" w:line="312" w:lineRule="auto"/>
        <w:ind w:left="42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浙江电化学储能电站建设管理规范</w:t>
      </w:r>
      <w:r>
        <w:rPr>
          <w:rFonts w:hint="eastAsia" w:ascii="宋体" w:hAnsi="宋体" w:eastAsia="宋体" w:cs="宋体"/>
          <w:sz w:val="24"/>
          <w:szCs w:val="24"/>
        </w:rPr>
        <w:t>》</w:t>
      </w:r>
    </w:p>
    <w:p w14:paraId="181F8958">
      <w:pPr>
        <w:snapToGrid w:val="0"/>
        <w:spacing w:before="20" w:line="312" w:lineRule="auto"/>
        <w:ind w:left="420"/>
        <w:rPr>
          <w:rFonts w:hint="default"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cs="宋体"/>
          <w:sz w:val="24"/>
          <w:szCs w:val="24"/>
          <w:lang w:val="en-US" w:eastAsia="zh-CN"/>
        </w:rPr>
        <w:t>浙江省用户侧电化学储能技术到账</w:t>
      </w:r>
      <w:r>
        <w:rPr>
          <w:rFonts w:hint="eastAsia" w:ascii="宋体" w:hAnsi="宋体" w:eastAsia="宋体" w:cs="宋体"/>
          <w:sz w:val="24"/>
          <w:szCs w:val="24"/>
        </w:rPr>
        <w:t>》</w:t>
      </w:r>
    </w:p>
    <w:p w14:paraId="1F10242E">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工程建设合同、勘测设计合同及监理合同；</w:t>
      </w:r>
    </w:p>
    <w:p w14:paraId="7613E9CA">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上级有关主管部门对本项工程的有关指示文件或批件；</w:t>
      </w:r>
    </w:p>
    <w:p w14:paraId="16A653E9">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设计文件、技术要求及图纸；</w:t>
      </w:r>
    </w:p>
    <w:p w14:paraId="0C383C9A">
      <w:pPr>
        <w:pStyle w:val="59"/>
        <w:spacing w:before="0" w:after="0" w:line="360" w:lineRule="auto"/>
        <w:outlineLvl w:val="0"/>
        <w:rPr>
          <w:rFonts w:hint="eastAsia" w:ascii="宋体" w:hAnsi="宋体" w:eastAsia="宋体" w:cs="宋体"/>
          <w:sz w:val="32"/>
          <w:szCs w:val="32"/>
        </w:rPr>
      </w:pPr>
      <w:bookmarkStart w:id="29" w:name="_Toc299183613"/>
      <w:r>
        <w:rPr>
          <w:rFonts w:hint="eastAsia" w:ascii="宋体" w:hAnsi="宋体" w:eastAsia="宋体" w:cs="宋体"/>
          <w:sz w:val="32"/>
          <w:szCs w:val="32"/>
          <w:lang w:eastAsia="zh-CN"/>
        </w:rPr>
        <w:t>二、</w:t>
      </w:r>
      <w:r>
        <w:rPr>
          <w:rFonts w:hint="eastAsia" w:ascii="宋体" w:hAnsi="宋体" w:eastAsia="宋体" w:cs="宋体"/>
          <w:sz w:val="32"/>
          <w:szCs w:val="32"/>
        </w:rPr>
        <w:t>施工质量控制</w:t>
      </w:r>
      <w:bookmarkEnd w:id="24"/>
      <w:bookmarkEnd w:id="25"/>
      <w:bookmarkEnd w:id="26"/>
      <w:bookmarkEnd w:id="27"/>
      <w:r>
        <w:rPr>
          <w:rFonts w:hint="eastAsia" w:ascii="宋体" w:hAnsi="宋体" w:eastAsia="宋体" w:cs="宋体"/>
          <w:sz w:val="32"/>
          <w:szCs w:val="32"/>
        </w:rPr>
        <w:t>的重点及目标值</w:t>
      </w:r>
      <w:bookmarkEnd w:id="28"/>
      <w:bookmarkEnd w:id="29"/>
    </w:p>
    <w:p w14:paraId="5E34820B">
      <w:pPr>
        <w:pStyle w:val="59"/>
        <w:spacing w:before="0" w:after="0" w:line="360" w:lineRule="auto"/>
        <w:rPr>
          <w:rFonts w:hint="eastAsia" w:ascii="宋体" w:hAnsi="宋体" w:eastAsia="宋体" w:cs="宋体"/>
        </w:rPr>
      </w:pPr>
      <w:bookmarkStart w:id="30" w:name="_Toc176150599"/>
      <w:bookmarkStart w:id="31" w:name="_Toc218658284"/>
      <w:bookmarkStart w:id="32" w:name="_Toc175568634"/>
      <w:bookmarkStart w:id="33" w:name="_Toc173165040"/>
      <w:bookmarkStart w:id="34" w:name="_Toc299021733"/>
      <w:bookmarkStart w:id="35" w:name="_Toc299183615"/>
      <w:r>
        <w:rPr>
          <w:rFonts w:hint="eastAsia" w:ascii="宋体" w:hAnsi="宋体" w:eastAsia="宋体" w:cs="宋体"/>
          <w:lang w:val="en-US" w:eastAsia="zh-CN"/>
        </w:rPr>
        <w:t>2</w:t>
      </w:r>
      <w:r>
        <w:rPr>
          <w:rFonts w:hint="eastAsia" w:ascii="宋体" w:hAnsi="宋体" w:eastAsia="宋体" w:cs="宋体"/>
        </w:rPr>
        <w:t>.</w:t>
      </w:r>
      <w:bookmarkEnd w:id="30"/>
      <w:bookmarkEnd w:id="31"/>
      <w:bookmarkEnd w:id="32"/>
      <w:bookmarkEnd w:id="33"/>
      <w:bookmarkEnd w:id="34"/>
      <w:bookmarkStart w:id="36" w:name="_Toc176150600"/>
      <w:bookmarkStart w:id="37" w:name="_Toc175568635"/>
      <w:bookmarkStart w:id="38" w:name="_Toc173165041"/>
      <w:r>
        <w:rPr>
          <w:rFonts w:hint="eastAsia" w:ascii="宋体" w:hAnsi="宋体" w:eastAsia="宋体" w:cs="宋体"/>
          <w:lang w:val="en-US" w:eastAsia="zh-CN"/>
        </w:rPr>
        <w:t>1</w:t>
      </w:r>
      <w:r>
        <w:rPr>
          <w:rFonts w:hint="eastAsia" w:ascii="宋体" w:hAnsi="宋体" w:eastAsia="宋体" w:cs="宋体"/>
        </w:rPr>
        <w:t>电气一次设备安装质量控制</w:t>
      </w:r>
      <w:bookmarkEnd w:id="35"/>
    </w:p>
    <w:p w14:paraId="4B96D50F">
      <w:pPr>
        <w:pStyle w:val="73"/>
        <w:ind w:left="0" w:leftChars="0" w:firstLine="482" w:firstLineChars="200"/>
        <w:rPr>
          <w:rFonts w:hint="eastAsia" w:ascii="宋体" w:hAnsi="宋体" w:eastAsia="宋体" w:cs="宋体"/>
          <w:b/>
          <w:sz w:val="24"/>
          <w:szCs w:val="24"/>
        </w:rPr>
      </w:pPr>
      <w:r>
        <w:rPr>
          <w:rFonts w:hint="eastAsia" w:ascii="宋体" w:hAnsi="宋体" w:eastAsia="宋体" w:cs="宋体"/>
          <w:b/>
          <w:sz w:val="24"/>
          <w:szCs w:val="24"/>
        </w:rPr>
        <w:t>(</w:t>
      </w:r>
      <w:r>
        <w:rPr>
          <w:rFonts w:hint="eastAsia" w:ascii="宋体" w:hAnsi="宋体" w:eastAsia="宋体" w:cs="宋体"/>
          <w:b/>
          <w:sz w:val="24"/>
          <w:szCs w:val="24"/>
          <w:lang w:val="en-US" w:eastAsia="zh-CN"/>
        </w:rPr>
        <w:t>1</w:t>
      </w:r>
      <w:r>
        <w:rPr>
          <w:rFonts w:hint="eastAsia" w:ascii="宋体" w:hAnsi="宋体" w:eastAsia="宋体" w:cs="宋体"/>
          <w:b/>
          <w:sz w:val="24"/>
          <w:szCs w:val="24"/>
        </w:rPr>
        <w:t>)</w:t>
      </w:r>
      <w:r>
        <w:rPr>
          <w:rFonts w:hint="eastAsia" w:ascii="宋体" w:hAnsi="宋体" w:eastAsia="宋体" w:cs="宋体"/>
          <w:b/>
          <w:sz w:val="24"/>
          <w:szCs w:val="24"/>
          <w:lang w:eastAsia="zh-CN"/>
        </w:rPr>
        <w:t>储能柜</w:t>
      </w:r>
      <w:r>
        <w:rPr>
          <w:rFonts w:hint="eastAsia" w:ascii="宋体" w:hAnsi="宋体" w:eastAsia="宋体" w:cs="宋体"/>
          <w:b/>
          <w:sz w:val="24"/>
          <w:szCs w:val="24"/>
        </w:rPr>
        <w:t>的安装调试</w:t>
      </w:r>
    </w:p>
    <w:p w14:paraId="7C450A2A">
      <w:pPr>
        <w:pStyle w:val="73"/>
        <w:ind w:left="0" w:leftChars="0" w:firstLine="480" w:firstLineChars="200"/>
        <w:rPr>
          <w:rFonts w:hint="eastAsia" w:ascii="宋体" w:hAnsi="宋体" w:eastAsia="宋体" w:cs="宋体"/>
          <w:b/>
          <w:sz w:val="24"/>
          <w:szCs w:val="24"/>
        </w:rPr>
      </w:pPr>
      <w:r>
        <w:rPr>
          <w:rFonts w:hint="eastAsia" w:ascii="宋体" w:hAnsi="宋体" w:eastAsia="宋体" w:cs="宋体"/>
          <w:sz w:val="24"/>
          <w:szCs w:val="24"/>
        </w:rPr>
        <w:t>逆变器的安装调试严格按图纸及厂家技术要求执行，厂家技术代表现场提供指导。</w:t>
      </w:r>
    </w:p>
    <w:p w14:paraId="0AE131C0">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基础型钢的安装应符合下列要求：</w:t>
      </w:r>
    </w:p>
    <w:tbl>
      <w:tblPr>
        <w:tblStyle w:val="25"/>
        <w:tblW w:w="96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6"/>
        <w:gridCol w:w="2848"/>
        <w:gridCol w:w="2604"/>
      </w:tblGrid>
      <w:tr w14:paraId="58AC7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0" w:hRule="atLeast"/>
        </w:trPr>
        <w:tc>
          <w:tcPr>
            <w:tcW w:w="4186" w:type="dxa"/>
            <w:vMerge w:val="restart"/>
            <w:tcBorders>
              <w:top w:val="single" w:color="auto" w:sz="4" w:space="0"/>
              <w:left w:val="single" w:color="auto" w:sz="4" w:space="0"/>
              <w:bottom w:val="single" w:color="auto" w:sz="4" w:space="0"/>
              <w:right w:val="single" w:color="auto" w:sz="4" w:space="0"/>
            </w:tcBorders>
            <w:vAlign w:val="center"/>
          </w:tcPr>
          <w:p w14:paraId="0E10E344">
            <w:pPr>
              <w:pStyle w:val="73"/>
              <w:ind w:left="0" w:leftChars="0" w:firstLine="480" w:firstLineChars="200"/>
              <w:rPr>
                <w:rFonts w:hint="eastAsia" w:ascii="宋体" w:hAnsi="宋体" w:eastAsia="宋体" w:cs="宋体"/>
                <w:sz w:val="24"/>
                <w:szCs w:val="24"/>
              </w:rPr>
            </w:pPr>
          </w:p>
          <w:p w14:paraId="0C30CA4A">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项目</w:t>
            </w:r>
          </w:p>
        </w:tc>
        <w:tc>
          <w:tcPr>
            <w:tcW w:w="5452" w:type="dxa"/>
            <w:gridSpan w:val="2"/>
            <w:tcBorders>
              <w:top w:val="single" w:color="auto" w:sz="4" w:space="0"/>
              <w:left w:val="single" w:color="auto" w:sz="4" w:space="0"/>
              <w:bottom w:val="single" w:color="auto" w:sz="4" w:space="0"/>
              <w:right w:val="single" w:color="auto" w:sz="4" w:space="0"/>
            </w:tcBorders>
            <w:vAlign w:val="center"/>
          </w:tcPr>
          <w:p w14:paraId="302DDD27">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允 许 偏 差</w:t>
            </w:r>
          </w:p>
        </w:tc>
      </w:tr>
      <w:tr w14:paraId="54F21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4186" w:type="dxa"/>
            <w:vMerge w:val="continue"/>
            <w:tcBorders>
              <w:top w:val="single" w:color="auto" w:sz="4" w:space="0"/>
              <w:left w:val="single" w:color="auto" w:sz="4" w:space="0"/>
              <w:bottom w:val="single" w:color="auto" w:sz="4" w:space="0"/>
              <w:right w:val="single" w:color="auto" w:sz="4" w:space="0"/>
            </w:tcBorders>
            <w:vAlign w:val="center"/>
          </w:tcPr>
          <w:p w14:paraId="5145440C">
            <w:pPr>
              <w:pStyle w:val="73"/>
              <w:ind w:left="0" w:leftChars="0" w:firstLine="480" w:firstLineChars="200"/>
              <w:rPr>
                <w:rFonts w:hint="eastAsia" w:ascii="宋体" w:hAnsi="宋体" w:eastAsia="宋体" w:cs="宋体"/>
                <w:sz w:val="24"/>
                <w:szCs w:val="24"/>
              </w:rPr>
            </w:pPr>
          </w:p>
        </w:tc>
        <w:tc>
          <w:tcPr>
            <w:tcW w:w="2848" w:type="dxa"/>
            <w:tcBorders>
              <w:top w:val="single" w:color="auto" w:sz="4" w:space="0"/>
              <w:left w:val="single" w:color="auto" w:sz="4" w:space="0"/>
              <w:bottom w:val="single" w:color="auto" w:sz="4" w:space="0"/>
              <w:right w:val="single" w:color="auto" w:sz="4" w:space="0"/>
            </w:tcBorders>
            <w:vAlign w:val="center"/>
          </w:tcPr>
          <w:p w14:paraId="6C19AB40">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Mm/m</w:t>
            </w:r>
          </w:p>
        </w:tc>
        <w:tc>
          <w:tcPr>
            <w:tcW w:w="2604" w:type="dxa"/>
            <w:tcBorders>
              <w:top w:val="single" w:color="auto" w:sz="4" w:space="0"/>
              <w:left w:val="single" w:color="auto" w:sz="4" w:space="0"/>
              <w:bottom w:val="single" w:color="auto" w:sz="4" w:space="0"/>
              <w:right w:val="single" w:color="auto" w:sz="4" w:space="0"/>
            </w:tcBorders>
            <w:vAlign w:val="center"/>
          </w:tcPr>
          <w:p w14:paraId="1030A8A0">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Mm/全长</w:t>
            </w:r>
          </w:p>
        </w:tc>
      </w:tr>
      <w:tr w14:paraId="4C2C0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4186" w:type="dxa"/>
            <w:tcBorders>
              <w:top w:val="single" w:color="auto" w:sz="4" w:space="0"/>
              <w:left w:val="single" w:color="auto" w:sz="4" w:space="0"/>
              <w:bottom w:val="single" w:color="auto" w:sz="4" w:space="0"/>
              <w:right w:val="single" w:color="auto" w:sz="4" w:space="0"/>
            </w:tcBorders>
            <w:vAlign w:val="center"/>
          </w:tcPr>
          <w:p w14:paraId="471F601C">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不  直  度</w:t>
            </w:r>
          </w:p>
        </w:tc>
        <w:tc>
          <w:tcPr>
            <w:tcW w:w="2848" w:type="dxa"/>
            <w:tcBorders>
              <w:top w:val="single" w:color="auto" w:sz="4" w:space="0"/>
              <w:left w:val="single" w:color="auto" w:sz="4" w:space="0"/>
              <w:bottom w:val="single" w:color="auto" w:sz="4" w:space="0"/>
              <w:right w:val="single" w:color="auto" w:sz="4" w:space="0"/>
            </w:tcBorders>
            <w:vAlign w:val="center"/>
          </w:tcPr>
          <w:p w14:paraId="6A600CFD">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≦1</w:t>
            </w:r>
          </w:p>
        </w:tc>
        <w:tc>
          <w:tcPr>
            <w:tcW w:w="2604" w:type="dxa"/>
            <w:tcBorders>
              <w:top w:val="single" w:color="auto" w:sz="4" w:space="0"/>
              <w:left w:val="single" w:color="auto" w:sz="4" w:space="0"/>
              <w:bottom w:val="single" w:color="auto" w:sz="4" w:space="0"/>
              <w:right w:val="single" w:color="auto" w:sz="4" w:space="0"/>
            </w:tcBorders>
            <w:vAlign w:val="center"/>
          </w:tcPr>
          <w:p w14:paraId="5CDC722D">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≦5</w:t>
            </w:r>
          </w:p>
        </w:tc>
      </w:tr>
      <w:tr w14:paraId="6AF9F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4186" w:type="dxa"/>
            <w:tcBorders>
              <w:top w:val="single" w:color="auto" w:sz="4" w:space="0"/>
              <w:left w:val="single" w:color="auto" w:sz="4" w:space="0"/>
              <w:bottom w:val="single" w:color="auto" w:sz="4" w:space="0"/>
              <w:right w:val="single" w:color="auto" w:sz="4" w:space="0"/>
            </w:tcBorders>
            <w:vAlign w:val="center"/>
          </w:tcPr>
          <w:p w14:paraId="4EA7AD22">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水  平  度</w:t>
            </w:r>
          </w:p>
        </w:tc>
        <w:tc>
          <w:tcPr>
            <w:tcW w:w="2848" w:type="dxa"/>
            <w:tcBorders>
              <w:top w:val="single" w:color="auto" w:sz="4" w:space="0"/>
              <w:left w:val="single" w:color="auto" w:sz="4" w:space="0"/>
              <w:bottom w:val="single" w:color="auto" w:sz="4" w:space="0"/>
              <w:right w:val="single" w:color="auto" w:sz="4" w:space="0"/>
            </w:tcBorders>
            <w:vAlign w:val="center"/>
          </w:tcPr>
          <w:p w14:paraId="34FBD9F0">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≦1</w:t>
            </w:r>
          </w:p>
        </w:tc>
        <w:tc>
          <w:tcPr>
            <w:tcW w:w="2604" w:type="dxa"/>
            <w:tcBorders>
              <w:top w:val="single" w:color="auto" w:sz="4" w:space="0"/>
              <w:left w:val="single" w:color="auto" w:sz="4" w:space="0"/>
              <w:bottom w:val="single" w:color="auto" w:sz="4" w:space="0"/>
              <w:right w:val="single" w:color="auto" w:sz="4" w:space="0"/>
            </w:tcBorders>
            <w:vAlign w:val="center"/>
          </w:tcPr>
          <w:p w14:paraId="4111E730">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≦5</w:t>
            </w:r>
          </w:p>
        </w:tc>
      </w:tr>
      <w:tr w14:paraId="58434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4186" w:type="dxa"/>
            <w:tcBorders>
              <w:top w:val="single" w:color="auto" w:sz="4" w:space="0"/>
              <w:left w:val="single" w:color="auto" w:sz="4" w:space="0"/>
              <w:bottom w:val="single" w:color="auto" w:sz="4" w:space="0"/>
              <w:right w:val="single" w:color="auto" w:sz="4" w:space="0"/>
            </w:tcBorders>
            <w:vAlign w:val="center"/>
          </w:tcPr>
          <w:p w14:paraId="1CBE4571">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位置误差及不平行度</w:t>
            </w:r>
          </w:p>
        </w:tc>
        <w:tc>
          <w:tcPr>
            <w:tcW w:w="2848" w:type="dxa"/>
            <w:tcBorders>
              <w:top w:val="single" w:color="auto" w:sz="4" w:space="0"/>
              <w:left w:val="single" w:color="auto" w:sz="4" w:space="0"/>
              <w:bottom w:val="single" w:color="auto" w:sz="4" w:space="0"/>
              <w:right w:val="single" w:color="auto" w:sz="4" w:space="0"/>
            </w:tcBorders>
            <w:vAlign w:val="center"/>
          </w:tcPr>
          <w:p w14:paraId="488F6625">
            <w:pPr>
              <w:pStyle w:val="73"/>
              <w:ind w:left="0" w:leftChars="0" w:firstLine="480" w:firstLineChars="200"/>
              <w:rPr>
                <w:rFonts w:hint="eastAsia" w:ascii="宋体" w:hAnsi="宋体" w:eastAsia="宋体" w:cs="宋体"/>
                <w:sz w:val="24"/>
                <w:szCs w:val="24"/>
              </w:rPr>
            </w:pPr>
          </w:p>
        </w:tc>
        <w:tc>
          <w:tcPr>
            <w:tcW w:w="2604" w:type="dxa"/>
            <w:tcBorders>
              <w:top w:val="single" w:color="auto" w:sz="4" w:space="0"/>
              <w:left w:val="single" w:color="auto" w:sz="4" w:space="0"/>
              <w:bottom w:val="single" w:color="auto" w:sz="4" w:space="0"/>
              <w:right w:val="single" w:color="auto" w:sz="4" w:space="0"/>
            </w:tcBorders>
            <w:vAlign w:val="center"/>
          </w:tcPr>
          <w:p w14:paraId="157F8BAC">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≦5</w:t>
            </w:r>
          </w:p>
        </w:tc>
      </w:tr>
    </w:tbl>
    <w:p w14:paraId="23A022BE">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基础型钢材料型号、规格符合设计，应除锈刷漆两遍，接地应两点接地，固定牢固。</w:t>
      </w:r>
    </w:p>
    <w:p w14:paraId="70EDB05D">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柜体安装时，其垂直度、水平偏差以及盘、柜面偏差和盘、柜间接缝的允许偏差应符合以下表格内容的规定：</w:t>
      </w:r>
    </w:p>
    <w:tbl>
      <w:tblPr>
        <w:tblStyle w:val="25"/>
        <w:tblW w:w="96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8"/>
        <w:gridCol w:w="3525"/>
        <w:gridCol w:w="3005"/>
      </w:tblGrid>
      <w:tr w14:paraId="720DC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633" w:type="dxa"/>
            <w:gridSpan w:val="2"/>
            <w:tcBorders>
              <w:top w:val="single" w:color="auto" w:sz="4" w:space="0"/>
              <w:left w:val="single" w:color="auto" w:sz="4" w:space="0"/>
              <w:bottom w:val="single" w:color="auto" w:sz="4" w:space="0"/>
              <w:right w:val="single" w:color="auto" w:sz="4" w:space="0"/>
            </w:tcBorders>
            <w:vAlign w:val="center"/>
          </w:tcPr>
          <w:p w14:paraId="1CFFD4A0">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项          目</w:t>
            </w:r>
          </w:p>
        </w:tc>
        <w:tc>
          <w:tcPr>
            <w:tcW w:w="3005" w:type="dxa"/>
            <w:tcBorders>
              <w:top w:val="single" w:color="auto" w:sz="4" w:space="0"/>
              <w:left w:val="single" w:color="auto" w:sz="4" w:space="0"/>
              <w:bottom w:val="single" w:color="auto" w:sz="4" w:space="0"/>
              <w:right w:val="single" w:color="auto" w:sz="4" w:space="0"/>
            </w:tcBorders>
            <w:vAlign w:val="center"/>
          </w:tcPr>
          <w:p w14:paraId="6F7FBA78">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允许偏差</w:t>
            </w:r>
          </w:p>
        </w:tc>
      </w:tr>
      <w:tr w14:paraId="6E0DA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633" w:type="dxa"/>
            <w:gridSpan w:val="2"/>
            <w:tcBorders>
              <w:top w:val="single" w:color="auto" w:sz="4" w:space="0"/>
              <w:left w:val="single" w:color="auto" w:sz="4" w:space="0"/>
              <w:bottom w:val="single" w:color="auto" w:sz="4" w:space="0"/>
              <w:right w:val="single" w:color="auto" w:sz="4" w:space="0"/>
            </w:tcBorders>
            <w:vAlign w:val="center"/>
          </w:tcPr>
          <w:p w14:paraId="11E0AFDB">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垂直度（每米）</w:t>
            </w:r>
          </w:p>
        </w:tc>
        <w:tc>
          <w:tcPr>
            <w:tcW w:w="3005" w:type="dxa"/>
            <w:tcBorders>
              <w:top w:val="single" w:color="auto" w:sz="4" w:space="0"/>
              <w:left w:val="single" w:color="auto" w:sz="4" w:space="0"/>
              <w:bottom w:val="single" w:color="auto" w:sz="4" w:space="0"/>
              <w:right w:val="single" w:color="auto" w:sz="4" w:space="0"/>
            </w:tcBorders>
            <w:vAlign w:val="center"/>
          </w:tcPr>
          <w:p w14:paraId="36430271">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≦1.5mm</w:t>
            </w:r>
          </w:p>
        </w:tc>
      </w:tr>
      <w:tr w14:paraId="38E70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3108" w:type="dxa"/>
            <w:vMerge w:val="restart"/>
            <w:tcBorders>
              <w:top w:val="single" w:color="auto" w:sz="4" w:space="0"/>
              <w:left w:val="single" w:color="auto" w:sz="4" w:space="0"/>
              <w:bottom w:val="single" w:color="auto" w:sz="4" w:space="0"/>
              <w:right w:val="single" w:color="auto" w:sz="4" w:space="0"/>
            </w:tcBorders>
            <w:vAlign w:val="center"/>
          </w:tcPr>
          <w:p w14:paraId="12D73B23">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水平偏差</w:t>
            </w:r>
          </w:p>
        </w:tc>
        <w:tc>
          <w:tcPr>
            <w:tcW w:w="3525" w:type="dxa"/>
            <w:tcBorders>
              <w:top w:val="single" w:color="auto" w:sz="4" w:space="0"/>
              <w:left w:val="single" w:color="auto" w:sz="4" w:space="0"/>
              <w:bottom w:val="single" w:color="auto" w:sz="4" w:space="0"/>
              <w:right w:val="single" w:color="auto" w:sz="4" w:space="0"/>
            </w:tcBorders>
            <w:vAlign w:val="center"/>
          </w:tcPr>
          <w:p w14:paraId="6AC51E89">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相邻两盘顶部</w:t>
            </w:r>
          </w:p>
        </w:tc>
        <w:tc>
          <w:tcPr>
            <w:tcW w:w="3005" w:type="dxa"/>
            <w:tcBorders>
              <w:top w:val="single" w:color="auto" w:sz="4" w:space="0"/>
              <w:left w:val="single" w:color="auto" w:sz="4" w:space="0"/>
              <w:bottom w:val="single" w:color="auto" w:sz="4" w:space="0"/>
              <w:right w:val="single" w:color="auto" w:sz="4" w:space="0"/>
            </w:tcBorders>
            <w:vAlign w:val="center"/>
          </w:tcPr>
          <w:p w14:paraId="7A2B9D9A">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≦2 mm</w:t>
            </w:r>
          </w:p>
        </w:tc>
      </w:tr>
      <w:tr w14:paraId="0A55F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3108" w:type="dxa"/>
            <w:vMerge w:val="continue"/>
            <w:tcBorders>
              <w:top w:val="single" w:color="auto" w:sz="4" w:space="0"/>
              <w:left w:val="single" w:color="auto" w:sz="4" w:space="0"/>
              <w:bottom w:val="single" w:color="auto" w:sz="4" w:space="0"/>
              <w:right w:val="single" w:color="auto" w:sz="4" w:space="0"/>
            </w:tcBorders>
            <w:vAlign w:val="center"/>
          </w:tcPr>
          <w:p w14:paraId="6E227886">
            <w:pPr>
              <w:pStyle w:val="73"/>
              <w:ind w:left="0" w:leftChars="0" w:firstLine="480" w:firstLineChars="200"/>
              <w:rPr>
                <w:rFonts w:hint="eastAsia" w:ascii="宋体" w:hAnsi="宋体" w:eastAsia="宋体" w:cs="宋体"/>
                <w:sz w:val="24"/>
                <w:szCs w:val="24"/>
              </w:rPr>
            </w:pPr>
          </w:p>
        </w:tc>
        <w:tc>
          <w:tcPr>
            <w:tcW w:w="3525" w:type="dxa"/>
            <w:tcBorders>
              <w:top w:val="single" w:color="auto" w:sz="4" w:space="0"/>
              <w:left w:val="single" w:color="auto" w:sz="4" w:space="0"/>
              <w:bottom w:val="single" w:color="auto" w:sz="4" w:space="0"/>
              <w:right w:val="single" w:color="auto" w:sz="4" w:space="0"/>
            </w:tcBorders>
            <w:vAlign w:val="center"/>
          </w:tcPr>
          <w:p w14:paraId="4F7C3133">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成列盘顶部</w:t>
            </w:r>
          </w:p>
        </w:tc>
        <w:tc>
          <w:tcPr>
            <w:tcW w:w="3005" w:type="dxa"/>
            <w:tcBorders>
              <w:top w:val="single" w:color="auto" w:sz="4" w:space="0"/>
              <w:left w:val="single" w:color="auto" w:sz="4" w:space="0"/>
              <w:bottom w:val="single" w:color="auto" w:sz="4" w:space="0"/>
              <w:right w:val="single" w:color="auto" w:sz="4" w:space="0"/>
            </w:tcBorders>
            <w:vAlign w:val="center"/>
          </w:tcPr>
          <w:p w14:paraId="19F098FB">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≦5 mm</w:t>
            </w:r>
          </w:p>
        </w:tc>
      </w:tr>
      <w:tr w14:paraId="4D96B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108" w:type="dxa"/>
            <w:vMerge w:val="restart"/>
            <w:tcBorders>
              <w:top w:val="single" w:color="auto" w:sz="4" w:space="0"/>
              <w:left w:val="single" w:color="auto" w:sz="4" w:space="0"/>
              <w:bottom w:val="single" w:color="auto" w:sz="4" w:space="0"/>
              <w:right w:val="single" w:color="auto" w:sz="4" w:space="0"/>
            </w:tcBorders>
            <w:vAlign w:val="center"/>
          </w:tcPr>
          <w:p w14:paraId="3484E2B0">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盘面误差</w:t>
            </w:r>
          </w:p>
        </w:tc>
        <w:tc>
          <w:tcPr>
            <w:tcW w:w="3525" w:type="dxa"/>
            <w:tcBorders>
              <w:top w:val="single" w:color="auto" w:sz="4" w:space="0"/>
              <w:left w:val="single" w:color="auto" w:sz="4" w:space="0"/>
              <w:bottom w:val="single" w:color="auto" w:sz="4" w:space="0"/>
              <w:right w:val="single" w:color="auto" w:sz="4" w:space="0"/>
            </w:tcBorders>
            <w:vAlign w:val="center"/>
          </w:tcPr>
          <w:p w14:paraId="2AAB642F">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相邻两盘面</w:t>
            </w:r>
          </w:p>
        </w:tc>
        <w:tc>
          <w:tcPr>
            <w:tcW w:w="3005" w:type="dxa"/>
            <w:tcBorders>
              <w:top w:val="single" w:color="auto" w:sz="4" w:space="0"/>
              <w:left w:val="single" w:color="auto" w:sz="4" w:space="0"/>
              <w:bottom w:val="single" w:color="auto" w:sz="4" w:space="0"/>
              <w:right w:val="single" w:color="auto" w:sz="4" w:space="0"/>
            </w:tcBorders>
            <w:vAlign w:val="center"/>
          </w:tcPr>
          <w:p w14:paraId="382DE3B2">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≦1 mm</w:t>
            </w:r>
          </w:p>
        </w:tc>
      </w:tr>
      <w:tr w14:paraId="6753A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3108" w:type="dxa"/>
            <w:vMerge w:val="continue"/>
            <w:tcBorders>
              <w:top w:val="single" w:color="auto" w:sz="4" w:space="0"/>
              <w:left w:val="single" w:color="auto" w:sz="4" w:space="0"/>
              <w:bottom w:val="single" w:color="auto" w:sz="4" w:space="0"/>
              <w:right w:val="single" w:color="auto" w:sz="4" w:space="0"/>
            </w:tcBorders>
            <w:vAlign w:val="center"/>
          </w:tcPr>
          <w:p w14:paraId="3C61A80C">
            <w:pPr>
              <w:pStyle w:val="73"/>
              <w:ind w:left="0" w:leftChars="0" w:firstLine="480" w:firstLineChars="200"/>
              <w:rPr>
                <w:rFonts w:hint="eastAsia" w:ascii="宋体" w:hAnsi="宋体" w:eastAsia="宋体" w:cs="宋体"/>
                <w:sz w:val="24"/>
                <w:szCs w:val="24"/>
              </w:rPr>
            </w:pPr>
          </w:p>
        </w:tc>
        <w:tc>
          <w:tcPr>
            <w:tcW w:w="3525" w:type="dxa"/>
            <w:tcBorders>
              <w:top w:val="single" w:color="auto" w:sz="4" w:space="0"/>
              <w:left w:val="single" w:color="auto" w:sz="4" w:space="0"/>
              <w:bottom w:val="single" w:color="auto" w:sz="4" w:space="0"/>
              <w:right w:val="single" w:color="auto" w:sz="4" w:space="0"/>
            </w:tcBorders>
            <w:vAlign w:val="center"/>
          </w:tcPr>
          <w:p w14:paraId="7EF04BB8">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成列盘面</w:t>
            </w:r>
          </w:p>
        </w:tc>
        <w:tc>
          <w:tcPr>
            <w:tcW w:w="3005" w:type="dxa"/>
            <w:tcBorders>
              <w:top w:val="single" w:color="auto" w:sz="4" w:space="0"/>
              <w:left w:val="single" w:color="auto" w:sz="4" w:space="0"/>
              <w:bottom w:val="single" w:color="auto" w:sz="4" w:space="0"/>
              <w:right w:val="single" w:color="auto" w:sz="4" w:space="0"/>
            </w:tcBorders>
            <w:vAlign w:val="center"/>
          </w:tcPr>
          <w:p w14:paraId="4FA51694">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≦5 mm</w:t>
            </w:r>
          </w:p>
        </w:tc>
      </w:tr>
      <w:tr w14:paraId="64BD9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6633" w:type="dxa"/>
            <w:gridSpan w:val="2"/>
            <w:tcBorders>
              <w:top w:val="single" w:color="auto" w:sz="4" w:space="0"/>
              <w:left w:val="single" w:color="auto" w:sz="4" w:space="0"/>
              <w:bottom w:val="single" w:color="auto" w:sz="4" w:space="0"/>
              <w:right w:val="single" w:color="auto" w:sz="4" w:space="0"/>
            </w:tcBorders>
            <w:vAlign w:val="center"/>
          </w:tcPr>
          <w:p w14:paraId="4584F2A9">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盘间接缝</w:t>
            </w:r>
          </w:p>
        </w:tc>
        <w:tc>
          <w:tcPr>
            <w:tcW w:w="3005" w:type="dxa"/>
            <w:tcBorders>
              <w:top w:val="single" w:color="auto" w:sz="4" w:space="0"/>
              <w:left w:val="single" w:color="auto" w:sz="4" w:space="0"/>
              <w:bottom w:val="single" w:color="auto" w:sz="4" w:space="0"/>
              <w:right w:val="single" w:color="auto" w:sz="4" w:space="0"/>
            </w:tcBorders>
            <w:vAlign w:val="center"/>
          </w:tcPr>
          <w:p w14:paraId="72908EFB">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≦2 mm</w:t>
            </w:r>
          </w:p>
        </w:tc>
      </w:tr>
    </w:tbl>
    <w:p w14:paraId="10DFB67D">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柜体的接地应牢固良好。装有电器的可开启门，应以裸铜导线软线与接地的金属构架可靠地连接。</w:t>
      </w:r>
    </w:p>
    <w:p w14:paraId="76C0D6B8">
      <w:pPr>
        <w:pStyle w:val="73"/>
        <w:ind w:left="0" w:leftChars="0"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w:t>
      </w:r>
      <w:r>
        <w:rPr>
          <w:rFonts w:hint="eastAsia" w:ascii="宋体" w:hAnsi="宋体" w:eastAsia="宋体" w:cs="宋体"/>
          <w:b/>
          <w:color w:val="000000"/>
          <w:sz w:val="24"/>
          <w:szCs w:val="24"/>
          <w:lang w:val="en-US" w:eastAsia="zh-CN"/>
        </w:rPr>
        <w:t>2</w:t>
      </w:r>
      <w:r>
        <w:rPr>
          <w:rFonts w:hint="eastAsia" w:ascii="宋体" w:hAnsi="宋体" w:eastAsia="宋体" w:cs="宋体"/>
          <w:b/>
          <w:color w:val="000000"/>
          <w:sz w:val="24"/>
          <w:szCs w:val="24"/>
        </w:rPr>
        <w:t>)电缆安装及调试</w:t>
      </w:r>
    </w:p>
    <w:p w14:paraId="0B24110A">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电缆敷设前，应根据电缆长度对电缆廊道长度的实地测量校对。电缆敷设速度根据制造厂家要求进行，电缆允许最大牵引力的大小要符合制造厂技术要求。牵引电缆时，钢丝绳绑扎在电缆牵引头上向前拖拽，电缆头要有专人看护，严防损伤电缆头。电缆在敷设过程中其弯曲半径不小于2m，电缆摆放后，各电缆夹固定距离按厂家和设计图纸要求进行放置，加固牢靠。敷设电缆时留有足够的备用长度，作为温度变化而引起变形的补偿和事故检修时使用。</w:t>
      </w:r>
    </w:p>
    <w:p w14:paraId="325C71F6">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电缆敷设过程中，注意对电缆外护层的保护，防止刮伤、碰伤。电缆敷设完成后进行电缆摆放固定，各相间排列整齐、美观，没有交叉。电缆与电缆卡子接触处垫有橡胶垫。现场电缆终端头制作按合同文件执行，严格遵照厂家制定的工艺规程进行电缆终端头制作、导体连接、电缆终端吊装、附件安装等。准备临时保护棚，以满足防尘、防潮、场地清洁无污的要求；</w:t>
      </w:r>
    </w:p>
    <w:p w14:paraId="310DDA22">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安装完毕后的现场试验应按照设备供应商的技术文件要求和国家有关标准GB50168、GB50169的有关规定进行。现场检查及试验应至少包括且不限于如下内容：</w:t>
      </w:r>
    </w:p>
    <w:p w14:paraId="5934CBBB">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 xml:space="preserve">电力电缆的试验项目，应包括下列内容： </w:t>
      </w:r>
    </w:p>
    <w:p w14:paraId="1D6D6854">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 xml:space="preserve">1）测量绝缘电阻； </w:t>
      </w:r>
    </w:p>
    <w:p w14:paraId="13172C49">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）检查电缆线路的相位； </w:t>
      </w:r>
    </w:p>
    <w:p w14:paraId="329900EB">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 xml:space="preserve">测量各电缆线芯对地或对金属屏蔽层间和各线芯间的绝缘电阻。 </w:t>
      </w:r>
    </w:p>
    <w:p w14:paraId="4E7CD907">
      <w:pPr>
        <w:pStyle w:val="73"/>
        <w:ind w:left="0" w:leftChars="0"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依据设计图纸查核配线的准确性,检查各设备间的连接是否正确</w:t>
      </w:r>
      <w:r>
        <w:rPr>
          <w:rFonts w:hint="eastAsia" w:ascii="宋体" w:hAnsi="宋体" w:eastAsia="宋体" w:cs="宋体"/>
          <w:sz w:val="24"/>
          <w:szCs w:val="24"/>
          <w:lang w:eastAsia="zh-CN"/>
        </w:rPr>
        <w:t>。</w:t>
      </w:r>
    </w:p>
    <w:p w14:paraId="7E5FFD55">
      <w:pPr>
        <w:pStyle w:val="73"/>
        <w:ind w:left="0" w:leftChars="0" w:firstLine="482" w:firstLineChars="200"/>
        <w:rPr>
          <w:rFonts w:hint="eastAsia" w:ascii="宋体" w:hAnsi="宋体" w:eastAsia="宋体" w:cs="宋体"/>
          <w:b/>
          <w:sz w:val="24"/>
          <w:szCs w:val="24"/>
        </w:rPr>
      </w:pPr>
      <w:r>
        <w:rPr>
          <w:rFonts w:hint="eastAsia" w:ascii="宋体" w:hAnsi="宋体" w:eastAsia="宋体" w:cs="宋体"/>
          <w:b/>
          <w:sz w:val="24"/>
          <w:szCs w:val="24"/>
        </w:rPr>
        <w:t xml:space="preserve"> (</w:t>
      </w:r>
      <w:r>
        <w:rPr>
          <w:rFonts w:hint="eastAsia" w:ascii="宋体" w:hAnsi="宋体" w:eastAsia="宋体" w:cs="宋体"/>
          <w:b/>
          <w:sz w:val="24"/>
          <w:szCs w:val="24"/>
          <w:lang w:val="en-US" w:eastAsia="zh-CN"/>
        </w:rPr>
        <w:t>3</w:t>
      </w:r>
      <w:r>
        <w:rPr>
          <w:rFonts w:hint="eastAsia" w:ascii="宋体" w:hAnsi="宋体" w:eastAsia="宋体" w:cs="宋体"/>
          <w:b/>
          <w:sz w:val="24"/>
          <w:szCs w:val="24"/>
        </w:rPr>
        <w:t>) 全站一次电缆安装</w:t>
      </w:r>
    </w:p>
    <w:p w14:paraId="533CED59">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电缆保护管安装：横平竖直、间距均匀一致、排管排列整齐、弯管弯度一致，固定牢固、附件齐全，接地可靠，与金属软管过渡要圆滑美观，户外电缆管要安装防水弯头；</w:t>
      </w:r>
    </w:p>
    <w:p w14:paraId="2752005B">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电缆敷设：型号、规格符合设计，按层施放，排列整齐，弯曲弧度一致，松紧适度，电缆进入设备前应用过渡支架，电缆层清洁、无杂物；</w:t>
      </w:r>
    </w:p>
    <w:p w14:paraId="47A1FA1F">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电缆固定：电缆绑扎用扎带，电缆在拐弯处两侧、在中间头两侧、进入设备前等处均要固定，固定间距：水平段≤3m，垂直段(倾斜45°)≤1.5m，且均匀绑扎，方向一致，固定牢固。</w:t>
      </w:r>
    </w:p>
    <w:p w14:paraId="05A24F49">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电缆标示牌：字迹清晰、工整，不褪色，绑扎牢固，标示牌齐全，规格统一，两端及转弯处设有标示牌。</w:t>
      </w:r>
    </w:p>
    <w:p w14:paraId="54A6D506">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电缆头制作：端头面要平齐且垂直电缆轴线，成型后为圆筒型，长度为26mm～28mm，直径大于电缆外径2mm，电缆头高度应一致，且距最下面的一个端排一般不大于20cm。</w:t>
      </w:r>
    </w:p>
    <w:p w14:paraId="53C7C5FD">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电缆芯线绑扎：电缆芯线应顺直绑扎，间距应均匀，一般10～15cm。成型流畅。</w:t>
      </w:r>
    </w:p>
    <w:p w14:paraId="3B49F507">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屏、柜、箱内电缆排列及布线弧度应一致、排列整齐、不交叉、线鼻子压接紧固，接线紧固可靠。不得有中间接头。电缆屏蔽层的接地应符合有关规定。</w:t>
      </w:r>
    </w:p>
    <w:p w14:paraId="573C0A02">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直埋电缆埋设深度为0.8米，上下保护层应大于100mm，无可能损坏电缆的杂物，回填后表面应平整充实。</w:t>
      </w:r>
    </w:p>
    <w:p w14:paraId="0D98D329">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电缆接引：所有电缆均使用接线鼻子，且使用镀锡材料，接引时在接触面涂抹导电膏,且接线牢固可靠，相序正确。</w:t>
      </w:r>
    </w:p>
    <w:p w14:paraId="48566A10">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所有电缆穿越隔墙的孔洞和进出开关柜、配电盘、控制盘、自动装置盘和继电保护盘的孔洞，以及电气设备的电缆沟道盖板缝隙处，应采用防火材料进行封堵，无遗漏。封漏要密实，表面工艺美观。保证电缆之间位置符合防火要求，按设计刷防火涂料。6、现场试验</w:t>
      </w:r>
    </w:p>
    <w:p w14:paraId="3167A0B8">
      <w:pPr>
        <w:pStyle w:val="59"/>
        <w:spacing w:before="0" w:after="0" w:line="360" w:lineRule="auto"/>
        <w:rPr>
          <w:rFonts w:hint="eastAsia" w:ascii="宋体" w:hAnsi="宋体" w:eastAsia="宋体" w:cs="宋体"/>
          <w:sz w:val="24"/>
          <w:szCs w:val="24"/>
        </w:rPr>
      </w:pPr>
      <w:bookmarkStart w:id="39" w:name="_Toc299183616"/>
      <w:r>
        <w:rPr>
          <w:rFonts w:hint="eastAsia" w:ascii="宋体" w:hAnsi="宋体" w:eastAsia="宋体" w:cs="宋体"/>
          <w:sz w:val="24"/>
          <w:szCs w:val="24"/>
        </w:rPr>
        <w:t>2.3电气</w:t>
      </w:r>
      <w:r>
        <w:rPr>
          <w:rFonts w:hint="eastAsia" w:ascii="宋体" w:hAnsi="宋体" w:eastAsia="宋体" w:cs="宋体"/>
          <w:sz w:val="24"/>
          <w:szCs w:val="24"/>
          <w:lang w:eastAsia="zh-CN"/>
        </w:rPr>
        <w:t>一</w:t>
      </w:r>
      <w:r>
        <w:rPr>
          <w:rFonts w:hint="eastAsia" w:ascii="宋体" w:hAnsi="宋体" w:eastAsia="宋体" w:cs="宋体"/>
          <w:sz w:val="24"/>
          <w:szCs w:val="24"/>
        </w:rPr>
        <w:t>次设备安装质量控制</w:t>
      </w:r>
      <w:bookmarkEnd w:id="39"/>
    </w:p>
    <w:bookmarkEnd w:id="36"/>
    <w:bookmarkEnd w:id="37"/>
    <w:bookmarkEnd w:id="38"/>
    <w:p w14:paraId="7410D6C6">
      <w:pPr>
        <w:pStyle w:val="59"/>
        <w:spacing w:before="0" w:after="0" w:line="360" w:lineRule="auto"/>
        <w:rPr>
          <w:rFonts w:hint="eastAsia" w:ascii="宋体" w:hAnsi="宋体" w:eastAsia="宋体" w:cs="宋体"/>
          <w:sz w:val="24"/>
          <w:szCs w:val="24"/>
        </w:rPr>
      </w:pPr>
      <w:bookmarkStart w:id="40" w:name="_Toc217362722"/>
      <w:bookmarkStart w:id="41" w:name="_Toc175568630"/>
      <w:bookmarkStart w:id="42" w:name="_Toc176150596"/>
      <w:bookmarkStart w:id="43" w:name="_Toc299021734"/>
      <w:bookmarkStart w:id="44" w:name="_Toc299183617"/>
      <w:r>
        <w:rPr>
          <w:rFonts w:hint="eastAsia" w:ascii="宋体" w:hAnsi="宋体" w:eastAsia="宋体" w:cs="宋体"/>
          <w:sz w:val="24"/>
          <w:szCs w:val="24"/>
        </w:rPr>
        <w:t>设备开箱验收</w:t>
      </w:r>
      <w:bookmarkEnd w:id="40"/>
    </w:p>
    <w:p w14:paraId="34D47C6E">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设备开箱验收由监理人组织，安装单位技术人员、施工人员、制造厂家代表参加，检查盘柜外观有无明显破损。按装箱单清点资料、合格证、附件、备品备件等是否齐全。开箱后检查设备固定螺丝、元器件、端子、线头、标签等有无脱落，结构有无裂纹。如开箱检查中发现问题应要求制造厂处理。验收合格后，进行签字认可。</w:t>
      </w:r>
      <w:bookmarkStart w:id="45" w:name="_Toc173165047"/>
      <w:bookmarkStart w:id="46" w:name="_Toc176150609"/>
      <w:bookmarkStart w:id="47" w:name="_Toc175568644"/>
      <w:r>
        <w:rPr>
          <w:rFonts w:hint="eastAsia" w:ascii="宋体" w:hAnsi="宋体" w:eastAsia="宋体" w:cs="宋体"/>
          <w:sz w:val="24"/>
          <w:szCs w:val="24"/>
        </w:rPr>
        <w:t xml:space="preserve">为确保安装到施工现场的设备的完好性，安装承包人应按合同的要求在设备安装前，必须进行设备的常规检查。对干式变，测试绝缘电阻，测试互感器，检查盘内接线。对高低压开关柜，检查盘内接线，校验表计，测试互感器。 </w:t>
      </w:r>
    </w:p>
    <w:p w14:paraId="1D795907">
      <w:pPr>
        <w:pStyle w:val="59"/>
        <w:spacing w:before="0" w:after="0" w:line="360" w:lineRule="auto"/>
        <w:rPr>
          <w:rFonts w:hint="eastAsia" w:ascii="宋体" w:hAnsi="宋体" w:eastAsia="宋体" w:cs="宋体"/>
          <w:sz w:val="24"/>
          <w:szCs w:val="24"/>
        </w:rPr>
      </w:pPr>
      <w:bookmarkStart w:id="48" w:name="_Toc217362725"/>
      <w:r>
        <w:rPr>
          <w:rFonts w:hint="eastAsia" w:ascii="宋体" w:hAnsi="宋体" w:eastAsia="宋体" w:cs="宋体"/>
          <w:sz w:val="24"/>
          <w:szCs w:val="24"/>
        </w:rPr>
        <w:t>全厂监控系统</w:t>
      </w:r>
      <w:bookmarkEnd w:id="48"/>
      <w:r>
        <w:rPr>
          <w:rFonts w:hint="eastAsia" w:ascii="宋体" w:hAnsi="宋体" w:eastAsia="宋体" w:cs="宋体"/>
          <w:sz w:val="24"/>
          <w:szCs w:val="24"/>
        </w:rPr>
        <w:t>设备安装</w:t>
      </w:r>
    </w:p>
    <w:p w14:paraId="7072E251">
      <w:pPr>
        <w:pStyle w:val="73"/>
        <w:ind w:left="0" w:leftChars="0" w:firstLine="482" w:firstLineChars="200"/>
        <w:rPr>
          <w:rFonts w:hint="eastAsia" w:ascii="宋体" w:hAnsi="宋体" w:eastAsia="宋体" w:cs="宋体"/>
          <w:sz w:val="24"/>
          <w:szCs w:val="24"/>
        </w:rPr>
      </w:pPr>
      <w:r>
        <w:rPr>
          <w:rFonts w:hint="eastAsia" w:ascii="宋体" w:hAnsi="宋体" w:eastAsia="宋体" w:cs="宋体"/>
          <w:b/>
          <w:sz w:val="24"/>
          <w:szCs w:val="24"/>
        </w:rPr>
        <w:t>设备运输开箱检查验收</w:t>
      </w:r>
      <w:r>
        <w:rPr>
          <w:rFonts w:hint="eastAsia" w:ascii="宋体" w:hAnsi="宋体" w:eastAsia="宋体" w:cs="宋体"/>
          <w:sz w:val="24"/>
          <w:szCs w:val="24"/>
        </w:rPr>
        <w:t>：</w:t>
      </w:r>
    </w:p>
    <w:p w14:paraId="0DAAE915">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（1）监控设备的吊装运输工作由熟练的起重工和汽车驾驶人员来完成，过程必须有专职安全员进行监护。吊装运输过程中应采取防振、防冲击措施，以保证设备的安全。</w:t>
      </w:r>
    </w:p>
    <w:p w14:paraId="072450CE">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（2）开箱用专用工具将铁钉或木螺钉取出，严禁使用铁榔头、撬杆等硬敲、硬撬、硬砸，开箱后的包装板要及时清离施工现场。</w:t>
      </w:r>
    </w:p>
    <w:p w14:paraId="70A75C70">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3）监控系统上位机设备及各设备盘柜在监理的监督下开箱检查，重点检查盘柜框架有无变形，盘内元器件是否损坏，漆面是否受损、盘面标识是否完整齐全、正确清晰，柜门开关是否灵活、门锁是否齐全，所有螺栓是否紧固、电器元件是否固定牢固，实物与装箱清单是否相符。附件、备件、装箱文件是否齐全。做好开箱记录会签后备查。</w:t>
      </w:r>
      <w:bookmarkStart w:id="49" w:name="_Toc212622264"/>
      <w:bookmarkStart w:id="50" w:name="_Toc103773301"/>
      <w:bookmarkStart w:id="51" w:name="_Toc200985875"/>
      <w:bookmarkStart w:id="52" w:name="_Toc103773393"/>
      <w:bookmarkStart w:id="53" w:name="_Toc199822276"/>
    </w:p>
    <w:bookmarkEnd w:id="49"/>
    <w:bookmarkEnd w:id="50"/>
    <w:bookmarkEnd w:id="51"/>
    <w:bookmarkEnd w:id="52"/>
    <w:bookmarkEnd w:id="53"/>
    <w:p w14:paraId="68AB80AB">
      <w:pPr>
        <w:spacing w:line="360" w:lineRule="auto"/>
        <w:ind w:firstLine="482" w:firstLineChars="200"/>
        <w:rPr>
          <w:rFonts w:hint="eastAsia" w:ascii="宋体" w:hAnsi="宋体" w:eastAsia="宋体" w:cs="宋体"/>
          <w:b/>
          <w:sz w:val="24"/>
          <w:szCs w:val="24"/>
        </w:rPr>
      </w:pPr>
      <w:bookmarkStart w:id="54" w:name="_Toc212622268"/>
      <w:bookmarkStart w:id="55" w:name="_Toc103773302"/>
      <w:bookmarkStart w:id="56" w:name="_Toc200985876"/>
      <w:bookmarkStart w:id="57" w:name="_Toc103773394"/>
      <w:bookmarkStart w:id="58" w:name="_Toc199822277"/>
      <w:r>
        <w:rPr>
          <w:rFonts w:hint="eastAsia" w:ascii="宋体" w:hAnsi="宋体" w:eastAsia="宋体" w:cs="宋体"/>
          <w:b/>
          <w:sz w:val="24"/>
          <w:szCs w:val="24"/>
        </w:rPr>
        <w:t>电缆、</w:t>
      </w:r>
      <w:r>
        <w:rPr>
          <w:rFonts w:hint="eastAsia" w:ascii="宋体" w:hAnsi="宋体" w:eastAsia="宋体" w:cs="宋体"/>
          <w:b/>
          <w:sz w:val="24"/>
          <w:szCs w:val="24"/>
          <w:lang w:eastAsia="zh-CN"/>
        </w:rPr>
        <w:t>通讯电缆</w:t>
      </w:r>
      <w:r>
        <w:rPr>
          <w:rFonts w:hint="eastAsia" w:ascii="宋体" w:hAnsi="宋体" w:eastAsia="宋体" w:cs="宋体"/>
          <w:b/>
          <w:sz w:val="24"/>
          <w:szCs w:val="24"/>
        </w:rPr>
        <w:t>敷设</w:t>
      </w:r>
      <w:bookmarkEnd w:id="54"/>
      <w:bookmarkEnd w:id="55"/>
      <w:bookmarkEnd w:id="56"/>
      <w:bookmarkEnd w:id="57"/>
      <w:bookmarkEnd w:id="58"/>
      <w:r>
        <w:rPr>
          <w:rFonts w:hint="eastAsia" w:ascii="宋体" w:hAnsi="宋体" w:eastAsia="宋体" w:cs="宋体"/>
          <w:b/>
          <w:sz w:val="24"/>
          <w:szCs w:val="24"/>
        </w:rPr>
        <w:t>：</w:t>
      </w:r>
    </w:p>
    <w:p w14:paraId="424FB5DD">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（1）敷设前根据设计图纸核对电缆型号、敷设路径、长度是否与设计规定相符。</w:t>
      </w:r>
    </w:p>
    <w:p w14:paraId="5DAC52B9">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 xml:space="preserve">（2）检查存放的电缆应平直，不得产生扭绞、打圈等现象，不应受到外力挤压和损伤。 </w:t>
      </w:r>
    </w:p>
    <w:p w14:paraId="797CA873">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（3）用统一规格的电缆牌，上面标明电缆型号、总芯数及起止地点，字迹要清楚、耐久。</w:t>
      </w:r>
    </w:p>
    <w:p w14:paraId="3F62221F">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（4）电缆敷设前，将电缆盘在平稳坚实的盘架上，电缆要从盘的上端引出且不能与支架及地面有摩擦，不能有铠装压扁、电缆、光缆绞拧、护层折裂等机械损伤。</w:t>
      </w:r>
    </w:p>
    <w:p w14:paraId="782EB3B3">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（5）电缆的敷设要专人负责，并在统一指挥下有序的进行。</w:t>
      </w:r>
    </w:p>
    <w:p w14:paraId="5CA76C11">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（6）电缆按设计要求分层整齐布置，型号规格符合设计，按层布设，电缆的弯曲半径应符合要求或大于其外径的20倍。</w:t>
      </w:r>
    </w:p>
    <w:p w14:paraId="44ED1128">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（7）敷设电缆的牵引力，应小于电缆允许张力的80%。</w:t>
      </w:r>
    </w:p>
    <w:p w14:paraId="4FFD0053">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（8）在竖井进出口，地板下等处电缆不应有交叉、堆积。</w:t>
      </w:r>
    </w:p>
    <w:p w14:paraId="369B43BC">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（9）对大容量交流单芯电缆固定时，不使之构成闭合磁路。</w:t>
      </w:r>
    </w:p>
    <w:p w14:paraId="566347E4">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（10）电缆穿管敷设时，注意不得损伤绝缘。穿管敷设完后，管口要封堵严实。大容量单芯交流电缆不得单独穿入钢管内。</w:t>
      </w:r>
    </w:p>
    <w:p w14:paraId="4E812CAD">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（11）电缆水平敷设时，在其首末两端、转弯处两侧及接头处用电缆卡子或卡带固定，垂直敷设时每隔1.5米用电缆卡子固定。</w:t>
      </w:r>
    </w:p>
    <w:p w14:paraId="71330B5E">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（12）电缆敷设完并整理好后，按规程规范的要求进行固定，电缆的固定件不能构成闭合磁路。并在电缆拐弯两侧、中间、每间隔50m进入设备前等处要挂标志牌。</w:t>
      </w:r>
    </w:p>
    <w:p w14:paraId="35F39289">
      <w:pPr>
        <w:spacing w:line="360" w:lineRule="auto"/>
        <w:ind w:firstLine="482" w:firstLineChars="200"/>
        <w:rPr>
          <w:rFonts w:hint="eastAsia" w:ascii="宋体" w:hAnsi="宋体" w:eastAsia="宋体" w:cs="宋体"/>
          <w:b/>
          <w:sz w:val="24"/>
          <w:szCs w:val="24"/>
        </w:rPr>
      </w:pPr>
      <w:bookmarkStart w:id="59" w:name="_Toc103773303"/>
      <w:bookmarkStart w:id="60" w:name="_Toc212622269"/>
      <w:bookmarkStart w:id="61" w:name="_Toc103773395"/>
      <w:bookmarkStart w:id="62" w:name="_Toc200985877"/>
      <w:bookmarkStart w:id="63" w:name="_Toc199822278"/>
      <w:r>
        <w:rPr>
          <w:rFonts w:hint="eastAsia" w:ascii="宋体" w:hAnsi="宋体" w:eastAsia="宋体" w:cs="宋体"/>
          <w:b/>
          <w:sz w:val="24"/>
          <w:szCs w:val="24"/>
        </w:rPr>
        <w:t>配线</w:t>
      </w:r>
      <w:bookmarkEnd w:id="59"/>
      <w:bookmarkEnd w:id="60"/>
      <w:bookmarkEnd w:id="61"/>
      <w:bookmarkEnd w:id="62"/>
      <w:bookmarkEnd w:id="63"/>
      <w:r>
        <w:rPr>
          <w:rFonts w:hint="eastAsia" w:ascii="宋体" w:hAnsi="宋体" w:eastAsia="宋体" w:cs="宋体"/>
          <w:b/>
          <w:sz w:val="24"/>
          <w:szCs w:val="24"/>
        </w:rPr>
        <w:t>：</w:t>
      </w:r>
    </w:p>
    <w:p w14:paraId="328E906D">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（1）电缆敷设完后，进一步整理电缆，捆扎成把，固定在盘柜框架上，电缆把固定良好可靠，避免电缆芯处于受力状态。</w:t>
      </w:r>
    </w:p>
    <w:p w14:paraId="4FB2A5AB">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（2）电缆剖头深浅长短要把握好，避免伤及芯线绝缘。</w:t>
      </w:r>
    </w:p>
    <w:p w14:paraId="1FB46CA6">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3）电缆进出盘柜要排列整齐、编号清晰固定牢靠，铠装电缆要在进盘后切断钢带、要在断口处扎紧且钢带要引出接地线可靠接地。电缆的屏蔽层按设计要求可靠接地，无明确要求时，计算机系统电缆统一单端在计算机控制柜内接地。</w:t>
      </w:r>
    </w:p>
    <w:p w14:paraId="2E7E451C">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（4）电缆插接,位置正确，接触紧密、牢靠，插接端子完好无损。</w:t>
      </w:r>
    </w:p>
    <w:p w14:paraId="0ADF0E1A">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5）电缆芯线要标明电缆编号、回路号、端子号，字迹清晰，不褪色。芯线标识管与电缆芯线大小相对应，长度一致，标识内容同设计图纸一致。电缆备用芯也应有标识，方便查找。电缆芯线用接线鼻子压接时，导线与鼻子必需压接牢固紧密。</w:t>
      </w:r>
    </w:p>
    <w:p w14:paraId="3B08186D">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（6）盘内导线不得有接头。盘柜内设备间连线不允许“T”接。电缆接线时，其芯线应留有适当裕度。</w:t>
      </w:r>
    </w:p>
    <w:p w14:paraId="1DAB5EE9">
      <w:pPr>
        <w:pStyle w:val="73"/>
        <w:ind w:left="0" w:leftChars="0" w:firstLine="482" w:firstLineChars="200"/>
        <w:rPr>
          <w:rFonts w:hint="eastAsia" w:ascii="宋体" w:hAnsi="宋体" w:eastAsia="宋体" w:cs="宋体"/>
          <w:b/>
          <w:sz w:val="24"/>
          <w:szCs w:val="24"/>
        </w:rPr>
      </w:pPr>
      <w:bookmarkStart w:id="64" w:name="_Toc90537299"/>
      <w:bookmarkStart w:id="65" w:name="_Toc212622270"/>
      <w:bookmarkStart w:id="66" w:name="_Toc90546059"/>
      <w:r>
        <w:rPr>
          <w:rFonts w:hint="eastAsia" w:ascii="宋体" w:hAnsi="宋体" w:eastAsia="宋体" w:cs="宋体"/>
          <w:b/>
          <w:sz w:val="24"/>
          <w:szCs w:val="24"/>
        </w:rPr>
        <w:t>配合调试</w:t>
      </w:r>
      <w:bookmarkEnd w:id="64"/>
      <w:bookmarkEnd w:id="65"/>
      <w:bookmarkEnd w:id="66"/>
    </w:p>
    <w:p w14:paraId="2C6A428A">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安装承包人在计算机监控系统设备供应商的监督、指导下进行系统的硬件安装，配合设备供应商进行系统的调试。承包人在完成安装工作后，应根据合同规定、设计单位提供的图纸和设备供应商提供的技术资料等进行检查和试验。现场接收试验应有监理人目击。任何部件不能满足技术规范要求以及设备供应商的保证性能时，安装承包人作好记录并报请监理进行处置。计算机监控系统设备的现场试验应满足《电气装置安装工程电气设备交接试验标准》（GB50150）、《水电厂计算机监控系统设备基本技术规范》 DL/T578以及设备供货合同要求。</w:t>
      </w:r>
    </w:p>
    <w:p w14:paraId="34FABA5C">
      <w:pPr>
        <w:pStyle w:val="73"/>
        <w:ind w:left="0" w:leftChars="0" w:firstLine="482" w:firstLineChars="200"/>
        <w:rPr>
          <w:rFonts w:hint="eastAsia" w:ascii="宋体" w:hAnsi="宋体" w:eastAsia="宋体" w:cs="宋体"/>
          <w:b/>
          <w:sz w:val="24"/>
          <w:szCs w:val="24"/>
        </w:rPr>
      </w:pPr>
      <w:bookmarkStart w:id="67" w:name="_Toc212622271"/>
      <w:bookmarkStart w:id="68" w:name="_Toc90537300"/>
      <w:r>
        <w:rPr>
          <w:rFonts w:hint="eastAsia" w:ascii="宋体" w:hAnsi="宋体" w:eastAsia="宋体" w:cs="宋体"/>
          <w:b/>
          <w:sz w:val="24"/>
          <w:szCs w:val="24"/>
        </w:rPr>
        <w:t>试验调整</w:t>
      </w:r>
      <w:bookmarkEnd w:id="67"/>
      <w:bookmarkEnd w:id="68"/>
      <w:r>
        <w:rPr>
          <w:rFonts w:hint="eastAsia" w:ascii="宋体" w:hAnsi="宋体" w:eastAsia="宋体" w:cs="宋体"/>
          <w:b/>
          <w:sz w:val="24"/>
          <w:szCs w:val="24"/>
        </w:rPr>
        <w:t>：</w:t>
      </w:r>
    </w:p>
    <w:p w14:paraId="2620C950">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1）计算机监控系统的调试按照被控对象调整、现地单元控制级调试、电站控制级调试、远程控制级调试的顺序进行。被控对象、现地单元控制级、电站控制级、远程控制级通电前应检查接线的正确性,根据原理图逐级送电。对现地单元控制级送电检查前，要重新检查回路的绝缘等，确保送电安全。</w:t>
      </w:r>
    </w:p>
    <w:p w14:paraId="077BA9AA">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2）进行不间断电源（UPS）通电试验，检查其输出电压值、电压波形、波形失真、电压误差等符合设计要求。电源的过压/过流保护及电源故障报警信号正确，电源配置满足接地隔离要求。对UPS系统首次通电时进行切换试验，在投入运行后必须进行再试验检查，确保冗余功能符合设计要求，所有通电均应有设备承包商代表在场下进行。</w:t>
      </w:r>
    </w:p>
    <w:bookmarkEnd w:id="41"/>
    <w:bookmarkEnd w:id="42"/>
    <w:bookmarkEnd w:id="45"/>
    <w:bookmarkEnd w:id="46"/>
    <w:bookmarkEnd w:id="47"/>
    <w:p w14:paraId="38B9FD97">
      <w:pPr>
        <w:pStyle w:val="59"/>
        <w:spacing w:before="0" w:after="0" w:line="360" w:lineRule="auto"/>
        <w:outlineLvl w:val="0"/>
        <w:rPr>
          <w:rFonts w:hint="eastAsia" w:ascii="宋体" w:hAnsi="宋体" w:eastAsia="宋体" w:cs="宋体"/>
          <w:sz w:val="24"/>
          <w:szCs w:val="24"/>
        </w:rPr>
      </w:pPr>
      <w:r>
        <w:rPr>
          <w:rFonts w:hint="eastAsia" w:ascii="宋体" w:hAnsi="宋体" w:eastAsia="宋体" w:cs="宋体"/>
          <w:b/>
          <w:bCs w:val="0"/>
          <w:sz w:val="24"/>
          <w:szCs w:val="24"/>
          <w:lang w:eastAsia="zh-CN"/>
        </w:rPr>
        <w:t>三</w:t>
      </w:r>
      <w:r>
        <w:rPr>
          <w:rFonts w:hint="eastAsia" w:ascii="宋体" w:hAnsi="宋体" w:eastAsia="宋体" w:cs="宋体"/>
          <w:sz w:val="24"/>
          <w:szCs w:val="24"/>
          <w:lang w:eastAsia="zh-CN"/>
        </w:rPr>
        <w:t>、</w:t>
      </w:r>
      <w:r>
        <w:rPr>
          <w:rFonts w:hint="eastAsia" w:ascii="宋体" w:hAnsi="宋体" w:eastAsia="宋体" w:cs="宋体"/>
          <w:sz w:val="24"/>
          <w:szCs w:val="24"/>
        </w:rPr>
        <w:t>监理控制的程序和措施</w:t>
      </w:r>
      <w:bookmarkEnd w:id="43"/>
      <w:bookmarkEnd w:id="44"/>
    </w:p>
    <w:p w14:paraId="70BDA7E9">
      <w:pPr>
        <w:pStyle w:val="59"/>
        <w:spacing w:before="0" w:after="0" w:line="360" w:lineRule="auto"/>
        <w:rPr>
          <w:rFonts w:hint="eastAsia" w:ascii="宋体" w:hAnsi="宋体" w:eastAsia="宋体" w:cs="宋体"/>
          <w:sz w:val="24"/>
          <w:szCs w:val="24"/>
        </w:rPr>
      </w:pPr>
      <w:bookmarkStart w:id="69" w:name="_Toc299183618"/>
      <w:bookmarkStart w:id="70" w:name="_Toc214848235"/>
      <w:bookmarkStart w:id="71" w:name="_Toc299021735"/>
      <w:r>
        <w:rPr>
          <w:rFonts w:hint="eastAsia" w:ascii="宋体" w:hAnsi="宋体" w:eastAsia="宋体" w:cs="宋体"/>
          <w:sz w:val="24"/>
          <w:szCs w:val="24"/>
        </w:rPr>
        <w:t>3.1工程质量控制程序</w:t>
      </w:r>
      <w:bookmarkEnd w:id="69"/>
      <w:bookmarkEnd w:id="70"/>
      <w:bookmarkEnd w:id="71"/>
    </w:p>
    <w:p w14:paraId="04FD117A">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 在本工程各施工项目的监理活动中，监理</w:t>
      </w:r>
      <w:r>
        <w:rPr>
          <w:rFonts w:hint="eastAsia" w:ascii="宋体" w:hAnsi="宋体" w:eastAsia="宋体" w:cs="宋体"/>
          <w:spacing w:val="4"/>
          <w:sz w:val="24"/>
          <w:szCs w:val="24"/>
        </w:rPr>
        <w:t>工程师</w:t>
      </w:r>
      <w:r>
        <w:rPr>
          <w:rFonts w:hint="eastAsia" w:ascii="宋体" w:hAnsi="宋体" w:eastAsia="宋体" w:cs="宋体"/>
          <w:color w:val="000000"/>
          <w:sz w:val="24"/>
          <w:szCs w:val="24"/>
        </w:rPr>
        <w:t>进行工程施工作业进行全过程、全方位的监督、检查与控制。</w:t>
      </w:r>
    </w:p>
    <w:p w14:paraId="49CBC895">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 在每个分部工程开始之前，监理工程师审查施工单位的分部工程，并对所有的工程项目进行了施工计划、工作顺序安排和施工方案的审查，及时深入现场检查人员和机械设备的配置、材料的准备情况及现场条件，满足条件的批准开工，不满足条件的提出改进措施并进行重新审查，具备条件后方可施工。</w:t>
      </w:r>
    </w:p>
    <w:p w14:paraId="731D99E3">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 在施工过程中，监理</w:t>
      </w:r>
      <w:r>
        <w:rPr>
          <w:rFonts w:hint="eastAsia" w:ascii="宋体" w:hAnsi="宋体" w:eastAsia="宋体" w:cs="宋体"/>
          <w:spacing w:val="4"/>
          <w:sz w:val="24"/>
          <w:szCs w:val="24"/>
        </w:rPr>
        <w:t>工程师</w:t>
      </w:r>
      <w:r>
        <w:rPr>
          <w:rFonts w:hint="eastAsia" w:ascii="宋体" w:hAnsi="宋体" w:eastAsia="宋体" w:cs="宋体"/>
          <w:color w:val="000000"/>
          <w:sz w:val="24"/>
          <w:szCs w:val="24"/>
        </w:rPr>
        <w:t>及时监督施工单位加强内部质量管理，严格按照国家有关标准和技术规范规定的工艺和技术要求进行施工。深入施工现场进行全过程的跟踪检查监督，发现问题及时纠正。</w:t>
      </w:r>
    </w:p>
    <w:p w14:paraId="3AFD5029">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 当某个单项工程所有的工序都完成并在最后一个工序检查合格后,施工单位向监理工程师提交“验收申请报告”，并附上整理后的该单项工程的完工资料。监理机构组织专题验收会议,参建各方在对工程质量、完工资料进行审查,合格后，向施工单位颁发“单项工程验收签证”。</w:t>
      </w:r>
    </w:p>
    <w:p w14:paraId="68A06F28">
      <w:pPr>
        <w:pStyle w:val="59"/>
        <w:spacing w:before="0" w:after="0" w:line="360" w:lineRule="auto"/>
        <w:rPr>
          <w:rFonts w:hint="eastAsia" w:ascii="宋体" w:hAnsi="宋体" w:eastAsia="宋体" w:cs="宋体"/>
          <w:sz w:val="24"/>
          <w:szCs w:val="24"/>
        </w:rPr>
      </w:pPr>
      <w:bookmarkStart w:id="72" w:name="_Toc299183619"/>
      <w:bookmarkStart w:id="73" w:name="_Toc299021736"/>
      <w:r>
        <w:rPr>
          <w:rFonts w:hint="eastAsia" w:ascii="宋体" w:hAnsi="宋体" w:eastAsia="宋体" w:cs="宋体"/>
          <w:sz w:val="24"/>
          <w:szCs w:val="24"/>
        </w:rPr>
        <w:t>3.2施工质量控制措施</w:t>
      </w:r>
      <w:bookmarkEnd w:id="72"/>
      <w:bookmarkEnd w:id="73"/>
    </w:p>
    <w:p w14:paraId="05417478">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施工单位的施工技术措施及质量保证文件是工程建设的基本保证，在工程建设监理过程中，监理</w:t>
      </w:r>
      <w:r>
        <w:rPr>
          <w:rFonts w:hint="eastAsia" w:ascii="宋体" w:hAnsi="宋体" w:eastAsia="宋体" w:cs="宋体"/>
          <w:spacing w:val="4"/>
          <w:sz w:val="24"/>
          <w:szCs w:val="24"/>
        </w:rPr>
        <w:t>工程师</w:t>
      </w:r>
      <w:r>
        <w:rPr>
          <w:rFonts w:hint="eastAsia" w:ascii="宋体" w:hAnsi="宋体" w:eastAsia="宋体" w:cs="宋体"/>
          <w:color w:val="000000"/>
          <w:sz w:val="24"/>
          <w:szCs w:val="24"/>
        </w:rPr>
        <w:t>始终把审查施工技术措施和质量保证文件作为施工质量控制的措施之一，为施工质量控制起指导性的作用。</w:t>
      </w:r>
    </w:p>
    <w:p w14:paraId="550F8DFA">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(1)审查施工技术措施和质量保证文件</w:t>
      </w:r>
    </w:p>
    <w:p w14:paraId="40855AFA">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在本工程的施工过程中，监理工程师应审查的文件包括以下：</w:t>
      </w:r>
    </w:p>
    <w:p w14:paraId="71E9F16C">
      <w:pPr>
        <w:numPr>
          <w:ilvl w:val="0"/>
          <w:numId w:val="1"/>
        </w:numPr>
        <w:spacing w:line="360" w:lineRule="auto"/>
        <w:ind w:left="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审查施工单位的质量保证措施，监督施工单位建立质量保证体系；</w:t>
      </w:r>
    </w:p>
    <w:p w14:paraId="4D242BAC">
      <w:pPr>
        <w:numPr>
          <w:ilvl w:val="0"/>
          <w:numId w:val="1"/>
        </w:numPr>
        <w:spacing w:line="360" w:lineRule="auto"/>
        <w:ind w:left="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审批由施工单位提交的施工组织设计、施工措施计划和施工工艺说明，保证工程施工质量有可靠的技术保障；</w:t>
      </w:r>
    </w:p>
    <w:p w14:paraId="6F0A2237">
      <w:pPr>
        <w:numPr>
          <w:ilvl w:val="0"/>
          <w:numId w:val="1"/>
        </w:numPr>
        <w:spacing w:line="360" w:lineRule="auto"/>
        <w:ind w:left="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检查现场施工准备工作的落实情况，审批施工单位单项工程的开工申请报告；</w:t>
      </w:r>
    </w:p>
    <w:p w14:paraId="2813A865">
      <w:pPr>
        <w:numPr>
          <w:ilvl w:val="0"/>
          <w:numId w:val="1"/>
        </w:numPr>
        <w:spacing w:line="360" w:lineRule="auto"/>
        <w:ind w:left="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审批施工单位提交的有关原材料、半成品和构配件的质量证明文件，确保工程质量有可靠的物质基础；</w:t>
      </w:r>
    </w:p>
    <w:p w14:paraId="004151C3">
      <w:pPr>
        <w:numPr>
          <w:ilvl w:val="0"/>
          <w:numId w:val="1"/>
        </w:numPr>
        <w:spacing w:line="360" w:lineRule="auto"/>
        <w:ind w:left="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审查或查验现场作业人员的岗位操作资质；</w:t>
      </w:r>
    </w:p>
    <w:p w14:paraId="646BD379">
      <w:pPr>
        <w:numPr>
          <w:ilvl w:val="0"/>
          <w:numId w:val="1"/>
        </w:numPr>
        <w:spacing w:line="360" w:lineRule="auto"/>
        <w:ind w:left="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审核施工单位提交的反映工序、半成品和成品质量的统计资料并采用数理统计的方法进行汇总分析；</w:t>
      </w:r>
    </w:p>
    <w:p w14:paraId="325C03D3">
      <w:pPr>
        <w:numPr>
          <w:ilvl w:val="0"/>
          <w:numId w:val="1"/>
        </w:numPr>
        <w:spacing w:line="360" w:lineRule="auto"/>
        <w:ind w:left="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审核有关新技术、新工艺、新材料的技术鉴定文件，审查其在本工程中的应用申请报告，根据具体情况批准其在本工程中的使用，确保工程质量；</w:t>
      </w:r>
    </w:p>
    <w:p w14:paraId="4A415374">
      <w:pPr>
        <w:numPr>
          <w:ilvl w:val="0"/>
          <w:numId w:val="1"/>
        </w:numPr>
        <w:spacing w:line="360" w:lineRule="auto"/>
        <w:ind w:left="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审批有关工程质量缺陷或质量事故的调查报告、处理措施和处理报告，确保质量缺陷或质量事故得到满意的处理。</w:t>
      </w:r>
    </w:p>
    <w:p w14:paraId="574DE83E">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(2)采用多种手段监督控制施工质量</w:t>
      </w:r>
    </w:p>
    <w:p w14:paraId="49586E3F">
      <w:pPr>
        <w:numPr>
          <w:ilvl w:val="0"/>
          <w:numId w:val="2"/>
        </w:numPr>
        <w:tabs>
          <w:tab w:val="left" w:pos="900"/>
          <w:tab w:val="clear" w:pos="1164"/>
        </w:tabs>
        <w:spacing w:line="360" w:lineRule="auto"/>
        <w:ind w:left="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对于施工质量有严重影响的工序、出现质量缺陷处理难度极大的工序、隐蔽工程等工序的施工过程，监理工程师始终在现场</w:t>
      </w:r>
      <w:r>
        <w:rPr>
          <w:rFonts w:hint="eastAsia" w:ascii="宋体" w:hAnsi="宋体" w:eastAsia="宋体" w:cs="宋体"/>
          <w:sz w:val="24"/>
          <w:szCs w:val="24"/>
        </w:rPr>
        <w:t>观察、</w:t>
      </w:r>
      <w:r>
        <w:rPr>
          <w:rFonts w:hint="eastAsia" w:ascii="宋体" w:hAnsi="宋体" w:eastAsia="宋体" w:cs="宋体"/>
          <w:color w:val="000000"/>
          <w:sz w:val="24"/>
          <w:szCs w:val="24"/>
        </w:rPr>
        <w:t>监督与检查，注意并及时发现质量问题以便立即制订措施、实施控制。</w:t>
      </w:r>
    </w:p>
    <w:p w14:paraId="0F2EA8AA">
      <w:pPr>
        <w:numPr>
          <w:ilvl w:val="0"/>
          <w:numId w:val="2"/>
        </w:numPr>
        <w:tabs>
          <w:tab w:val="left" w:pos="900"/>
          <w:tab w:val="clear" w:pos="1164"/>
        </w:tabs>
        <w:spacing w:line="360" w:lineRule="auto"/>
        <w:ind w:left="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采用复测的方法对施工放线进行检查，严格控制，发现偏差立即纠正，在进行工序的检查验收时，对于位置和几何尺寸的任何偏离在指令施工单位改正之后再签署验收确认。</w:t>
      </w:r>
    </w:p>
    <w:p w14:paraId="51846AD6">
      <w:pPr>
        <w:numPr>
          <w:ilvl w:val="0"/>
          <w:numId w:val="2"/>
        </w:numPr>
        <w:tabs>
          <w:tab w:val="left" w:pos="900"/>
          <w:tab w:val="clear" w:pos="1164"/>
        </w:tabs>
        <w:spacing w:line="360" w:lineRule="auto"/>
        <w:ind w:left="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采用抽检的方法对每道工序中使用的原材料的性能和质量、现场配置的材料的配合比、半成品和成品的物理力学性能进行测试，通过抽检的试验数据评价和确认各种材料和工程成品的内在质量。</w:t>
      </w:r>
    </w:p>
    <w:p w14:paraId="798A9B18">
      <w:pPr>
        <w:numPr>
          <w:ilvl w:val="0"/>
          <w:numId w:val="2"/>
        </w:numPr>
        <w:tabs>
          <w:tab w:val="left" w:pos="900"/>
          <w:tab w:val="clear" w:pos="1164"/>
        </w:tabs>
        <w:spacing w:line="360" w:lineRule="auto"/>
        <w:ind w:left="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对于施工单位的违章或违规作业、现场检查发现的质量问题以及工序或工艺控制的措施问题，监理工程师采用发布指令的方式指出施工中存在的问题，要求施工单位及时整改。</w:t>
      </w:r>
    </w:p>
    <w:p w14:paraId="3B1552F1">
      <w:pPr>
        <w:numPr>
          <w:ilvl w:val="0"/>
          <w:numId w:val="2"/>
        </w:numPr>
        <w:tabs>
          <w:tab w:val="left" w:pos="900"/>
          <w:tab w:val="clear" w:pos="1164"/>
        </w:tabs>
        <w:spacing w:line="360" w:lineRule="auto"/>
        <w:ind w:left="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严格要求施工单位按规定的质量监控程序进行工序作业的检查验收的申请、验收，确保每道工序的质量都得到监理工程师的检查验收和确认。</w:t>
      </w:r>
    </w:p>
    <w:p w14:paraId="7D37200E">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(3)严格进行施工过程的质量检查</w:t>
      </w:r>
    </w:p>
    <w:p w14:paraId="2DD3B8B8">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000000"/>
          <w:sz w:val="24"/>
          <w:szCs w:val="24"/>
        </w:rPr>
        <w:t>在工程施工过程中，监理工程师将不断地进行现场巡视，加强现场监督与检查，对重要的工序进行全过程跟踪检查，保证施工过程中的任何工程对象始终全面地处于监理人员的监控之下，确保工程质量，避免工程质量缺陷或质量事故。在施工过程中监理工程师严格实施复核性检查；</w:t>
      </w:r>
    </w:p>
    <w:p w14:paraId="1450F5B0">
      <w:pPr>
        <w:numPr>
          <w:ilvl w:val="0"/>
          <w:numId w:val="3"/>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隐蔽工程在被遮蔽或被覆盖前，必须经过监理工程师的检查验收，确认其质量合格后，才允许加以覆盖；</w:t>
      </w:r>
    </w:p>
    <w:p w14:paraId="0D75FB07">
      <w:pPr>
        <w:numPr>
          <w:ilvl w:val="0"/>
          <w:numId w:val="3"/>
        </w:num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sz w:val="24"/>
          <w:szCs w:val="24"/>
        </w:rPr>
        <w:t>每道工序完工之后，经监理人员检查认可其质量合格并签字确认后，才能进行下一道工序。</w:t>
      </w:r>
    </w:p>
    <w:p w14:paraId="3D0C1BF8">
      <w:pPr>
        <w:numPr>
          <w:ilvl w:val="0"/>
          <w:numId w:val="3"/>
        </w:num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在每个单元工程施工之前，对该单元工程之前已经进行的一些与之密切相关的单元工程质量及正确性进行复核。预检并合格无误后监理人员给以书面确认，未经预检、复核或预检不合格或不符合时，不得开始下一个单元工程的施工。</w:t>
      </w:r>
    </w:p>
    <w:p w14:paraId="02C7DF12">
      <w:pPr>
        <w:pStyle w:val="59"/>
        <w:spacing w:before="0" w:after="0" w:line="360" w:lineRule="auto"/>
        <w:outlineLvl w:val="0"/>
        <w:rPr>
          <w:rFonts w:hint="eastAsia" w:ascii="宋体" w:hAnsi="宋体" w:eastAsia="宋体" w:cs="宋体"/>
          <w:sz w:val="24"/>
          <w:szCs w:val="24"/>
        </w:rPr>
      </w:pPr>
      <w:bookmarkStart w:id="74" w:name="_Toc299021737"/>
      <w:bookmarkStart w:id="75" w:name="_Toc299183620"/>
      <w:r>
        <w:rPr>
          <w:rFonts w:hint="eastAsia" w:ascii="宋体" w:hAnsi="宋体" w:eastAsia="宋体" w:cs="宋体"/>
          <w:sz w:val="24"/>
          <w:szCs w:val="24"/>
          <w:lang w:eastAsia="zh-CN"/>
        </w:rPr>
        <w:t>四、</w:t>
      </w:r>
      <w:r>
        <w:rPr>
          <w:rFonts w:hint="eastAsia" w:ascii="宋体" w:hAnsi="宋体" w:eastAsia="宋体" w:cs="宋体"/>
          <w:sz w:val="24"/>
          <w:szCs w:val="24"/>
        </w:rPr>
        <w:t>质量验收程序</w:t>
      </w:r>
      <w:bookmarkEnd w:id="74"/>
      <w:bookmarkEnd w:id="75"/>
    </w:p>
    <w:p w14:paraId="13334169">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单元工程、分部工程完成后，安装单位应首先自行检查验收，根据施工图纸及有关文件、规范、标准等，从外观、几何尺寸、质量控制资料以及内在质量等方面进行检查、审核，确认符合设计文件及相关验收规范的规定，然后向监理工程师提交申请，由监理工程师予以检查、确认。监理工程师按机电安装合同文件的要求，予以确认验收。如有质量问题则指令安装单位进行处理，待质量合乎要求后再予以检查验收。对涉及结构安全和使用功能的重要分部工程应进行抽样检测。</w:t>
      </w:r>
    </w:p>
    <w:p w14:paraId="35CCACCD">
      <w:pPr>
        <w:pStyle w:val="59"/>
        <w:spacing w:before="0" w:after="0" w:line="360" w:lineRule="auto"/>
        <w:outlineLvl w:val="0"/>
        <w:rPr>
          <w:rFonts w:hint="eastAsia" w:ascii="宋体" w:hAnsi="宋体" w:eastAsia="宋体" w:cs="宋体"/>
          <w:sz w:val="24"/>
          <w:szCs w:val="24"/>
        </w:rPr>
      </w:pPr>
      <w:bookmarkStart w:id="76" w:name="_Toc299021738"/>
      <w:bookmarkStart w:id="77" w:name="_Toc299183621"/>
      <w:r>
        <w:rPr>
          <w:rFonts w:hint="eastAsia" w:ascii="宋体" w:hAnsi="宋体" w:eastAsia="宋体" w:cs="宋体"/>
          <w:sz w:val="24"/>
          <w:szCs w:val="24"/>
          <w:lang w:eastAsia="zh-CN"/>
        </w:rPr>
        <w:t>五、</w:t>
      </w:r>
      <w:r>
        <w:rPr>
          <w:rFonts w:hint="eastAsia" w:ascii="宋体" w:hAnsi="宋体" w:eastAsia="宋体" w:cs="宋体"/>
          <w:sz w:val="24"/>
          <w:szCs w:val="24"/>
        </w:rPr>
        <w:t>进度控制</w:t>
      </w:r>
      <w:bookmarkEnd w:id="76"/>
      <w:bookmarkEnd w:id="77"/>
      <w:bookmarkStart w:id="78" w:name="_Toc175568676"/>
      <w:bookmarkStart w:id="79" w:name="_Toc128131403"/>
    </w:p>
    <w:p w14:paraId="157B7CC8">
      <w:pPr>
        <w:pStyle w:val="59"/>
        <w:spacing w:before="0" w:after="0" w:line="360" w:lineRule="auto"/>
        <w:rPr>
          <w:rFonts w:hint="eastAsia" w:ascii="宋体" w:hAnsi="宋体" w:eastAsia="宋体" w:cs="宋体"/>
          <w:sz w:val="24"/>
          <w:szCs w:val="24"/>
        </w:rPr>
      </w:pPr>
      <w:bookmarkStart w:id="80" w:name="_Toc299021739"/>
      <w:bookmarkStart w:id="81" w:name="_Toc299183622"/>
      <w:r>
        <w:rPr>
          <w:rFonts w:hint="eastAsia" w:ascii="宋体" w:hAnsi="宋体" w:eastAsia="宋体" w:cs="宋体"/>
          <w:sz w:val="24"/>
          <w:szCs w:val="24"/>
        </w:rPr>
        <w:t>5.1进度控制的工作内容</w:t>
      </w:r>
      <w:bookmarkEnd w:id="78"/>
      <w:bookmarkEnd w:id="79"/>
      <w:bookmarkEnd w:id="80"/>
      <w:bookmarkEnd w:id="81"/>
    </w:p>
    <w:p w14:paraId="1ACCC8C4">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1、按年、月、周审核工程施工计划和报告；监督施工进度计划的实施；</w:t>
      </w:r>
    </w:p>
    <w:p w14:paraId="599F115A">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2、组织现场协调会；</w:t>
      </w:r>
    </w:p>
    <w:p w14:paraId="57F76FDF">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3、修正的安装进度计划及赶工措施报告的审批;</w:t>
      </w:r>
    </w:p>
    <w:p w14:paraId="6D487DBE">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4、材料、物资、设备供货申请和采购计划的审批;</w:t>
      </w:r>
    </w:p>
    <w:p w14:paraId="162E313A">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3、签发工程进度款支付报表；</w:t>
      </w:r>
    </w:p>
    <w:p w14:paraId="16E71EC3">
      <w:pPr>
        <w:pStyle w:val="59"/>
        <w:spacing w:before="0" w:after="0" w:line="360" w:lineRule="auto"/>
        <w:rPr>
          <w:rFonts w:hint="eastAsia" w:ascii="宋体" w:hAnsi="宋体" w:eastAsia="宋体" w:cs="宋体"/>
          <w:sz w:val="24"/>
          <w:szCs w:val="24"/>
        </w:rPr>
      </w:pPr>
      <w:bookmarkStart w:id="82" w:name="_Toc299183623"/>
      <w:bookmarkStart w:id="83" w:name="_Toc299021740"/>
      <w:bookmarkStart w:id="84" w:name="_Toc175568677"/>
      <w:bookmarkStart w:id="85" w:name="_Toc128131404"/>
      <w:r>
        <w:rPr>
          <w:rFonts w:hint="eastAsia" w:ascii="宋体" w:hAnsi="宋体" w:eastAsia="宋体" w:cs="宋体"/>
          <w:sz w:val="24"/>
          <w:szCs w:val="24"/>
        </w:rPr>
        <w:t>5.2 进度控制的工作措施</w:t>
      </w:r>
      <w:bookmarkEnd w:id="82"/>
      <w:bookmarkEnd w:id="83"/>
      <w:bookmarkEnd w:id="84"/>
      <w:bookmarkEnd w:id="85"/>
    </w:p>
    <w:p w14:paraId="526157FA">
      <w:pPr>
        <w:pStyle w:val="73"/>
        <w:ind w:left="0" w:leftChars="0" w:firstLine="480" w:firstLineChars="200"/>
        <w:rPr>
          <w:rFonts w:hint="eastAsia" w:ascii="宋体" w:hAnsi="宋体" w:eastAsia="宋体" w:cs="宋体"/>
          <w:sz w:val="24"/>
          <w:szCs w:val="24"/>
        </w:rPr>
      </w:pPr>
      <w:bookmarkStart w:id="86" w:name="_Toc175568678"/>
      <w:r>
        <w:rPr>
          <w:rFonts w:hint="eastAsia" w:ascii="宋体" w:hAnsi="宋体" w:eastAsia="宋体" w:cs="宋体"/>
          <w:sz w:val="24"/>
          <w:szCs w:val="24"/>
        </w:rPr>
        <w:t>组织措施</w:t>
      </w:r>
      <w:bookmarkEnd w:id="86"/>
    </w:p>
    <w:p w14:paraId="282D4E44">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1、组织进度控制协调会议。</w:t>
      </w:r>
    </w:p>
    <w:p w14:paraId="4C30466C">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2、进行进度计划审核分析。</w:t>
      </w:r>
    </w:p>
    <w:p w14:paraId="61AD2E01">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3、做好图纸审查、工程变更和设计变更管理。</w:t>
      </w:r>
    </w:p>
    <w:p w14:paraId="7F313988">
      <w:pPr>
        <w:pStyle w:val="73"/>
        <w:ind w:left="0" w:leftChars="0" w:firstLine="480" w:firstLineChars="200"/>
        <w:rPr>
          <w:rFonts w:hint="eastAsia" w:ascii="宋体" w:hAnsi="宋体" w:eastAsia="宋体" w:cs="宋体"/>
          <w:sz w:val="24"/>
          <w:szCs w:val="24"/>
        </w:rPr>
      </w:pPr>
      <w:bookmarkStart w:id="87" w:name="_Toc175568679"/>
      <w:r>
        <w:rPr>
          <w:rFonts w:hint="eastAsia" w:ascii="宋体" w:hAnsi="宋体" w:eastAsia="宋体" w:cs="宋体"/>
          <w:sz w:val="24"/>
          <w:szCs w:val="24"/>
        </w:rPr>
        <w:t>技术措施</w:t>
      </w:r>
      <w:bookmarkEnd w:id="87"/>
    </w:p>
    <w:p w14:paraId="7D493BBE">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1、审查安装单位提交的进度计划，使安装单位能在合理的状态下施工。</w:t>
      </w:r>
    </w:p>
    <w:p w14:paraId="045F7F46">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2、增加同时作业的施工面。</w:t>
      </w:r>
    </w:p>
    <w:p w14:paraId="14157BE8">
      <w:pPr>
        <w:pStyle w:val="73"/>
        <w:ind w:left="0" w:leftChars="0" w:firstLine="480" w:firstLineChars="200"/>
        <w:rPr>
          <w:rFonts w:hint="eastAsia" w:ascii="宋体" w:hAnsi="宋体" w:eastAsia="宋体" w:cs="宋体"/>
          <w:sz w:val="24"/>
          <w:szCs w:val="24"/>
        </w:rPr>
      </w:pPr>
      <w:bookmarkStart w:id="88" w:name="_Toc175568680"/>
      <w:r>
        <w:rPr>
          <w:rFonts w:hint="eastAsia" w:ascii="宋体" w:hAnsi="宋体" w:eastAsia="宋体" w:cs="宋体"/>
          <w:sz w:val="24"/>
          <w:szCs w:val="24"/>
        </w:rPr>
        <w:t>合同措施</w:t>
      </w:r>
      <w:bookmarkEnd w:id="88"/>
    </w:p>
    <w:p w14:paraId="6B3A81D7">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1、严格控制各方提出的工程变更和设计变更</w:t>
      </w:r>
    </w:p>
    <w:p w14:paraId="1F6F4A48">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2、加强索赔管理，公正地处理索赔。</w:t>
      </w:r>
    </w:p>
    <w:p w14:paraId="0C2EF9B7">
      <w:pPr>
        <w:pStyle w:val="73"/>
        <w:ind w:left="0" w:leftChars="0" w:firstLine="480" w:firstLineChars="200"/>
        <w:rPr>
          <w:rFonts w:hint="eastAsia" w:ascii="宋体" w:hAnsi="宋体" w:eastAsia="宋体" w:cs="宋体"/>
          <w:sz w:val="24"/>
          <w:szCs w:val="24"/>
        </w:rPr>
      </w:pPr>
      <w:bookmarkStart w:id="89" w:name="_Toc175568681"/>
      <w:r>
        <w:rPr>
          <w:rFonts w:hint="eastAsia" w:ascii="宋体" w:hAnsi="宋体" w:eastAsia="宋体" w:cs="宋体"/>
          <w:sz w:val="24"/>
          <w:szCs w:val="24"/>
        </w:rPr>
        <w:t>经济措施</w:t>
      </w:r>
      <w:bookmarkEnd w:id="89"/>
    </w:p>
    <w:p w14:paraId="78832DFD">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1、及时办理工程预付款及工程进度款支付手续。</w:t>
      </w:r>
    </w:p>
    <w:p w14:paraId="14479E7B">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2、按合同规定，对工期提前者实行奖励。</w:t>
      </w:r>
    </w:p>
    <w:p w14:paraId="6AB82B13">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3、按合同规定，对工程延误进行处罚。</w:t>
      </w:r>
    </w:p>
    <w:p w14:paraId="2004DAE1">
      <w:pPr>
        <w:pStyle w:val="73"/>
        <w:ind w:left="0" w:leftChars="0" w:firstLine="480" w:firstLineChars="200"/>
        <w:rPr>
          <w:rFonts w:hint="eastAsia" w:ascii="宋体" w:hAnsi="宋体" w:eastAsia="宋体" w:cs="宋体"/>
          <w:sz w:val="24"/>
          <w:szCs w:val="24"/>
        </w:rPr>
      </w:pPr>
      <w:bookmarkStart w:id="90" w:name="_Toc175568682"/>
      <w:r>
        <w:rPr>
          <w:rFonts w:hint="eastAsia" w:ascii="宋体" w:hAnsi="宋体" w:eastAsia="宋体" w:cs="宋体"/>
          <w:sz w:val="24"/>
          <w:szCs w:val="24"/>
        </w:rPr>
        <w:t>协调措施</w:t>
      </w:r>
      <w:bookmarkEnd w:id="90"/>
    </w:p>
    <w:p w14:paraId="09C4D1EB">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1、随施工进展，逐日、逐周、逐月检查施工准备、施工条件和工程进度计划的实施情况。</w:t>
      </w:r>
    </w:p>
    <w:p w14:paraId="7F65B345">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2、与建设公司协调，按合同规定的时间支付各项预付款或合同价款，避免付款延误。</w:t>
      </w:r>
    </w:p>
    <w:p w14:paraId="46AAA132">
      <w:pPr>
        <w:pStyle w:val="59"/>
        <w:spacing w:before="0" w:after="0" w:line="360" w:lineRule="auto"/>
        <w:outlineLvl w:val="0"/>
        <w:rPr>
          <w:rFonts w:hint="eastAsia" w:ascii="宋体" w:hAnsi="宋体" w:eastAsia="宋体" w:cs="宋体"/>
          <w:sz w:val="24"/>
          <w:szCs w:val="24"/>
        </w:rPr>
      </w:pPr>
      <w:bookmarkStart w:id="91" w:name="_Toc174615026"/>
      <w:bookmarkStart w:id="92" w:name="_Toc174604287"/>
      <w:bookmarkStart w:id="93" w:name="_Toc174874827"/>
      <w:bookmarkStart w:id="94" w:name="_Toc299183624"/>
      <w:bookmarkStart w:id="95" w:name="_Toc175568688"/>
      <w:bookmarkStart w:id="96" w:name="_Toc299021741"/>
      <w:r>
        <w:rPr>
          <w:rFonts w:hint="eastAsia" w:ascii="宋体" w:hAnsi="宋体" w:eastAsia="宋体" w:cs="宋体"/>
          <w:sz w:val="24"/>
          <w:szCs w:val="24"/>
          <w:lang w:eastAsia="zh-CN"/>
        </w:rPr>
        <w:t>六、</w:t>
      </w:r>
      <w:r>
        <w:rPr>
          <w:rFonts w:hint="eastAsia" w:ascii="宋体" w:hAnsi="宋体" w:eastAsia="宋体" w:cs="宋体"/>
          <w:sz w:val="24"/>
          <w:szCs w:val="24"/>
        </w:rPr>
        <w:t xml:space="preserve"> 安全文明施工</w:t>
      </w:r>
      <w:bookmarkEnd w:id="91"/>
      <w:bookmarkEnd w:id="92"/>
      <w:bookmarkEnd w:id="93"/>
      <w:r>
        <w:rPr>
          <w:rFonts w:hint="eastAsia" w:ascii="宋体" w:hAnsi="宋体" w:eastAsia="宋体" w:cs="宋体"/>
          <w:sz w:val="24"/>
          <w:szCs w:val="24"/>
        </w:rPr>
        <w:t>要求</w:t>
      </w:r>
      <w:bookmarkEnd w:id="94"/>
      <w:bookmarkEnd w:id="95"/>
      <w:bookmarkEnd w:id="96"/>
    </w:p>
    <w:p w14:paraId="1C383AC9">
      <w:pPr>
        <w:pStyle w:val="59"/>
        <w:spacing w:before="0" w:after="0" w:line="360" w:lineRule="auto"/>
        <w:rPr>
          <w:rFonts w:hint="eastAsia" w:ascii="宋体" w:hAnsi="宋体" w:eastAsia="宋体" w:cs="宋体"/>
          <w:sz w:val="24"/>
          <w:szCs w:val="24"/>
        </w:rPr>
      </w:pPr>
      <w:bookmarkStart w:id="97" w:name="_Toc175568690"/>
      <w:bookmarkStart w:id="98" w:name="_Toc176150653"/>
      <w:bookmarkStart w:id="99" w:name="_Toc299021742"/>
      <w:bookmarkStart w:id="100" w:name="_Toc299183625"/>
      <w:r>
        <w:rPr>
          <w:rFonts w:hint="eastAsia" w:ascii="宋体" w:hAnsi="宋体" w:eastAsia="宋体" w:cs="宋体"/>
          <w:sz w:val="24"/>
          <w:szCs w:val="24"/>
        </w:rPr>
        <w:t>6.1拼装、焊接</w:t>
      </w:r>
      <w:bookmarkEnd w:id="97"/>
      <w:r>
        <w:rPr>
          <w:rFonts w:hint="eastAsia" w:ascii="宋体" w:hAnsi="宋体" w:eastAsia="宋体" w:cs="宋体"/>
          <w:sz w:val="24"/>
          <w:szCs w:val="24"/>
        </w:rPr>
        <w:t>安全施工要求</w:t>
      </w:r>
      <w:bookmarkEnd w:id="98"/>
      <w:bookmarkEnd w:id="99"/>
      <w:bookmarkEnd w:id="100"/>
    </w:p>
    <w:p w14:paraId="54373008">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1、所有进入施工场地的人员，必须戴安全帽和必要的防护用品，并进行安全技术交底，严禁违章作业。</w:t>
      </w:r>
    </w:p>
    <w:p w14:paraId="58D63B35">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2、起重工必须是经过专门安全技术培训、考试合格，持证上岗。</w:t>
      </w:r>
    </w:p>
    <w:p w14:paraId="401BBFFB">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3、电气作业人员必须经过专业安全技术培训、考试合格、持特种作业操作证上岗操作，非电工严禁从事电气作业。拼装现场要有足够的照明。施工现场电源应采用专用的电源接板，并设专人看护，电缆铺设要整齐，检查是否有破损漏电现象，并及时处理，电源要有漏电保护装置。使用电动工具前，必须对绝缘及其他防护装置进行检查，避免触电和机械伤人。焊缝加热时，电源电缆铺设整齐，不得有漏电现象，要有漏电保护装置，设专人看护。</w:t>
      </w:r>
    </w:p>
    <w:p w14:paraId="52E7FFDF">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4、电焊作业人员必须经专业技术培训，考试合格并经安全教育培训后持证上岗，从事电焊作业。电焊作业现场周围10米范围内不得堆放易燃易爆品。作业完毕必须检查火种，确认以熄灭方可离开现场。电焊机必须设单独的电源开关和漏电保护装置，一次侧电源线长度不大于5米，二次侧不大于30米，接线应压接牢靠。多台焊机接线应保持三相负载平衡。作业前应检查焊机和工具，如焊钳和焊接电缆的绝缘，焊机外壳保护接地等。电焊作业应穿电焊工作服，绝缘鞋，戴电焊手套和防护面罩等安全防护用品。蜗壳、座环挂装、焊接时必须系安全带。清理焊渣应戴防护眼镜或面罩。</w:t>
      </w:r>
    </w:p>
    <w:p w14:paraId="08FE60CB">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5、施工现场配备的灭火器材为5kg的ABC灭火器不少于</w:t>
      </w:r>
      <w:r>
        <w:rPr>
          <w:rFonts w:hint="eastAsia" w:ascii="宋体" w:hAnsi="宋体" w:eastAsia="宋体" w:cs="宋体"/>
          <w:sz w:val="24"/>
          <w:szCs w:val="24"/>
          <w:lang w:val="en-US" w:eastAsia="zh-CN"/>
        </w:rPr>
        <w:t>2</w:t>
      </w:r>
      <w:r>
        <w:rPr>
          <w:rFonts w:hint="eastAsia" w:ascii="宋体" w:hAnsi="宋体" w:eastAsia="宋体" w:cs="宋体"/>
          <w:sz w:val="24"/>
          <w:szCs w:val="24"/>
        </w:rPr>
        <w:t>个，严格执行消防制度。割除内吊耳，焊接、切割作业前应清理周围现场，易燃易爆物应采取隔离措施，作业点应与氧气、乙炔保持安全距离，正确操作避免回火。对乙炔瓶嘴存在漏气现象的必须及时处理或更换，氧气瓶和乙炔瓶必须保持5米以上的安全距离，乙炔瓶不得卧放。</w:t>
      </w:r>
    </w:p>
    <w:p w14:paraId="70D41912">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6、在施工区域内设置一些必要的安全信号和安全标志，在危险场地应设置醒目的安全警示牌。</w:t>
      </w:r>
    </w:p>
    <w:p w14:paraId="22EC423E">
      <w:pPr>
        <w:pStyle w:val="59"/>
        <w:spacing w:before="0" w:after="0" w:line="360" w:lineRule="auto"/>
        <w:rPr>
          <w:rFonts w:hint="eastAsia" w:ascii="宋体" w:hAnsi="宋体" w:eastAsia="宋体" w:cs="宋体"/>
          <w:sz w:val="24"/>
          <w:szCs w:val="24"/>
        </w:rPr>
      </w:pPr>
      <w:bookmarkStart w:id="101" w:name="_Toc175568691"/>
      <w:bookmarkStart w:id="102" w:name="_Toc299021743"/>
      <w:bookmarkStart w:id="103" w:name="_Toc299183626"/>
      <w:bookmarkStart w:id="104" w:name="_Toc176150654"/>
      <w:r>
        <w:rPr>
          <w:rFonts w:hint="eastAsia" w:ascii="宋体" w:hAnsi="宋体" w:eastAsia="宋体" w:cs="宋体"/>
          <w:sz w:val="24"/>
          <w:szCs w:val="24"/>
        </w:rPr>
        <w:t>6.2吊装就位调整焊接</w:t>
      </w:r>
      <w:bookmarkEnd w:id="101"/>
      <w:r>
        <w:rPr>
          <w:rFonts w:hint="eastAsia" w:ascii="宋体" w:hAnsi="宋体" w:eastAsia="宋体" w:cs="宋体"/>
          <w:sz w:val="24"/>
          <w:szCs w:val="24"/>
        </w:rPr>
        <w:t>安全施工要求</w:t>
      </w:r>
      <w:bookmarkEnd w:id="102"/>
      <w:bookmarkEnd w:id="103"/>
      <w:bookmarkEnd w:id="104"/>
    </w:p>
    <w:p w14:paraId="5A0FACA4">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1、设备吊装就位时应对起重设备进行运行工况检查，确保吊装安全进行。</w:t>
      </w:r>
    </w:p>
    <w:p w14:paraId="0BEE4904">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起重指挥要经过专门安全技术培训、考试合格，持证上岗的人员担任。所有人员严禁在吊起的重物下面停留或行走。工作前应将任务（如吊运物件的大小重量，高度和周围环境，经过道路）等，了解清楚，确定安全可靠的工作方法，然后进行吊装。桥机操作司机要听从指挥人员的信号，信号不明或可能引起事故时，应暂停操作。吊装作业时，班组长应将工作交待清楚，妥善组织劳动力，明确分工，待参加本项工作人员进行确认后，方可开始工作。在工作中，必须听从统一指挥。吊装前应对钢绳和吊具进行严格的检查，确保完好无损。重物吊离地面5—8厘米时，要再次检查绳索及重物绑扎情况是否稳固可靠，然后才能继续起吊，起吊应均匀平衡以免重物发生摇晃和碰撞。物件吊装就位时，压码、搭板等应焊接牢靠，至少要点焊三点，就位牢靠后方允许摘去起重吊钩。就位后，压缝调整时，应采取措施，防止压码、搭板、千斤顶架崩伤，物体坠落伤人和滑倒。</w:t>
      </w:r>
    </w:p>
    <w:p w14:paraId="6F3EE453">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焊接操作及配合人员必须按规定穿戴劳动防护用品，并必须采取防止触电高空坠落，火灾等事故的安全措施。焊接设备应设置在固定或移动式的工作台上，焊机各接触点应接触良好，并有可靠的独立接地。电焊把线必须采用橡皮导线，破损和接头处要接紧包好，不得有破漏打火现象。</w:t>
      </w:r>
    </w:p>
    <w:p w14:paraId="43B71155">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、进入施工现场电源电缆要严格按安全规范架设，不得有破损漏电现象，从事电工作业人员必须穿戴好劳动防护用品，并遵守本岗位的安全操作规程，严禁违章操作。</w:t>
      </w:r>
    </w:p>
    <w:p w14:paraId="1E2004C7">
      <w:pPr>
        <w:pStyle w:val="59"/>
        <w:spacing w:before="0" w:after="0" w:line="360" w:lineRule="auto"/>
        <w:rPr>
          <w:rFonts w:hint="eastAsia" w:ascii="宋体" w:hAnsi="宋体" w:eastAsia="宋体" w:cs="宋体"/>
          <w:sz w:val="24"/>
          <w:szCs w:val="24"/>
        </w:rPr>
      </w:pPr>
      <w:bookmarkStart w:id="105" w:name="_Toc175568692"/>
      <w:bookmarkStart w:id="106" w:name="_Toc299183627"/>
      <w:bookmarkStart w:id="107" w:name="_Toc176149826"/>
      <w:bookmarkStart w:id="108" w:name="_Toc299021744"/>
      <w:r>
        <w:rPr>
          <w:rFonts w:hint="eastAsia" w:ascii="宋体" w:hAnsi="宋体" w:eastAsia="宋体" w:cs="宋体"/>
          <w:sz w:val="24"/>
          <w:szCs w:val="24"/>
        </w:rPr>
        <w:t>6.3现场文明施工</w:t>
      </w:r>
      <w:bookmarkEnd w:id="105"/>
      <w:r>
        <w:rPr>
          <w:rFonts w:hint="eastAsia" w:ascii="宋体" w:hAnsi="宋体" w:eastAsia="宋体" w:cs="宋体"/>
          <w:sz w:val="24"/>
          <w:szCs w:val="24"/>
        </w:rPr>
        <w:t>要求</w:t>
      </w:r>
      <w:bookmarkEnd w:id="106"/>
      <w:bookmarkEnd w:id="107"/>
      <w:bookmarkEnd w:id="108"/>
    </w:p>
    <w:p w14:paraId="73FEBB8D">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1、施工现场应设专人负责打扫卫生，并定期检查。施工场地干净、整洁，各种材料堆放整齐，临时管线整齐划一，随时做到工完料净场地清。</w:t>
      </w:r>
      <w:bookmarkStart w:id="109" w:name="_Toc173212398"/>
      <w:r>
        <w:rPr>
          <w:rFonts w:hint="eastAsia" w:ascii="宋体" w:hAnsi="宋体" w:eastAsia="宋体" w:cs="宋体"/>
          <w:sz w:val="24"/>
          <w:szCs w:val="24"/>
        </w:rPr>
        <w:t>施工现场统一规划，施工设备安装材料不得随意摆放，废弃物、施工垃圾及时清理，并运至指定的地点堆放和处理，保持施工面清洁。</w:t>
      </w:r>
    </w:p>
    <w:p w14:paraId="3F5F1EFC">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施工现场禁止吸烟。场面清洁，无尘土，杂物和积水等。</w:t>
      </w:r>
    </w:p>
    <w:p w14:paraId="18099F21">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2、设备包装箱板等旧物品及时回收，在施工过程中，采取合理有效的措施保护环境，加强对噪音、粉尘、废气、废水的控制和处理。焊条头应回收，不得随意丢弃，药皮、焊渣等应及时收集，统一处理。</w:t>
      </w:r>
    </w:p>
    <w:p w14:paraId="48DB2222">
      <w:pPr>
        <w:pStyle w:val="7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严格遵循安装措施的施工要求 ，杜绝野蛮不文明施工和违章作业。</w:t>
      </w:r>
    </w:p>
    <w:bookmarkEnd w:id="109"/>
    <w:p w14:paraId="1BDB4B44">
      <w:pPr>
        <w:pStyle w:val="73"/>
        <w:spacing w:line="240" w:lineRule="auto"/>
        <w:ind w:left="0" w:leftChars="0"/>
        <w:rPr>
          <w:rFonts w:hint="eastAsia" w:ascii="仿宋" w:hAnsi="仿宋" w:eastAsia="仿宋" w:cs="仿宋"/>
          <w:sz w:val="24"/>
          <w:szCs w:val="24"/>
        </w:rPr>
      </w:pPr>
    </w:p>
    <w:p w14:paraId="0DAAD142">
      <w:pPr>
        <w:pStyle w:val="73"/>
        <w:spacing w:line="240" w:lineRule="auto"/>
        <w:ind w:left="0" w:leftChars="0"/>
        <w:rPr>
          <w:rFonts w:hint="eastAsia" w:ascii="仿宋" w:hAnsi="仿宋" w:eastAsia="仿宋" w:cs="仿宋"/>
          <w:sz w:val="24"/>
          <w:szCs w:val="24"/>
        </w:rPr>
      </w:pPr>
    </w:p>
    <w:p w14:paraId="65F609E7">
      <w:pPr>
        <w:pStyle w:val="73"/>
        <w:ind w:left="0" w:leftChars="0" w:right="2160"/>
        <w:jc w:val="right"/>
        <w:rPr>
          <w:rFonts w:hint="eastAsia" w:ascii="仿宋" w:hAnsi="仿宋" w:eastAsia="仿宋" w:cs="仿宋"/>
          <w:sz w:val="28"/>
          <w:szCs w:val="28"/>
        </w:rPr>
      </w:pPr>
      <w:r>
        <w:rPr>
          <w:rFonts w:hint="eastAsia" w:ascii="仿宋" w:hAnsi="仿宋" w:eastAsia="仿宋" w:cs="仿宋"/>
          <w:sz w:val="24"/>
          <w:szCs w:val="24"/>
        </w:rPr>
        <w:t xml:space="preserve">                   </w:t>
      </w:r>
    </w:p>
    <w:p w14:paraId="0DBD862A">
      <w:pPr>
        <w:pStyle w:val="73"/>
        <w:ind w:left="0" w:leftChars="0" w:right="1920"/>
        <w:jc w:val="right"/>
        <w:rPr>
          <w:rFonts w:hint="eastAsia"/>
          <w:sz w:val="24"/>
          <w:szCs w:val="24"/>
        </w:rPr>
      </w:pPr>
      <w:r>
        <w:rPr>
          <w:rFonts w:hint="eastAsia"/>
          <w:sz w:val="24"/>
          <w:szCs w:val="24"/>
        </w:rPr>
        <w:t xml:space="preserve">                                        </w:t>
      </w:r>
    </w:p>
    <w:p w14:paraId="65CC095C">
      <w:pPr>
        <w:spacing w:line="360" w:lineRule="auto"/>
        <w:rPr>
          <w:rFonts w:hint="eastAsia"/>
          <w:sz w:val="28"/>
          <w:szCs w:val="28"/>
        </w:rPr>
      </w:pPr>
    </w:p>
    <w:p w14:paraId="106AB56E"/>
    <w:sectPr>
      <w:footerReference r:id="rId5" w:type="default"/>
      <w:pgSz w:w="11906" w:h="16838"/>
      <w:pgMar w:top="933" w:right="964" w:bottom="1077" w:left="1304" w:header="779"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Plotter">
    <w:altName w:val="Arial"/>
    <w:panose1 w:val="00000000000000000000"/>
    <w:charset w:val="00"/>
    <w:family w:val="roman"/>
    <w:pitch w:val="default"/>
    <w:sig w:usb0="00000000" w:usb1="00000000" w:usb2="BFF713E2" w:usb3="0000017F" w:csb0="BFE819E3" w:csb1="C29BA1E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FA38E">
    <w:pPr>
      <w:pStyle w:val="18"/>
      <w:tabs>
        <w:tab w:val="left" w:pos="7762"/>
        <w:tab w:val="clear" w:pos="4153"/>
        <w:tab w:val="clear" w:pos="8306"/>
      </w:tabs>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75351">
    <w:pPr>
      <w:pStyle w:val="18"/>
      <w:tabs>
        <w:tab w:val="left" w:pos="7762"/>
        <w:tab w:val="clear" w:pos="4153"/>
        <w:tab w:val="clear" w:pos="8306"/>
      </w:tabs>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9B6CCB">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D9B6CCB">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AF771">
    <w:pPr>
      <w:widowControl/>
      <w:jc w:val="left"/>
      <w:rPr>
        <w:rFonts w:hint="eastAsia" w:eastAsia="宋体"/>
        <w:sz w:val="18"/>
        <w:szCs w:val="18"/>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092598"/>
    <w:multiLevelType w:val="multilevel"/>
    <w:tmpl w:val="41092598"/>
    <w:lvl w:ilvl="0" w:tentative="0">
      <w:start w:val="1"/>
      <w:numFmt w:val="decimal"/>
      <w:lvlText w:val="%1)"/>
      <w:lvlJc w:val="left"/>
      <w:pPr>
        <w:tabs>
          <w:tab w:val="left" w:pos="1164"/>
        </w:tabs>
        <w:ind w:left="1164" w:hanging="684"/>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6C636892"/>
    <w:multiLevelType w:val="multilevel"/>
    <w:tmpl w:val="6C636892"/>
    <w:lvl w:ilvl="0" w:tentative="0">
      <w:start w:val="1"/>
      <w:numFmt w:val="decimal"/>
      <w:lvlText w:val="%1)"/>
      <w:lvlJc w:val="left"/>
      <w:pPr>
        <w:tabs>
          <w:tab w:val="left" w:pos="840"/>
        </w:tabs>
        <w:ind w:left="840" w:hanging="360"/>
      </w:pPr>
      <w:rPr>
        <w:rFonts w:hint="default"/>
      </w:rPr>
    </w:lvl>
    <w:lvl w:ilvl="1" w:tentative="0">
      <w:start w:val="1"/>
      <w:numFmt w:val="decimal"/>
      <w:lvlText w:val="%2）"/>
      <w:lvlJc w:val="left"/>
      <w:pPr>
        <w:tabs>
          <w:tab w:val="left" w:pos="1740"/>
        </w:tabs>
        <w:ind w:left="1740" w:hanging="84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70CE5DCA"/>
    <w:multiLevelType w:val="multilevel"/>
    <w:tmpl w:val="70CE5DCA"/>
    <w:lvl w:ilvl="0" w:tentative="0">
      <w:start w:val="1"/>
      <w:numFmt w:val="decimal"/>
      <w:lvlText w:val="%1)"/>
      <w:lvlJc w:val="left"/>
      <w:pPr>
        <w:tabs>
          <w:tab w:val="left" w:pos="0"/>
        </w:tabs>
        <w:ind w:left="0" w:firstLine="40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iNGQ3NDcxNzBmNzdmMGYzZWJiMmZiYzczZTMzZjAifQ=="/>
  </w:docVars>
  <w:rsids>
    <w:rsidRoot w:val="00BD4499"/>
    <w:rsid w:val="003D76A7"/>
    <w:rsid w:val="00893FDD"/>
    <w:rsid w:val="008A5F3C"/>
    <w:rsid w:val="00B06EB9"/>
    <w:rsid w:val="00BD4499"/>
    <w:rsid w:val="04573D91"/>
    <w:rsid w:val="0D273DCE"/>
    <w:rsid w:val="0FB148A3"/>
    <w:rsid w:val="124464A0"/>
    <w:rsid w:val="12693CF4"/>
    <w:rsid w:val="13191C7B"/>
    <w:rsid w:val="14762673"/>
    <w:rsid w:val="14F4296F"/>
    <w:rsid w:val="17767DC7"/>
    <w:rsid w:val="197B15FB"/>
    <w:rsid w:val="1AA13FC1"/>
    <w:rsid w:val="1C9612B9"/>
    <w:rsid w:val="1D5F5252"/>
    <w:rsid w:val="1E880FAC"/>
    <w:rsid w:val="20AE6D35"/>
    <w:rsid w:val="25A53ED4"/>
    <w:rsid w:val="28723D53"/>
    <w:rsid w:val="325A1735"/>
    <w:rsid w:val="328D67AA"/>
    <w:rsid w:val="32F74798"/>
    <w:rsid w:val="330E6D3C"/>
    <w:rsid w:val="36402E20"/>
    <w:rsid w:val="41E77CB8"/>
    <w:rsid w:val="4636087E"/>
    <w:rsid w:val="48471DEA"/>
    <w:rsid w:val="4B9B083D"/>
    <w:rsid w:val="4BBC389A"/>
    <w:rsid w:val="4EDF041B"/>
    <w:rsid w:val="4EEF3FB4"/>
    <w:rsid w:val="503A64D9"/>
    <w:rsid w:val="5267256A"/>
    <w:rsid w:val="570F6359"/>
    <w:rsid w:val="57835872"/>
    <w:rsid w:val="587F2E1C"/>
    <w:rsid w:val="5A116523"/>
    <w:rsid w:val="5A140593"/>
    <w:rsid w:val="5A75439E"/>
    <w:rsid w:val="5C18518A"/>
    <w:rsid w:val="5E165DA5"/>
    <w:rsid w:val="5E17492B"/>
    <w:rsid w:val="5F756B78"/>
    <w:rsid w:val="6094358B"/>
    <w:rsid w:val="60A02BAE"/>
    <w:rsid w:val="63B97BEF"/>
    <w:rsid w:val="6A17482D"/>
    <w:rsid w:val="6B81390E"/>
    <w:rsid w:val="6D234D48"/>
    <w:rsid w:val="71F17B50"/>
    <w:rsid w:val="726E68C7"/>
    <w:rsid w:val="73432A64"/>
    <w:rsid w:val="75DE2D80"/>
    <w:rsid w:val="770E4688"/>
    <w:rsid w:val="792A500F"/>
    <w:rsid w:val="7988281D"/>
    <w:rsid w:val="7A1E4B41"/>
    <w:rsid w:val="7D326276"/>
    <w:rsid w:val="7F6E6481"/>
    <w:rsid w:val="7FDD4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nhideWhenUsed="0" w:uiPriority="0"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32"/>
    <w:qFormat/>
    <w:uiPriority w:val="0"/>
    <w:pPr>
      <w:spacing w:before="340" w:after="330" w:line="240" w:lineRule="auto"/>
      <w:outlineLvl w:val="0"/>
    </w:pPr>
    <w:rPr>
      <w:rFonts w:ascii="黑体"/>
      <w:b w:val="0"/>
      <w:bCs w:val="0"/>
      <w:color w:val="000000"/>
      <w:spacing w:val="24"/>
      <w:kern w:val="44"/>
      <w:szCs w:val="20"/>
    </w:rPr>
  </w:style>
  <w:style w:type="paragraph" w:styleId="3">
    <w:name w:val="heading 2"/>
    <w:basedOn w:val="1"/>
    <w:next w:val="1"/>
    <w:link w:val="33"/>
    <w:qFormat/>
    <w:uiPriority w:val="0"/>
    <w:pPr>
      <w:keepNext/>
      <w:keepLines/>
      <w:spacing w:before="260" w:after="260" w:line="0" w:lineRule="atLeast"/>
      <w:outlineLvl w:val="1"/>
    </w:pPr>
    <w:rPr>
      <w:rFonts w:ascii="Arial" w:hAnsi="Arial" w:eastAsia="黑体"/>
      <w:b/>
      <w:bCs/>
      <w:sz w:val="28"/>
      <w:szCs w:val="32"/>
    </w:rPr>
  </w:style>
  <w:style w:type="paragraph" w:styleId="4">
    <w:name w:val="heading 3"/>
    <w:basedOn w:val="5"/>
    <w:next w:val="6"/>
    <w:link w:val="34"/>
    <w:qFormat/>
    <w:uiPriority w:val="0"/>
    <w:pPr>
      <w:spacing w:before="120" w:after="80" w:line="0" w:lineRule="atLeast"/>
      <w:outlineLvl w:val="2"/>
    </w:pPr>
    <w:rPr>
      <w:sz w:val="28"/>
    </w:rPr>
  </w:style>
  <w:style w:type="paragraph" w:styleId="5">
    <w:name w:val="heading 4"/>
    <w:basedOn w:val="1"/>
    <w:next w:val="6"/>
    <w:link w:val="35"/>
    <w:qFormat/>
    <w:uiPriority w:val="0"/>
    <w:pPr>
      <w:keepNext/>
      <w:keepLines/>
      <w:spacing w:before="80" w:after="60"/>
      <w:outlineLvl w:val="3"/>
    </w:pPr>
    <w:rPr>
      <w:rFonts w:ascii="黑体" w:hAnsi="Arial" w:eastAsia="黑体"/>
      <w:color w:val="000000"/>
      <w:sz w:val="24"/>
      <w:szCs w:val="20"/>
    </w:rPr>
  </w:style>
  <w:style w:type="paragraph" w:styleId="7">
    <w:name w:val="heading 5"/>
    <w:basedOn w:val="1"/>
    <w:next w:val="1"/>
    <w:link w:val="36"/>
    <w:qFormat/>
    <w:uiPriority w:val="0"/>
    <w:pPr>
      <w:keepNext/>
      <w:keepLines/>
      <w:spacing w:before="280" w:after="290" w:line="376" w:lineRule="auto"/>
      <w:outlineLvl w:val="4"/>
    </w:pPr>
    <w:rPr>
      <w:b/>
      <w:bCs/>
      <w:sz w:val="28"/>
      <w:szCs w:val="28"/>
    </w:rPr>
  </w:style>
  <w:style w:type="character" w:default="1" w:styleId="26">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5"/>
    <w:semiHidden/>
    <w:qFormat/>
    <w:uiPriority w:val="0"/>
    <w:pPr>
      <w:ind w:firstLine="420"/>
    </w:pPr>
    <w:rPr>
      <w:rFonts w:ascii="宋体" w:hAnsiTheme="minorHAnsi" w:cstheme="minorBidi"/>
      <w:color w:val="000000"/>
      <w:sz w:val="24"/>
      <w:szCs w:val="22"/>
    </w:rPr>
  </w:style>
  <w:style w:type="paragraph" w:styleId="8">
    <w:name w:val="Document Map"/>
    <w:basedOn w:val="1"/>
    <w:link w:val="46"/>
    <w:semiHidden/>
    <w:qFormat/>
    <w:uiPriority w:val="0"/>
    <w:pPr>
      <w:shd w:val="clear" w:color="auto" w:fill="000080"/>
    </w:pPr>
  </w:style>
  <w:style w:type="paragraph" w:styleId="9">
    <w:name w:val="annotation text"/>
    <w:basedOn w:val="1"/>
    <w:link w:val="47"/>
    <w:semiHidden/>
    <w:qFormat/>
    <w:uiPriority w:val="0"/>
    <w:pPr>
      <w:jc w:val="left"/>
    </w:pPr>
  </w:style>
  <w:style w:type="paragraph" w:styleId="10">
    <w:name w:val="Body Text 3"/>
    <w:basedOn w:val="1"/>
    <w:link w:val="52"/>
    <w:semiHidden/>
    <w:qFormat/>
    <w:uiPriority w:val="0"/>
    <w:pPr>
      <w:tabs>
        <w:tab w:val="left" w:pos="6660"/>
      </w:tabs>
      <w:spacing w:after="120" w:line="360" w:lineRule="auto"/>
    </w:pPr>
    <w:rPr>
      <w:rFonts w:ascii="宋体" w:hAnsi="宋体"/>
      <w:bCs/>
      <w:spacing w:val="6"/>
      <w:kern w:val="44"/>
      <w:sz w:val="16"/>
      <w:szCs w:val="16"/>
    </w:rPr>
  </w:style>
  <w:style w:type="paragraph" w:styleId="11">
    <w:name w:val="Body Text"/>
    <w:basedOn w:val="1"/>
    <w:link w:val="51"/>
    <w:semiHidden/>
    <w:qFormat/>
    <w:uiPriority w:val="0"/>
    <w:rPr>
      <w:rFonts w:ascii="宋体"/>
      <w:color w:val="000000"/>
      <w:sz w:val="24"/>
      <w:szCs w:val="20"/>
    </w:rPr>
  </w:style>
  <w:style w:type="paragraph" w:styleId="12">
    <w:name w:val="List 2"/>
    <w:basedOn w:val="1"/>
    <w:qFormat/>
    <w:uiPriority w:val="0"/>
    <w:rPr>
      <w:sz w:val="28"/>
      <w:szCs w:val="20"/>
    </w:rPr>
  </w:style>
  <w:style w:type="paragraph" w:styleId="13">
    <w:name w:val="toc 5"/>
    <w:basedOn w:val="1"/>
    <w:next w:val="1"/>
    <w:semiHidden/>
    <w:qFormat/>
    <w:uiPriority w:val="0"/>
    <w:pPr>
      <w:ind w:left="1680" w:leftChars="800"/>
    </w:pPr>
  </w:style>
  <w:style w:type="paragraph" w:styleId="14">
    <w:name w:val="toc 3"/>
    <w:basedOn w:val="1"/>
    <w:next w:val="1"/>
    <w:qFormat/>
    <w:uiPriority w:val="39"/>
    <w:pPr>
      <w:ind w:left="840" w:leftChars="400"/>
    </w:pPr>
  </w:style>
  <w:style w:type="paragraph" w:styleId="15">
    <w:name w:val="Plain Text"/>
    <w:basedOn w:val="1"/>
    <w:link w:val="54"/>
    <w:semiHidden/>
    <w:qFormat/>
    <w:uiPriority w:val="0"/>
    <w:pPr>
      <w:spacing w:line="360" w:lineRule="auto"/>
      <w:ind w:left="899" w:leftChars="428"/>
    </w:pPr>
    <w:rPr>
      <w:rFonts w:ascii="宋体" w:hAnsi="Courier New"/>
      <w:sz w:val="24"/>
      <w:szCs w:val="21"/>
    </w:rPr>
  </w:style>
  <w:style w:type="paragraph" w:styleId="16">
    <w:name w:val="Date"/>
    <w:basedOn w:val="1"/>
    <w:next w:val="1"/>
    <w:link w:val="53"/>
    <w:semiHidden/>
    <w:qFormat/>
    <w:uiPriority w:val="0"/>
    <w:pPr>
      <w:ind w:left="100" w:leftChars="2500"/>
    </w:pPr>
  </w:style>
  <w:style w:type="paragraph" w:styleId="17">
    <w:name w:val="Balloon Text"/>
    <w:basedOn w:val="1"/>
    <w:link w:val="49"/>
    <w:semiHidden/>
    <w:qFormat/>
    <w:uiPriority w:val="0"/>
    <w:rPr>
      <w:sz w:val="18"/>
      <w:szCs w:val="18"/>
    </w:rPr>
  </w:style>
  <w:style w:type="paragraph" w:styleId="18">
    <w:name w:val="footer"/>
    <w:basedOn w:val="1"/>
    <w:link w:val="31"/>
    <w:unhideWhenUsed/>
    <w:qFormat/>
    <w:uiPriority w:val="99"/>
    <w:pPr>
      <w:tabs>
        <w:tab w:val="center" w:pos="4153"/>
        <w:tab w:val="right" w:pos="8306"/>
      </w:tabs>
      <w:snapToGrid w:val="0"/>
      <w:jc w:val="left"/>
    </w:pPr>
    <w:rPr>
      <w:sz w:val="18"/>
      <w:szCs w:val="18"/>
    </w:rPr>
  </w:style>
  <w:style w:type="paragraph" w:styleId="19">
    <w:name w:val="header"/>
    <w:basedOn w:val="1"/>
    <w:link w:val="30"/>
    <w:unhideWhenUsed/>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semiHidden/>
    <w:qFormat/>
    <w:uiPriority w:val="0"/>
  </w:style>
  <w:style w:type="paragraph" w:styleId="21">
    <w:name w:val="toc 4"/>
    <w:basedOn w:val="1"/>
    <w:next w:val="1"/>
    <w:semiHidden/>
    <w:qFormat/>
    <w:uiPriority w:val="0"/>
    <w:pPr>
      <w:ind w:left="1260" w:leftChars="600"/>
    </w:pPr>
  </w:style>
  <w:style w:type="paragraph" w:styleId="22">
    <w:name w:val="toc 2"/>
    <w:basedOn w:val="1"/>
    <w:next w:val="1"/>
    <w:qFormat/>
    <w:uiPriority w:val="39"/>
    <w:pPr>
      <w:tabs>
        <w:tab w:val="right" w:leader="dot" w:pos="9628"/>
      </w:tabs>
      <w:ind w:left="420" w:leftChars="200"/>
      <w:jc w:val="center"/>
    </w:pPr>
    <w:rPr>
      <w:rFonts w:ascii="宋体" w:hAnsi="宋体"/>
      <w:sz w:val="24"/>
      <w:szCs w:val="32"/>
      <w:lang w:val="en-US" w:eastAsia="zh-CN"/>
    </w:rPr>
  </w:style>
  <w:style w:type="paragraph" w:styleId="23">
    <w:name w:val="Title"/>
    <w:basedOn w:val="1"/>
    <w:link w:val="48"/>
    <w:qFormat/>
    <w:uiPriority w:val="0"/>
    <w:pPr>
      <w:spacing w:before="240" w:after="60"/>
      <w:jc w:val="center"/>
      <w:outlineLvl w:val="0"/>
    </w:pPr>
    <w:rPr>
      <w:rFonts w:ascii="Arial" w:hAnsi="Arial" w:cs="Arial"/>
      <w:b/>
      <w:bCs/>
      <w:sz w:val="32"/>
      <w:szCs w:val="32"/>
    </w:rPr>
  </w:style>
  <w:style w:type="paragraph" w:styleId="24">
    <w:name w:val="annotation subject"/>
    <w:basedOn w:val="9"/>
    <w:next w:val="9"/>
    <w:link w:val="50"/>
    <w:semiHidden/>
    <w:qFormat/>
    <w:uiPriority w:val="0"/>
    <w:rPr>
      <w:b/>
      <w:bCs/>
    </w:rPr>
  </w:style>
  <w:style w:type="character" w:styleId="27">
    <w:name w:val="page number"/>
    <w:basedOn w:val="26"/>
    <w:semiHidden/>
    <w:qFormat/>
    <w:uiPriority w:val="0"/>
  </w:style>
  <w:style w:type="character" w:styleId="28">
    <w:name w:val="Hyperlink"/>
    <w:qFormat/>
    <w:uiPriority w:val="99"/>
    <w:rPr>
      <w:color w:val="0000FF"/>
      <w:u w:val="single"/>
    </w:rPr>
  </w:style>
  <w:style w:type="character" w:styleId="29">
    <w:name w:val="annotation reference"/>
    <w:semiHidden/>
    <w:qFormat/>
    <w:uiPriority w:val="0"/>
    <w:rPr>
      <w:sz w:val="21"/>
      <w:szCs w:val="21"/>
    </w:rPr>
  </w:style>
  <w:style w:type="character" w:customStyle="1" w:styleId="30">
    <w:name w:val="页眉 字符"/>
    <w:basedOn w:val="26"/>
    <w:link w:val="19"/>
    <w:qFormat/>
    <w:uiPriority w:val="99"/>
    <w:rPr>
      <w:sz w:val="18"/>
      <w:szCs w:val="18"/>
    </w:rPr>
  </w:style>
  <w:style w:type="character" w:customStyle="1" w:styleId="31">
    <w:name w:val="页脚 字符"/>
    <w:basedOn w:val="26"/>
    <w:link w:val="18"/>
    <w:qFormat/>
    <w:uiPriority w:val="99"/>
    <w:rPr>
      <w:sz w:val="18"/>
      <w:szCs w:val="18"/>
    </w:rPr>
  </w:style>
  <w:style w:type="character" w:customStyle="1" w:styleId="32">
    <w:name w:val="标题 1 字符"/>
    <w:basedOn w:val="26"/>
    <w:link w:val="2"/>
    <w:qFormat/>
    <w:uiPriority w:val="0"/>
    <w:rPr>
      <w:rFonts w:ascii="黑体" w:hAnsi="Arial" w:eastAsia="黑体" w:cs="Times New Roman"/>
      <w:color w:val="000000"/>
      <w:spacing w:val="24"/>
      <w:kern w:val="44"/>
      <w:sz w:val="28"/>
      <w:szCs w:val="20"/>
    </w:rPr>
  </w:style>
  <w:style w:type="character" w:customStyle="1" w:styleId="33">
    <w:name w:val="标题 2 字符"/>
    <w:basedOn w:val="26"/>
    <w:link w:val="3"/>
    <w:qFormat/>
    <w:uiPriority w:val="0"/>
    <w:rPr>
      <w:rFonts w:ascii="Arial" w:hAnsi="Arial" w:eastAsia="黑体" w:cs="Times New Roman"/>
      <w:b/>
      <w:bCs/>
      <w:sz w:val="28"/>
      <w:szCs w:val="32"/>
    </w:rPr>
  </w:style>
  <w:style w:type="character" w:customStyle="1" w:styleId="34">
    <w:name w:val="标题 3 字符"/>
    <w:basedOn w:val="26"/>
    <w:link w:val="4"/>
    <w:qFormat/>
    <w:uiPriority w:val="0"/>
    <w:rPr>
      <w:rFonts w:ascii="黑体" w:hAnsi="Arial" w:eastAsia="黑体" w:cs="Times New Roman"/>
      <w:color w:val="000000"/>
      <w:sz w:val="28"/>
      <w:szCs w:val="20"/>
    </w:rPr>
  </w:style>
  <w:style w:type="character" w:customStyle="1" w:styleId="35">
    <w:name w:val="标题 4 字符"/>
    <w:basedOn w:val="26"/>
    <w:link w:val="5"/>
    <w:qFormat/>
    <w:uiPriority w:val="0"/>
    <w:rPr>
      <w:rFonts w:ascii="黑体" w:hAnsi="Arial" w:eastAsia="黑体" w:cs="Times New Roman"/>
      <w:color w:val="000000"/>
      <w:sz w:val="24"/>
      <w:szCs w:val="20"/>
    </w:rPr>
  </w:style>
  <w:style w:type="character" w:customStyle="1" w:styleId="36">
    <w:name w:val="标题 5 字符"/>
    <w:basedOn w:val="26"/>
    <w:link w:val="7"/>
    <w:qFormat/>
    <w:uiPriority w:val="0"/>
    <w:rPr>
      <w:rFonts w:ascii="Times New Roman" w:hAnsi="Times New Roman" w:eastAsia="宋体" w:cs="Times New Roman"/>
      <w:b/>
      <w:bCs/>
      <w:sz w:val="28"/>
      <w:szCs w:val="28"/>
    </w:rPr>
  </w:style>
  <w:style w:type="character" w:customStyle="1" w:styleId="37">
    <w:name w:val="标题 2（用） Char Char"/>
    <w:qFormat/>
    <w:uiPriority w:val="0"/>
    <w:rPr>
      <w:rFonts w:ascii="Arial" w:hAnsi="Arial" w:eastAsia="黑体"/>
      <w:b/>
      <w:bCs/>
      <w:kern w:val="2"/>
      <w:sz w:val="28"/>
      <w:szCs w:val="32"/>
      <w:lang w:val="en-US" w:eastAsia="zh-CN" w:bidi="ar-SA"/>
    </w:rPr>
  </w:style>
  <w:style w:type="character" w:customStyle="1" w:styleId="38">
    <w:name w:val="标题 4 Char"/>
    <w:qFormat/>
    <w:uiPriority w:val="0"/>
    <w:rPr>
      <w:rFonts w:ascii="黑体" w:hAnsi="Arial" w:eastAsia="黑体"/>
      <w:color w:val="000000"/>
      <w:kern w:val="2"/>
      <w:sz w:val="24"/>
      <w:lang w:val="en-US" w:eastAsia="zh-CN" w:bidi="ar-SA"/>
    </w:rPr>
  </w:style>
  <w:style w:type="character" w:customStyle="1" w:styleId="39">
    <w:name w:val="LXW.正文 Char"/>
    <w:qFormat/>
    <w:uiPriority w:val="0"/>
    <w:rPr>
      <w:rFonts w:ascii="宋体" w:eastAsia="宋体"/>
      <w:kern w:val="2"/>
      <w:sz w:val="24"/>
      <w:szCs w:val="24"/>
      <w:lang w:val="en-US" w:eastAsia="zh-CN" w:bidi="ar-SA"/>
    </w:rPr>
  </w:style>
  <w:style w:type="character" w:customStyle="1" w:styleId="40">
    <w:name w:val="表格表题（用） Char"/>
    <w:qFormat/>
    <w:uiPriority w:val="0"/>
    <w:rPr>
      <w:rFonts w:eastAsia="宋体"/>
      <w:b/>
      <w:kern w:val="2"/>
      <w:sz w:val="21"/>
      <w:szCs w:val="24"/>
      <w:lang w:val="en-US" w:eastAsia="zh-CN" w:bidi="ar-SA"/>
    </w:rPr>
  </w:style>
  <w:style w:type="character" w:customStyle="1" w:styleId="41">
    <w:name w:val="LXW.5 Char"/>
    <w:qFormat/>
    <w:uiPriority w:val="0"/>
    <w:rPr>
      <w:rFonts w:ascii="宋体" w:eastAsia="宋体"/>
      <w:kern w:val="2"/>
      <w:sz w:val="24"/>
      <w:szCs w:val="24"/>
      <w:lang w:val="en-US" w:eastAsia="zh-CN" w:bidi="ar-SA"/>
    </w:rPr>
  </w:style>
  <w:style w:type="character" w:customStyle="1" w:styleId="42">
    <w:name w:val="（1）文字用 Char"/>
    <w:qFormat/>
    <w:uiPriority w:val="0"/>
    <w:rPr>
      <w:rFonts w:eastAsia="宋体" w:cs="宋体"/>
      <w:bCs/>
      <w:kern w:val="2"/>
      <w:sz w:val="21"/>
      <w:lang w:val="en-US" w:eastAsia="zh-CN" w:bidi="ar-SA"/>
    </w:rPr>
  </w:style>
  <w:style w:type="character" w:customStyle="1" w:styleId="43">
    <w:name w:val="样式 样式 样式 正文 + 首行缩进:  2 字符 + 首行缩进:  2 字符 + 首行缩进:  2 字符 Char"/>
    <w:link w:val="44"/>
    <w:qFormat/>
    <w:uiPriority w:val="0"/>
    <w:rPr>
      <w:rFonts w:eastAsia="宋体"/>
      <w:sz w:val="24"/>
      <w:lang w:val="en-GB"/>
    </w:rPr>
  </w:style>
  <w:style w:type="paragraph" w:customStyle="1" w:styleId="44">
    <w:name w:val="样式 样式 样式 正文 + 首行缩进:  2 字符 + 首行缩进:  2 字符 + 首行缩进:  2 字符"/>
    <w:basedOn w:val="1"/>
    <w:link w:val="43"/>
    <w:qFormat/>
    <w:uiPriority w:val="0"/>
    <w:pPr>
      <w:widowControl/>
      <w:adjustRightInd w:val="0"/>
      <w:snapToGrid w:val="0"/>
      <w:spacing w:line="360" w:lineRule="auto"/>
      <w:ind w:firstLine="200" w:firstLineChars="200"/>
    </w:pPr>
    <w:rPr>
      <w:rFonts w:asciiTheme="minorHAnsi" w:hAnsiTheme="minorHAnsi" w:cstheme="minorBidi"/>
      <w:sz w:val="24"/>
      <w:szCs w:val="22"/>
      <w:lang w:val="en-GB"/>
    </w:rPr>
  </w:style>
  <w:style w:type="character" w:customStyle="1" w:styleId="45">
    <w:name w:val="正文缩进 字符"/>
    <w:link w:val="6"/>
    <w:semiHidden/>
    <w:qFormat/>
    <w:uiPriority w:val="0"/>
    <w:rPr>
      <w:rFonts w:ascii="宋体" w:eastAsia="宋体"/>
      <w:color w:val="000000"/>
      <w:sz w:val="24"/>
    </w:rPr>
  </w:style>
  <w:style w:type="character" w:customStyle="1" w:styleId="46">
    <w:name w:val="文档结构图 字符"/>
    <w:basedOn w:val="26"/>
    <w:link w:val="8"/>
    <w:semiHidden/>
    <w:qFormat/>
    <w:uiPriority w:val="0"/>
    <w:rPr>
      <w:rFonts w:ascii="Times New Roman" w:hAnsi="Times New Roman" w:eastAsia="宋体" w:cs="Times New Roman"/>
      <w:szCs w:val="24"/>
      <w:shd w:val="clear" w:color="auto" w:fill="000080"/>
    </w:rPr>
  </w:style>
  <w:style w:type="character" w:customStyle="1" w:styleId="47">
    <w:name w:val="批注文字 字符"/>
    <w:basedOn w:val="26"/>
    <w:link w:val="9"/>
    <w:semiHidden/>
    <w:qFormat/>
    <w:uiPriority w:val="0"/>
    <w:rPr>
      <w:rFonts w:ascii="Times New Roman" w:hAnsi="Times New Roman" w:eastAsia="宋体" w:cs="Times New Roman"/>
      <w:szCs w:val="24"/>
    </w:rPr>
  </w:style>
  <w:style w:type="character" w:customStyle="1" w:styleId="48">
    <w:name w:val="标题 字符"/>
    <w:basedOn w:val="26"/>
    <w:link w:val="23"/>
    <w:qFormat/>
    <w:uiPriority w:val="0"/>
    <w:rPr>
      <w:rFonts w:ascii="Arial" w:hAnsi="Arial" w:eastAsia="宋体" w:cs="Arial"/>
      <w:b/>
      <w:bCs/>
      <w:sz w:val="32"/>
      <w:szCs w:val="32"/>
    </w:rPr>
  </w:style>
  <w:style w:type="character" w:customStyle="1" w:styleId="49">
    <w:name w:val="批注框文本 字符"/>
    <w:basedOn w:val="26"/>
    <w:link w:val="17"/>
    <w:semiHidden/>
    <w:qFormat/>
    <w:uiPriority w:val="0"/>
    <w:rPr>
      <w:rFonts w:ascii="Times New Roman" w:hAnsi="Times New Roman" w:eastAsia="宋体" w:cs="Times New Roman"/>
      <w:sz w:val="18"/>
      <w:szCs w:val="18"/>
    </w:rPr>
  </w:style>
  <w:style w:type="character" w:customStyle="1" w:styleId="50">
    <w:name w:val="批注主题 字符"/>
    <w:basedOn w:val="47"/>
    <w:link w:val="24"/>
    <w:semiHidden/>
    <w:qFormat/>
    <w:uiPriority w:val="0"/>
    <w:rPr>
      <w:rFonts w:ascii="Times New Roman" w:hAnsi="Times New Roman" w:eastAsia="宋体" w:cs="Times New Roman"/>
      <w:b/>
      <w:bCs/>
      <w:szCs w:val="24"/>
    </w:rPr>
  </w:style>
  <w:style w:type="character" w:customStyle="1" w:styleId="51">
    <w:name w:val="正文文本 字符"/>
    <w:basedOn w:val="26"/>
    <w:link w:val="11"/>
    <w:semiHidden/>
    <w:qFormat/>
    <w:uiPriority w:val="0"/>
    <w:rPr>
      <w:rFonts w:ascii="宋体" w:hAnsi="Times New Roman" w:eastAsia="宋体" w:cs="Times New Roman"/>
      <w:color w:val="000000"/>
      <w:sz w:val="24"/>
      <w:szCs w:val="20"/>
    </w:rPr>
  </w:style>
  <w:style w:type="character" w:customStyle="1" w:styleId="52">
    <w:name w:val="正文文本 3 字符"/>
    <w:basedOn w:val="26"/>
    <w:link w:val="10"/>
    <w:semiHidden/>
    <w:qFormat/>
    <w:uiPriority w:val="0"/>
    <w:rPr>
      <w:rFonts w:ascii="宋体" w:hAnsi="宋体" w:eastAsia="宋体" w:cs="Times New Roman"/>
      <w:bCs/>
      <w:spacing w:val="6"/>
      <w:kern w:val="44"/>
      <w:sz w:val="16"/>
      <w:szCs w:val="16"/>
    </w:rPr>
  </w:style>
  <w:style w:type="character" w:customStyle="1" w:styleId="53">
    <w:name w:val="日期 字符"/>
    <w:basedOn w:val="26"/>
    <w:link w:val="16"/>
    <w:semiHidden/>
    <w:qFormat/>
    <w:uiPriority w:val="0"/>
    <w:rPr>
      <w:rFonts w:ascii="Times New Roman" w:hAnsi="Times New Roman" w:eastAsia="宋体" w:cs="Times New Roman"/>
      <w:szCs w:val="24"/>
    </w:rPr>
  </w:style>
  <w:style w:type="character" w:customStyle="1" w:styleId="54">
    <w:name w:val="纯文本 字符"/>
    <w:basedOn w:val="26"/>
    <w:link w:val="15"/>
    <w:semiHidden/>
    <w:qFormat/>
    <w:uiPriority w:val="0"/>
    <w:rPr>
      <w:rFonts w:ascii="宋体" w:hAnsi="Courier New" w:eastAsia="宋体" w:cs="Times New Roman"/>
      <w:sz w:val="24"/>
      <w:szCs w:val="21"/>
    </w:rPr>
  </w:style>
  <w:style w:type="paragraph" w:customStyle="1" w:styleId="55">
    <w:name w:val="LXW.2"/>
    <w:next w:val="56"/>
    <w:qFormat/>
    <w:uiPriority w:val="0"/>
    <w:pPr>
      <w:keepNext/>
      <w:widowControl w:val="0"/>
      <w:outlineLvl w:val="1"/>
    </w:pPr>
    <w:rPr>
      <w:rFonts w:ascii="宋体" w:hAnsi="Times New Roman" w:eastAsia="宋体" w:cs="Times New Roman"/>
      <w:b/>
      <w:color w:val="800080"/>
      <w:w w:val="150"/>
      <w:kern w:val="2"/>
      <w:sz w:val="28"/>
      <w:szCs w:val="28"/>
      <w:lang w:val="en-US" w:eastAsia="zh-CN" w:bidi="ar-SA"/>
    </w:rPr>
  </w:style>
  <w:style w:type="paragraph" w:customStyle="1" w:styleId="56">
    <w:name w:val="LXW.正文"/>
    <w:qFormat/>
    <w:uiPriority w:val="0"/>
    <w:pPr>
      <w:widowControl w:val="0"/>
      <w:spacing w:line="360" w:lineRule="auto"/>
      <w:ind w:left="840" w:leftChars="350" w:firstLine="480" w:firstLineChars="200"/>
    </w:pPr>
    <w:rPr>
      <w:rFonts w:ascii="宋体" w:hAnsi="Times New Roman" w:eastAsia="宋体" w:cs="Times New Roman"/>
      <w:kern w:val="2"/>
      <w:sz w:val="24"/>
      <w:szCs w:val="24"/>
      <w:lang w:val="en-US" w:eastAsia="zh-CN" w:bidi="ar-SA"/>
    </w:rPr>
  </w:style>
  <w:style w:type="paragraph" w:customStyle="1" w:styleId="57">
    <w:name w:val="样式1.1.1"/>
    <w:basedOn w:val="1"/>
    <w:qFormat/>
    <w:uiPriority w:val="0"/>
    <w:pPr>
      <w:keepNext/>
      <w:keepLines/>
      <w:tabs>
        <w:tab w:val="left" w:pos="6660"/>
      </w:tabs>
      <w:spacing w:before="140" w:after="140"/>
      <w:outlineLvl w:val="1"/>
    </w:pPr>
    <w:rPr>
      <w:rFonts w:ascii="Arial" w:hAnsi="Arial" w:eastAsia="黑体"/>
      <w:b/>
      <w:spacing w:val="6"/>
      <w:kern w:val="0"/>
      <w:sz w:val="28"/>
      <w:szCs w:val="28"/>
    </w:rPr>
  </w:style>
  <w:style w:type="paragraph" w:customStyle="1" w:styleId="58">
    <w:name w:val="LXW.5"/>
    <w:next w:val="56"/>
    <w:qFormat/>
    <w:uiPriority w:val="0"/>
    <w:pPr>
      <w:widowControl w:val="0"/>
      <w:spacing w:line="360" w:lineRule="auto"/>
      <w:ind w:left="840" w:leftChars="100" w:hanging="600" w:hangingChars="250"/>
    </w:pPr>
    <w:rPr>
      <w:rFonts w:ascii="宋体" w:hAnsi="Times New Roman" w:eastAsia="宋体" w:cs="Times New Roman"/>
      <w:kern w:val="2"/>
      <w:sz w:val="24"/>
      <w:szCs w:val="24"/>
      <w:lang w:val="en-US" w:eastAsia="zh-CN" w:bidi="ar-SA"/>
    </w:rPr>
  </w:style>
  <w:style w:type="paragraph" w:customStyle="1" w:styleId="59">
    <w:name w:val="样式12"/>
    <w:basedOn w:val="1"/>
    <w:qFormat/>
    <w:uiPriority w:val="0"/>
    <w:pPr>
      <w:keepNext/>
      <w:keepLines/>
      <w:tabs>
        <w:tab w:val="left" w:pos="6660"/>
      </w:tabs>
      <w:spacing w:before="140" w:after="140"/>
      <w:outlineLvl w:val="1"/>
    </w:pPr>
    <w:rPr>
      <w:rFonts w:ascii="Arial" w:hAnsi="Arial" w:eastAsia="黑体"/>
      <w:b/>
      <w:spacing w:val="6"/>
      <w:kern w:val="0"/>
      <w:sz w:val="28"/>
      <w:szCs w:val="28"/>
    </w:rPr>
  </w:style>
  <w:style w:type="paragraph" w:customStyle="1" w:styleId="60">
    <w:name w:val="样式9"/>
    <w:basedOn w:val="1"/>
    <w:qFormat/>
    <w:uiPriority w:val="0"/>
    <w:pPr>
      <w:keepNext/>
      <w:keepLines/>
      <w:tabs>
        <w:tab w:val="left" w:pos="6660"/>
      </w:tabs>
      <w:spacing w:before="140" w:after="140"/>
      <w:outlineLvl w:val="1"/>
    </w:pPr>
    <w:rPr>
      <w:rFonts w:ascii="Arial" w:hAnsi="Arial" w:eastAsia="黑体"/>
      <w:b/>
      <w:spacing w:val="6"/>
      <w:kern w:val="0"/>
      <w:sz w:val="32"/>
      <w:szCs w:val="28"/>
    </w:rPr>
  </w:style>
  <w:style w:type="paragraph" w:customStyle="1" w:styleId="61">
    <w:name w:val="默认段落字体 Para Char Char Char Char"/>
    <w:basedOn w:val="1"/>
    <w:qFormat/>
    <w:uiPriority w:val="0"/>
    <w:rPr>
      <w:szCs w:val="20"/>
    </w:rPr>
  </w:style>
  <w:style w:type="paragraph" w:customStyle="1" w:styleId="62">
    <w:name w:val="样式5"/>
    <w:basedOn w:val="1"/>
    <w:qFormat/>
    <w:uiPriority w:val="0"/>
    <w:pPr>
      <w:topLinePunct/>
      <w:adjustRightInd w:val="0"/>
      <w:spacing w:line="1200" w:lineRule="auto"/>
      <w:jc w:val="center"/>
    </w:pPr>
    <w:rPr>
      <w:rFonts w:ascii="宋体" w:hAnsi="宋体" w:eastAsia="黑体"/>
      <w:sz w:val="26"/>
      <w:szCs w:val="26"/>
    </w:rPr>
  </w:style>
  <w:style w:type="paragraph" w:customStyle="1" w:styleId="63">
    <w:name w:val="流程图 Char Char"/>
    <w:qFormat/>
    <w:uiPriority w:val="0"/>
    <w:pPr>
      <w:keepNext/>
      <w:keepLines/>
      <w:widowControl w:val="0"/>
      <w:jc w:val="center"/>
    </w:pPr>
    <w:rPr>
      <w:rFonts w:ascii="Times New Roman" w:hAnsi="Times New Roman" w:eastAsia="宋体" w:cs="Times New Roman"/>
      <w:kern w:val="2"/>
      <w:sz w:val="21"/>
      <w:szCs w:val="21"/>
      <w:lang w:val="en-US" w:eastAsia="zh-CN" w:bidi="ar-SA"/>
    </w:rPr>
  </w:style>
  <w:style w:type="paragraph" w:customStyle="1" w:styleId="64">
    <w:name w:val="流程图"/>
    <w:next w:val="1"/>
    <w:qFormat/>
    <w:uiPriority w:val="0"/>
    <w:pPr>
      <w:keepNext/>
      <w:keepLines/>
      <w:spacing w:line="360" w:lineRule="auto"/>
      <w:jc w:val="center"/>
    </w:pPr>
    <w:rPr>
      <w:rFonts w:ascii="仿宋_GB2312" w:hAnsi="Times New Roman" w:eastAsia="仿宋_GB2312" w:cs="Times New Roman"/>
      <w:kern w:val="2"/>
      <w:sz w:val="28"/>
      <w:szCs w:val="24"/>
      <w:lang w:val="en-US" w:eastAsia="zh-CN" w:bidi="ar-SA"/>
    </w:rPr>
  </w:style>
  <w:style w:type="paragraph" w:customStyle="1" w:styleId="65">
    <w:name w:val="样式 小四 行距: 1.5 倍行距"/>
    <w:basedOn w:val="1"/>
    <w:qFormat/>
    <w:uiPriority w:val="0"/>
    <w:pPr>
      <w:spacing w:line="360" w:lineRule="auto"/>
      <w:ind w:firstLine="200" w:firstLineChars="200"/>
    </w:pPr>
    <w:rPr>
      <w:sz w:val="24"/>
      <w:szCs w:val="20"/>
    </w:rPr>
  </w:style>
  <w:style w:type="paragraph" w:customStyle="1" w:styleId="66">
    <w:name w:val="表格文字1"/>
    <w:qFormat/>
    <w:uiPriority w:val="0"/>
    <w:pPr>
      <w:widowControl w:val="0"/>
      <w:spacing w:line="320" w:lineRule="exact"/>
      <w:jc w:val="center"/>
    </w:pPr>
    <w:rPr>
      <w:rFonts w:ascii="宋体" w:hAnsi="Plotter" w:eastAsia="宋体" w:cs="Times New Roman"/>
      <w:kern w:val="0"/>
      <w:sz w:val="21"/>
      <w:szCs w:val="20"/>
      <w:lang w:val="en-US" w:eastAsia="zh-CN" w:bidi="ar-SA"/>
    </w:rPr>
  </w:style>
  <w:style w:type="paragraph" w:customStyle="1" w:styleId="67">
    <w:name w:val="样式11"/>
    <w:basedOn w:val="1"/>
    <w:qFormat/>
    <w:uiPriority w:val="0"/>
    <w:pPr>
      <w:keepNext/>
      <w:keepLines/>
      <w:tabs>
        <w:tab w:val="left" w:pos="6660"/>
      </w:tabs>
      <w:spacing w:before="140" w:after="140"/>
      <w:outlineLvl w:val="1"/>
    </w:pPr>
    <w:rPr>
      <w:rFonts w:ascii="Arial" w:hAnsi="Arial" w:eastAsia="黑体"/>
      <w:b/>
      <w:spacing w:val="6"/>
      <w:kern w:val="0"/>
      <w:sz w:val="28"/>
      <w:szCs w:val="28"/>
    </w:rPr>
  </w:style>
  <w:style w:type="paragraph" w:customStyle="1" w:styleId="68">
    <w:name w:val="表格表题（用）"/>
    <w:basedOn w:val="1"/>
    <w:next w:val="1"/>
    <w:qFormat/>
    <w:uiPriority w:val="0"/>
    <w:pPr>
      <w:jc w:val="center"/>
    </w:pPr>
    <w:rPr>
      <w:b/>
    </w:rPr>
  </w:style>
  <w:style w:type="paragraph" w:customStyle="1" w:styleId="69">
    <w:name w:val="样式14"/>
    <w:basedOn w:val="1"/>
    <w:qFormat/>
    <w:uiPriority w:val="0"/>
    <w:pPr>
      <w:keepNext/>
      <w:keepLines/>
      <w:tabs>
        <w:tab w:val="left" w:pos="6660"/>
      </w:tabs>
      <w:outlineLvl w:val="1"/>
    </w:pPr>
    <w:rPr>
      <w:rFonts w:ascii="Arial" w:hAnsi="Arial" w:eastAsia="黑体"/>
      <w:b/>
      <w:spacing w:val="6"/>
      <w:kern w:val="0"/>
      <w:sz w:val="28"/>
      <w:szCs w:val="28"/>
    </w:rPr>
  </w:style>
  <w:style w:type="paragraph" w:customStyle="1" w:styleId="70">
    <w:name w:val="样式4"/>
    <w:basedOn w:val="1"/>
    <w:qFormat/>
    <w:uiPriority w:val="0"/>
    <w:pPr>
      <w:tabs>
        <w:tab w:val="left" w:pos="366"/>
        <w:tab w:val="left" w:pos="720"/>
      </w:tabs>
      <w:topLinePunct/>
      <w:ind w:firstLine="425"/>
    </w:pPr>
    <w:rPr>
      <w:rFonts w:eastAsia="黑体"/>
      <w:bCs/>
      <w:caps/>
      <w:kern w:val="21"/>
      <w:szCs w:val="21"/>
      <w:lang w:val="zh-CN"/>
    </w:rPr>
  </w:style>
  <w:style w:type="paragraph" w:customStyle="1" w:styleId="71">
    <w:name w:val="正文格式"/>
    <w:basedOn w:val="1"/>
    <w:qFormat/>
    <w:uiPriority w:val="0"/>
    <w:pPr>
      <w:spacing w:before="60" w:after="60" w:line="400" w:lineRule="exact"/>
      <w:ind w:left="300" w:leftChars="300"/>
    </w:pPr>
    <w:rPr>
      <w:rFonts w:ascii="Arial" w:hAnsi="Arial"/>
      <w:sz w:val="24"/>
      <w:szCs w:val="20"/>
    </w:rPr>
  </w:style>
  <w:style w:type="paragraph" w:customStyle="1" w:styleId="72">
    <w:name w:val="Char Char Char"/>
    <w:basedOn w:val="1"/>
    <w:qFormat/>
    <w:uiPriority w:val="0"/>
    <w:rPr>
      <w:rFonts w:ascii="Tahoma" w:hAnsi="Tahoma"/>
      <w:sz w:val="24"/>
      <w:szCs w:val="20"/>
    </w:rPr>
  </w:style>
  <w:style w:type="paragraph" w:customStyle="1" w:styleId="73">
    <w:name w:val="（1）文字用"/>
    <w:basedOn w:val="1"/>
    <w:qFormat/>
    <w:uiPriority w:val="0"/>
    <w:pPr>
      <w:spacing w:line="360" w:lineRule="auto"/>
      <w:ind w:left="350" w:leftChars="350"/>
    </w:pPr>
    <w:rPr>
      <w:rFonts w:cs="宋体"/>
      <w:bCs/>
      <w:szCs w:val="20"/>
    </w:rPr>
  </w:style>
  <w:style w:type="paragraph" w:customStyle="1" w:styleId="74">
    <w:name w:val="WPSOffice手动目录 1"/>
    <w:qFormat/>
    <w:uiPriority w:val="0"/>
    <w:pPr>
      <w:ind w:leftChars="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8376</Words>
  <Characters>8653</Characters>
  <Lines>298</Lines>
  <Paragraphs>84</Paragraphs>
  <TotalTime>6</TotalTime>
  <ScaleCrop>false</ScaleCrop>
  <LinksUpToDate>false</LinksUpToDate>
  <CharactersWithSpaces>8893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2020-01-11T01:53:00Z</dcterms:created>
  <dc:creator>恒 唐</dc:creator>
  <cp:lastModifiedBy>郭俊兴</cp:lastModifiedBy>
  <cp:lastPrinted>2023-05-14T04:56:00Z</cp:lastPrinted>
  <dcterms:modified xsi:type="dcterms:W3CDTF">2024-10-25T03:24:23Z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18730C2C7982490891CB59BBAEC400BE</vt:lpwstr>
  </property>
</Properties>
</file>