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8D15C">
      <w:pPr>
        <w:spacing w:line="700" w:lineRule="exact"/>
        <w:jc w:val="center"/>
        <w:rPr>
          <w:rFonts w:ascii="Times New Roman" w:hAnsi="Times New Roman" w:eastAsia="宋体" w:cs="Times New Roman"/>
          <w:b/>
          <w:sz w:val="40"/>
          <w:szCs w:val="44"/>
        </w:rPr>
      </w:pPr>
    </w:p>
    <w:p w14:paraId="3647F8F0">
      <w:pPr>
        <w:jc w:val="center"/>
        <w:rPr>
          <w:rFonts w:hint="eastAsia" w:ascii="宋体" w:hAnsi="宋体" w:eastAsia="宋体" w:cs="Times New Roman"/>
          <w:b/>
          <w:bCs/>
          <w:sz w:val="40"/>
          <w:szCs w:val="40"/>
          <w:lang w:val="zh-CN"/>
        </w:rPr>
      </w:pPr>
      <w:bookmarkStart w:id="167" w:name="_GoBack"/>
      <w:bookmarkEnd w:id="167"/>
      <w:r>
        <w:rPr>
          <w:rFonts w:hint="eastAsia" w:ascii="宋体" w:hAnsi="宋体" w:eastAsia="宋体" w:cs="宋体"/>
          <w:b/>
          <w:bCs/>
          <w:color w:val="000000"/>
          <w:kern w:val="0"/>
          <w:sz w:val="36"/>
          <w:szCs w:val="36"/>
          <w:lang w:val="en-US" w:eastAsia="zh-CN" w:bidi="ar"/>
        </w:rPr>
        <w:t>杰润新能源友发一分公司分布式光伏项目</w:t>
      </w:r>
    </w:p>
    <w:p w14:paraId="4624897D">
      <w:pPr>
        <w:jc w:val="both"/>
        <w:rPr>
          <w:rFonts w:hint="eastAsia" w:ascii="Times New Roman" w:hAnsi="Times New Roman" w:eastAsia="宋体" w:cs="Times New Roman"/>
          <w:b/>
          <w:sz w:val="40"/>
          <w:szCs w:val="44"/>
          <w:lang w:val="en-US" w:eastAsia="zh-CN"/>
        </w:rPr>
      </w:pPr>
    </w:p>
    <w:p w14:paraId="67F569CA">
      <w:pPr>
        <w:jc w:val="both"/>
        <w:rPr>
          <w:rFonts w:hint="eastAsia" w:ascii="Times New Roman" w:hAnsi="Times New Roman" w:eastAsia="宋体" w:cs="Times New Roman"/>
          <w:b/>
          <w:sz w:val="40"/>
          <w:szCs w:val="44"/>
          <w:lang w:val="en-US" w:eastAsia="zh-CN"/>
        </w:rPr>
      </w:pPr>
    </w:p>
    <w:p w14:paraId="71A169BC">
      <w:pPr>
        <w:jc w:val="center"/>
        <w:rPr>
          <w:rFonts w:hint="eastAsia"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电 气 监 理 细 则</w:t>
      </w:r>
    </w:p>
    <w:p w14:paraId="6CD8A8CE">
      <w:pPr>
        <w:spacing w:line="480" w:lineRule="auto"/>
        <w:jc w:val="center"/>
        <w:rPr>
          <w:rFonts w:hint="eastAsia" w:ascii="宋体" w:hAnsi="宋体" w:eastAsia="宋体" w:cs="宋体"/>
          <w:b/>
          <w:bCs/>
          <w:kern w:val="28"/>
          <w:sz w:val="48"/>
          <w:szCs w:val="48"/>
          <w:lang w:val="en-US" w:eastAsia="zh-CN"/>
        </w:rPr>
      </w:pPr>
    </w:p>
    <w:p w14:paraId="4AAC9DF1">
      <w:pPr>
        <w:spacing w:line="480" w:lineRule="auto"/>
        <w:jc w:val="center"/>
        <w:rPr>
          <w:rFonts w:hint="eastAsia" w:ascii="宋体" w:hAnsi="宋体" w:eastAsia="宋体" w:cs="宋体"/>
          <w:b/>
          <w:bCs/>
          <w:kern w:val="28"/>
          <w:sz w:val="48"/>
          <w:szCs w:val="48"/>
          <w:lang w:val="en-US" w:eastAsia="zh-CN"/>
        </w:rPr>
      </w:pPr>
    </w:p>
    <w:p w14:paraId="0EB32292">
      <w:pPr>
        <w:spacing w:line="480" w:lineRule="auto"/>
        <w:jc w:val="center"/>
        <w:rPr>
          <w:rFonts w:hint="eastAsia" w:ascii="宋体" w:hAnsi="宋体" w:eastAsia="宋体" w:cs="宋体"/>
          <w:b/>
          <w:bCs/>
          <w:kern w:val="28"/>
          <w:sz w:val="48"/>
          <w:szCs w:val="48"/>
          <w:lang w:val="en-US" w:eastAsia="zh-CN"/>
        </w:rPr>
      </w:pPr>
    </w:p>
    <w:p w14:paraId="28AA1669">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批准：</w:t>
      </w:r>
      <w:r>
        <w:rPr>
          <w:rFonts w:ascii="宋体" w:hAnsi="宋体" w:cs="Times New Roman"/>
          <w:b/>
          <w:sz w:val="36"/>
          <w:szCs w:val="36"/>
          <w:u w:val="single"/>
        </w:rPr>
        <w:t xml:space="preserve">                      </w:t>
      </w:r>
    </w:p>
    <w:p w14:paraId="503A9782">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审核：</w:t>
      </w:r>
      <w:r>
        <w:rPr>
          <w:rFonts w:ascii="宋体" w:hAnsi="宋体" w:cs="Times New Roman"/>
          <w:b/>
          <w:sz w:val="36"/>
          <w:szCs w:val="36"/>
          <w:u w:val="single"/>
        </w:rPr>
        <w:t xml:space="preserve">                      </w:t>
      </w:r>
    </w:p>
    <w:p w14:paraId="16EE075D">
      <w:pPr>
        <w:spacing w:after="240" w:line="720" w:lineRule="auto"/>
        <w:ind w:firstLine="2168" w:firstLineChars="600"/>
        <w:rPr>
          <w:rFonts w:ascii="宋体" w:hAnsi="宋体" w:cs="Times New Roman"/>
          <w:b/>
          <w:sz w:val="36"/>
          <w:szCs w:val="36"/>
          <w:u w:val="single"/>
        </w:rPr>
      </w:pPr>
      <w:r>
        <w:rPr>
          <w:rFonts w:hint="eastAsia" w:ascii="宋体" w:hAnsi="宋体" w:cs="Times New Roman"/>
          <w:b/>
          <w:sz w:val="36"/>
          <w:szCs w:val="36"/>
        </w:rPr>
        <w:t>编制：</w:t>
      </w:r>
      <w:r>
        <w:rPr>
          <w:rFonts w:ascii="宋体" w:hAnsi="宋体" w:cs="Times New Roman"/>
          <w:b/>
          <w:sz w:val="36"/>
          <w:szCs w:val="36"/>
          <w:u w:val="single"/>
        </w:rPr>
        <w:t xml:space="preserve">                      </w:t>
      </w:r>
    </w:p>
    <w:p w14:paraId="0CB3FB21">
      <w:pPr>
        <w:bidi w:val="0"/>
        <w:rPr>
          <w:rFonts w:asciiTheme="minorHAnsi" w:hAnsiTheme="minorHAnsi" w:eastAsiaTheme="minorEastAsia" w:cstheme="minorBidi"/>
          <w:kern w:val="2"/>
          <w:sz w:val="21"/>
          <w:szCs w:val="22"/>
          <w:lang w:val="en-US" w:eastAsia="zh-CN" w:bidi="ar-SA"/>
        </w:rPr>
      </w:pPr>
    </w:p>
    <w:p w14:paraId="73EE24BF">
      <w:pPr>
        <w:jc w:val="both"/>
        <w:rPr>
          <w:rFonts w:ascii="宋体" w:eastAsia="宋体" w:cs="Times New Roman"/>
          <w:b/>
          <w:bCs/>
          <w:sz w:val="36"/>
        </w:rPr>
      </w:pPr>
    </w:p>
    <w:p w14:paraId="17C6144C">
      <w:pPr>
        <w:jc w:val="both"/>
        <w:rPr>
          <w:rFonts w:ascii="宋体" w:eastAsia="宋体" w:cs="Times New Roman"/>
          <w:b/>
          <w:bCs/>
          <w:sz w:val="36"/>
        </w:rPr>
      </w:pPr>
    </w:p>
    <w:p w14:paraId="0821C9AB">
      <w:pPr>
        <w:jc w:val="center"/>
        <w:rPr>
          <w:rFonts w:hint="eastAsia" w:ascii="宋体" w:hAnsi="宋体" w:cs="Times New Roman"/>
          <w:b/>
          <w:bCs/>
          <w:sz w:val="30"/>
          <w:szCs w:val="30"/>
        </w:rPr>
      </w:pPr>
      <w:r>
        <w:rPr>
          <w:rFonts w:hint="eastAsia" w:ascii="宋体" w:hAnsi="宋体" w:cs="Times New Roman"/>
          <w:b/>
          <w:bCs/>
          <w:sz w:val="30"/>
          <w:szCs w:val="30"/>
        </w:rPr>
        <w:t>常州正衡电力工程监理有限公司</w:t>
      </w:r>
    </w:p>
    <w:p w14:paraId="00DDFD18">
      <w:pPr>
        <w:jc w:val="center"/>
        <w:rPr>
          <w:rFonts w:hint="default" w:ascii="宋体" w:hAnsi="宋体" w:cs="Times New Roman"/>
          <w:b/>
          <w:bCs/>
          <w:sz w:val="30"/>
          <w:szCs w:val="30"/>
          <w:lang w:val="en-US" w:eastAsia="zh-CN"/>
        </w:rPr>
      </w:pPr>
      <w:r>
        <w:rPr>
          <w:rFonts w:hint="eastAsia" w:ascii="宋体" w:hAnsi="宋体" w:cs="Times New Roman"/>
          <w:b/>
          <w:bCs/>
          <w:sz w:val="30"/>
          <w:szCs w:val="30"/>
          <w:lang w:val="en-US" w:eastAsia="zh-CN"/>
        </w:rPr>
        <w:t>杰润新能源友发一分公司分布式光伏项目监理部</w:t>
      </w:r>
    </w:p>
    <w:p w14:paraId="4B1EC8B1">
      <w:pPr>
        <w:ind w:firstLine="3915" w:firstLineChars="1300"/>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lang w:val="en-US" w:eastAsia="zh-CN"/>
        </w:rPr>
        <w:t>2025年05月</w:t>
      </w:r>
    </w:p>
    <w:p w14:paraId="13561A63">
      <w:pPr>
        <w:ind w:firstLine="3915" w:firstLineChars="1300"/>
        <w:rPr>
          <w:rFonts w:hint="eastAsia" w:ascii="宋体" w:hAnsi="宋体" w:eastAsia="宋体" w:cs="Times New Roman"/>
          <w:b/>
          <w:bCs/>
          <w:sz w:val="30"/>
          <w:szCs w:val="30"/>
          <w:lang w:val="en-US" w:eastAsia="zh-CN"/>
        </w:rPr>
      </w:pPr>
    </w:p>
    <w:p w14:paraId="4BF5D06D">
      <w:pPr>
        <w:ind w:firstLine="3253" w:firstLineChars="900"/>
        <w:rPr>
          <w:rFonts w:hint="default" w:ascii="宋体" w:hAnsi="宋体" w:eastAsia="宋体" w:cs="Times New Roman"/>
          <w:b/>
          <w:bCs/>
          <w:sz w:val="36"/>
          <w:lang w:val="en-US" w:eastAsia="zh-CN"/>
        </w:rPr>
      </w:pPr>
    </w:p>
    <w:p w14:paraId="376A17B2">
      <w:pPr>
        <w:pStyle w:val="10"/>
        <w:tabs>
          <w:tab w:val="right" w:leader="dot" w:pos="8306"/>
        </w:tabs>
        <w:jc w:val="center"/>
        <w:rPr>
          <w:rFonts w:ascii="宋体" w:hAnsi="宋体" w:cs="Times New Roman"/>
          <w:b/>
          <w:sz w:val="36"/>
          <w:szCs w:val="36"/>
        </w:rPr>
      </w:pPr>
      <w:r>
        <w:rPr>
          <w:rFonts w:hint="eastAsia" w:ascii="宋体" w:hAnsi="宋体" w:cs="Times New Roman"/>
          <w:b/>
          <w:sz w:val="36"/>
          <w:szCs w:val="36"/>
        </w:rPr>
        <w:t>目  录</w:t>
      </w:r>
    </w:p>
    <w:p w14:paraId="3946F90E">
      <w:pPr>
        <w:pStyle w:val="9"/>
        <w:tabs>
          <w:tab w:val="right" w:leader="dot" w:pos="8306"/>
        </w:tabs>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u w:val="single"/>
        </w:rPr>
        <w:fldChar w:fldCharType="begin"/>
      </w:r>
      <w:r>
        <w:rPr>
          <w:rFonts w:hint="eastAsia" w:asciiTheme="majorEastAsia" w:hAnsiTheme="majorEastAsia" w:eastAsiaTheme="majorEastAsia" w:cstheme="majorEastAsia"/>
          <w:bCs/>
          <w:sz w:val="24"/>
          <w:szCs w:val="24"/>
          <w:u w:val="single"/>
        </w:rPr>
        <w:instrText xml:space="preserve">TOC \o "1-2" \h \u </w:instrText>
      </w:r>
      <w:r>
        <w:rPr>
          <w:rFonts w:hint="eastAsia" w:asciiTheme="majorEastAsia" w:hAnsiTheme="majorEastAsia" w:eastAsiaTheme="majorEastAsia" w:cstheme="majorEastAsia"/>
          <w:bCs/>
          <w:sz w:val="24"/>
          <w:szCs w:val="24"/>
          <w:u w:val="single"/>
        </w:rPr>
        <w:fldChar w:fldCharType="separate"/>
      </w:r>
      <w:r>
        <w:fldChar w:fldCharType="begin"/>
      </w:r>
      <w:r>
        <w:instrText xml:space="preserve"> HYPERLINK \l "_Toc18266" </w:instrText>
      </w:r>
      <w:r>
        <w:fldChar w:fldCharType="separate"/>
      </w:r>
      <w:r>
        <w:rPr>
          <w:rFonts w:hint="eastAsia" w:asciiTheme="majorEastAsia" w:hAnsiTheme="majorEastAsia" w:eastAsiaTheme="majorEastAsia" w:cstheme="majorEastAsia"/>
          <w:bCs/>
          <w:sz w:val="24"/>
          <w:szCs w:val="24"/>
        </w:rPr>
        <w:t>电气安装项目概况</w:t>
      </w:r>
      <w:r>
        <w:rPr>
          <w:rFonts w:hint="eastAsia" w:asciiTheme="majorEastAsia" w:hAnsiTheme="majorEastAsia" w:eastAsiaTheme="majorEastAsia" w:cstheme="majorEastAsia"/>
          <w:bCs/>
          <w:sz w:val="24"/>
          <w:szCs w:val="24"/>
        </w:rPr>
        <w:fldChar w:fldCharType="end"/>
      </w:r>
    </w:p>
    <w:p w14:paraId="6BEF4444">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"_Toc3086" </w:instrText>
      </w:r>
      <w:r>
        <w:fldChar w:fldCharType="separate"/>
      </w:r>
      <w:r>
        <w:rPr>
          <w:rFonts w:hint="eastAsia" w:asciiTheme="majorEastAsia" w:hAnsiTheme="majorEastAsia" w:eastAsiaTheme="majorEastAsia" w:cstheme="majorEastAsia"/>
          <w:bCs/>
          <w:sz w:val="24"/>
          <w:szCs w:val="24"/>
        </w:rPr>
        <w:t>一、 监理依据</w:t>
      </w:r>
      <w:r>
        <w:rPr>
          <w:rFonts w:hint="eastAsia" w:asciiTheme="majorEastAsia" w:hAnsiTheme="majorEastAsia" w:eastAsiaTheme="majorEastAsia" w:cstheme="majorEastAsia"/>
          <w:bCs/>
          <w:sz w:val="24"/>
          <w:szCs w:val="24"/>
        </w:rPr>
        <w:fldChar w:fldCharType="end"/>
      </w:r>
    </w:p>
    <w:p w14:paraId="4DBBFF20">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"_Toc17435" </w:instrText>
      </w:r>
      <w:r>
        <w:fldChar w:fldCharType="separate"/>
      </w:r>
      <w:r>
        <w:rPr>
          <w:rFonts w:hint="eastAsia" w:asciiTheme="majorEastAsia" w:hAnsiTheme="majorEastAsia" w:eastAsiaTheme="majorEastAsia" w:cstheme="majorEastAsia"/>
          <w:bCs/>
          <w:sz w:val="24"/>
          <w:szCs w:val="24"/>
        </w:rPr>
        <w:t>二、监理工作控制要点和目标值</w:t>
      </w:r>
      <w:r>
        <w:rPr>
          <w:rFonts w:hint="eastAsia" w:asciiTheme="majorEastAsia" w:hAnsiTheme="majorEastAsia" w:eastAsiaTheme="majorEastAsia" w:cstheme="majorEastAsia"/>
          <w:bCs/>
          <w:sz w:val="24"/>
          <w:szCs w:val="24"/>
        </w:rPr>
        <w:fldChar w:fldCharType="end"/>
      </w:r>
    </w:p>
    <w:p w14:paraId="0CB6531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"_Toc30055" </w:instrText>
      </w:r>
      <w:r>
        <w:fldChar w:fldCharType="separate"/>
      </w:r>
      <w:r>
        <w:rPr>
          <w:rFonts w:hint="eastAsia" w:asciiTheme="majorEastAsia" w:hAnsiTheme="majorEastAsia" w:eastAsiaTheme="majorEastAsia" w:cstheme="majorEastAsia"/>
          <w:bCs/>
          <w:sz w:val="24"/>
          <w:szCs w:val="24"/>
        </w:rPr>
        <w:t>2.1监理工作控制要点</w:t>
      </w:r>
      <w:r>
        <w:rPr>
          <w:rFonts w:hint="eastAsia" w:asciiTheme="majorEastAsia" w:hAnsiTheme="majorEastAsia" w:eastAsiaTheme="majorEastAsia" w:cstheme="majorEastAsia"/>
          <w:bCs/>
          <w:sz w:val="24"/>
          <w:szCs w:val="24"/>
        </w:rPr>
        <w:fldChar w:fldCharType="end"/>
      </w:r>
    </w:p>
    <w:p w14:paraId="5C0BFE85">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"_Toc20829" </w:instrText>
      </w:r>
      <w:r>
        <w:fldChar w:fldCharType="separate"/>
      </w:r>
      <w:r>
        <w:rPr>
          <w:rFonts w:hint="eastAsia" w:asciiTheme="majorEastAsia" w:hAnsiTheme="majorEastAsia" w:eastAsiaTheme="majorEastAsia" w:cstheme="majorEastAsia"/>
          <w:bCs/>
          <w:sz w:val="24"/>
          <w:szCs w:val="24"/>
        </w:rPr>
        <w:t>三 、安装工作监理控制目标值</w:t>
      </w:r>
      <w:r>
        <w:rPr>
          <w:rFonts w:hint="eastAsia" w:asciiTheme="majorEastAsia" w:hAnsiTheme="majorEastAsia" w:eastAsiaTheme="majorEastAsia" w:cstheme="majorEastAsia"/>
          <w:bCs/>
          <w:sz w:val="24"/>
          <w:szCs w:val="24"/>
        </w:rPr>
        <w:fldChar w:fldCharType="end"/>
      </w:r>
    </w:p>
    <w:p w14:paraId="725C55C0">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"_Toc14679" </w:instrText>
      </w:r>
      <w:r>
        <w:fldChar w:fldCharType="separate"/>
      </w:r>
      <w:r>
        <w:rPr>
          <w:rFonts w:hint="eastAsia" w:asciiTheme="majorEastAsia" w:hAnsiTheme="majorEastAsia" w:eastAsiaTheme="majorEastAsia" w:cstheme="majorEastAsia"/>
          <w:bCs/>
          <w:sz w:val="24"/>
          <w:szCs w:val="24"/>
        </w:rPr>
        <w:t>3. 1铁质锁夹安装</w:t>
      </w:r>
      <w:r>
        <w:rPr>
          <w:rFonts w:hint="eastAsia" w:asciiTheme="majorEastAsia" w:hAnsiTheme="majorEastAsia" w:eastAsiaTheme="majorEastAsia" w:cstheme="majorEastAsia"/>
          <w:bCs/>
          <w:sz w:val="24"/>
          <w:szCs w:val="24"/>
        </w:rPr>
        <w:fldChar w:fldCharType="end"/>
      </w:r>
    </w:p>
    <w:p w14:paraId="78CB4366">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"_Toc27527" </w:instrText>
      </w:r>
      <w:r>
        <w:fldChar w:fldCharType="separate"/>
      </w:r>
      <w:r>
        <w:rPr>
          <w:rFonts w:hint="eastAsia" w:asciiTheme="majorEastAsia" w:hAnsiTheme="majorEastAsia" w:eastAsiaTheme="majorEastAsia" w:cstheme="majorEastAsia"/>
          <w:bCs/>
          <w:sz w:val="24"/>
          <w:szCs w:val="24"/>
        </w:rPr>
        <w:t>3.2次龙骨安装</w:t>
      </w:r>
      <w:r>
        <w:rPr>
          <w:rFonts w:hint="eastAsia" w:asciiTheme="majorEastAsia" w:hAnsiTheme="majorEastAsia" w:eastAsiaTheme="majorEastAsia" w:cstheme="majorEastAsia"/>
          <w:bCs/>
          <w:sz w:val="24"/>
          <w:szCs w:val="24"/>
        </w:rPr>
        <w:fldChar w:fldCharType="end"/>
      </w:r>
    </w:p>
    <w:p w14:paraId="03D91372">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"_Toc15759" </w:instrText>
      </w:r>
      <w:r>
        <w:fldChar w:fldCharType="separate"/>
      </w:r>
      <w:r>
        <w:rPr>
          <w:rFonts w:hint="eastAsia" w:asciiTheme="majorEastAsia" w:hAnsiTheme="majorEastAsia" w:eastAsiaTheme="majorEastAsia" w:cstheme="majorEastAsia"/>
          <w:bCs/>
          <w:sz w:val="24"/>
          <w:szCs w:val="24"/>
        </w:rPr>
        <w:t>3.3 太阳能电池板安装检查</w:t>
      </w:r>
      <w:r>
        <w:rPr>
          <w:rFonts w:hint="eastAsia" w:asciiTheme="majorEastAsia" w:hAnsiTheme="majorEastAsia" w:eastAsiaTheme="majorEastAsia" w:cstheme="majorEastAsia"/>
          <w:bCs/>
          <w:sz w:val="24"/>
          <w:szCs w:val="24"/>
        </w:rPr>
        <w:fldChar w:fldCharType="end"/>
      </w:r>
    </w:p>
    <w:p w14:paraId="6B67B550">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"_Toc22748" </w:instrText>
      </w:r>
      <w:r>
        <w:fldChar w:fldCharType="separate"/>
      </w:r>
      <w:r>
        <w:rPr>
          <w:rFonts w:hint="eastAsia" w:asciiTheme="majorEastAsia" w:hAnsiTheme="majorEastAsia" w:eastAsiaTheme="majorEastAsia" w:cstheme="majorEastAsia"/>
          <w:bCs/>
          <w:sz w:val="24"/>
          <w:szCs w:val="24"/>
        </w:rPr>
        <w:t>3.4 电池板调平检验</w:t>
      </w:r>
      <w:r>
        <w:rPr>
          <w:rFonts w:hint="eastAsia" w:asciiTheme="majorEastAsia" w:hAnsiTheme="majorEastAsia" w:eastAsiaTheme="majorEastAsia" w:cstheme="majorEastAsia"/>
          <w:bCs/>
          <w:sz w:val="24"/>
          <w:szCs w:val="24"/>
        </w:rPr>
        <w:fldChar w:fldCharType="end"/>
      </w:r>
    </w:p>
    <w:p w14:paraId="5C039425">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"_Toc12599" </w:instrText>
      </w:r>
      <w:r>
        <w:fldChar w:fldCharType="separate"/>
      </w:r>
      <w:r>
        <w:rPr>
          <w:rFonts w:hint="eastAsia" w:asciiTheme="majorEastAsia" w:hAnsiTheme="majorEastAsia" w:eastAsiaTheme="majorEastAsia" w:cstheme="majorEastAsia"/>
          <w:bCs/>
          <w:sz w:val="24"/>
          <w:szCs w:val="24"/>
        </w:rPr>
        <w:t>3.5 电池板接线检验</w:t>
      </w:r>
      <w:r>
        <w:rPr>
          <w:rFonts w:hint="eastAsia" w:asciiTheme="majorEastAsia" w:hAnsiTheme="majorEastAsia" w:eastAsiaTheme="majorEastAsia" w:cstheme="majorEastAsia"/>
          <w:bCs/>
          <w:sz w:val="24"/>
          <w:szCs w:val="24"/>
        </w:rPr>
        <w:fldChar w:fldCharType="end"/>
      </w:r>
    </w:p>
    <w:p w14:paraId="1AC08618">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"_Toc19986" </w:instrText>
      </w:r>
      <w:r>
        <w:fldChar w:fldCharType="separate"/>
      </w:r>
      <w:r>
        <w:rPr>
          <w:rFonts w:hint="eastAsia" w:asciiTheme="majorEastAsia" w:hAnsiTheme="majorEastAsia" w:eastAsiaTheme="majorEastAsia" w:cstheme="majorEastAsia"/>
          <w:bCs/>
          <w:sz w:val="24"/>
          <w:szCs w:val="24"/>
        </w:rPr>
        <w:t>3.6 方阵布线检查</w:t>
      </w:r>
      <w:r>
        <w:rPr>
          <w:rFonts w:hint="eastAsia" w:asciiTheme="majorEastAsia" w:hAnsiTheme="majorEastAsia" w:eastAsiaTheme="majorEastAsia" w:cstheme="majorEastAsia"/>
          <w:bCs/>
          <w:sz w:val="24"/>
          <w:szCs w:val="24"/>
        </w:rPr>
        <w:fldChar w:fldCharType="end"/>
      </w:r>
    </w:p>
    <w:p w14:paraId="5FC901D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"_Toc22444" </w:instrText>
      </w:r>
      <w:r>
        <w:fldChar w:fldCharType="separate"/>
      </w:r>
      <w:r>
        <w:rPr>
          <w:rFonts w:hint="eastAsia" w:asciiTheme="majorEastAsia" w:hAnsiTheme="majorEastAsia" w:eastAsiaTheme="majorEastAsia" w:cstheme="majorEastAsia"/>
          <w:bCs/>
          <w:sz w:val="24"/>
          <w:szCs w:val="24"/>
        </w:rPr>
        <w:t>3.7 方阵测试</w:t>
      </w:r>
      <w:r>
        <w:rPr>
          <w:rFonts w:hint="eastAsia" w:asciiTheme="majorEastAsia" w:hAnsiTheme="majorEastAsia" w:eastAsiaTheme="majorEastAsia" w:cstheme="majorEastAsia"/>
          <w:bCs/>
          <w:sz w:val="24"/>
          <w:szCs w:val="24"/>
        </w:rPr>
        <w:fldChar w:fldCharType="end"/>
      </w:r>
    </w:p>
    <w:p w14:paraId="65356005">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"_Toc25736" </w:instrText>
      </w:r>
      <w:r>
        <w:fldChar w:fldCharType="separate"/>
      </w:r>
      <w:r>
        <w:rPr>
          <w:rFonts w:hint="eastAsia" w:asciiTheme="majorEastAsia" w:hAnsiTheme="majorEastAsia" w:eastAsiaTheme="majorEastAsia" w:cstheme="majorEastAsia"/>
          <w:bCs/>
          <w:sz w:val="24"/>
          <w:szCs w:val="24"/>
        </w:rPr>
        <w:t>3.8 变配电系统逆变器、配电柜安装控制目标值</w:t>
      </w:r>
      <w:r>
        <w:rPr>
          <w:rFonts w:hint="eastAsia" w:asciiTheme="majorEastAsia" w:hAnsiTheme="majorEastAsia" w:eastAsiaTheme="majorEastAsia" w:cstheme="majorEastAsia"/>
          <w:bCs/>
          <w:sz w:val="24"/>
          <w:szCs w:val="24"/>
        </w:rPr>
        <w:fldChar w:fldCharType="end"/>
      </w:r>
    </w:p>
    <w:p w14:paraId="68B2F373">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"_Toc8807" </w:instrText>
      </w:r>
      <w:r>
        <w:fldChar w:fldCharType="separate"/>
      </w:r>
      <w:r>
        <w:rPr>
          <w:rFonts w:hint="eastAsia" w:asciiTheme="majorEastAsia" w:hAnsiTheme="majorEastAsia" w:eastAsiaTheme="majorEastAsia" w:cstheme="majorEastAsia"/>
          <w:bCs/>
          <w:sz w:val="24"/>
          <w:szCs w:val="24"/>
        </w:rPr>
        <w:t>3.9 逆变器、配电柜安装</w:t>
      </w:r>
      <w:r>
        <w:rPr>
          <w:rFonts w:hint="eastAsia" w:asciiTheme="majorEastAsia" w:hAnsiTheme="majorEastAsia" w:eastAsiaTheme="majorEastAsia" w:cstheme="majorEastAsia"/>
          <w:bCs/>
          <w:sz w:val="24"/>
          <w:szCs w:val="24"/>
        </w:rPr>
        <w:fldChar w:fldCharType="end"/>
      </w:r>
    </w:p>
    <w:p w14:paraId="365698E8">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"_Toc22306" </w:instrText>
      </w:r>
      <w:r>
        <w:fldChar w:fldCharType="separate"/>
      </w:r>
      <w:r>
        <w:rPr>
          <w:rFonts w:hint="eastAsia" w:asciiTheme="majorEastAsia" w:hAnsiTheme="majorEastAsia" w:eastAsiaTheme="majorEastAsia" w:cstheme="majorEastAsia"/>
          <w:bCs/>
          <w:sz w:val="24"/>
          <w:szCs w:val="24"/>
        </w:rPr>
        <w:t>3.10 防雷接地安装</w:t>
      </w:r>
      <w:r>
        <w:rPr>
          <w:rFonts w:hint="eastAsia" w:asciiTheme="majorEastAsia" w:hAnsiTheme="majorEastAsia" w:eastAsiaTheme="majorEastAsia" w:cstheme="majorEastAsia"/>
          <w:bCs/>
          <w:sz w:val="24"/>
          <w:szCs w:val="24"/>
        </w:rPr>
        <w:fldChar w:fldCharType="end"/>
      </w:r>
    </w:p>
    <w:p w14:paraId="788B411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"_Toc23260" </w:instrText>
      </w:r>
      <w:r>
        <w:fldChar w:fldCharType="separate"/>
      </w:r>
      <w:r>
        <w:rPr>
          <w:rFonts w:hint="eastAsia" w:asciiTheme="majorEastAsia" w:hAnsiTheme="majorEastAsia" w:eastAsiaTheme="majorEastAsia" w:cstheme="majorEastAsia"/>
          <w:bCs/>
          <w:sz w:val="24"/>
          <w:szCs w:val="24"/>
        </w:rPr>
        <w:t>3.11 整体汇线</w:t>
      </w:r>
      <w:r>
        <w:rPr>
          <w:rFonts w:hint="eastAsia" w:asciiTheme="majorEastAsia" w:hAnsiTheme="majorEastAsia" w:eastAsiaTheme="majorEastAsia" w:cstheme="majorEastAsia"/>
          <w:bCs/>
          <w:sz w:val="24"/>
          <w:szCs w:val="24"/>
        </w:rPr>
        <w:fldChar w:fldCharType="end"/>
      </w:r>
    </w:p>
    <w:p w14:paraId="12F4D78B">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"_Toc25369" </w:instrText>
      </w:r>
      <w:r>
        <w:fldChar w:fldCharType="separate"/>
      </w:r>
      <w:r>
        <w:rPr>
          <w:rFonts w:hint="eastAsia" w:asciiTheme="majorEastAsia" w:hAnsiTheme="majorEastAsia" w:eastAsiaTheme="majorEastAsia" w:cstheme="majorEastAsia"/>
          <w:bCs/>
          <w:sz w:val="24"/>
          <w:szCs w:val="24"/>
        </w:rPr>
        <w:t>3.12整体防腐</w:t>
      </w:r>
      <w:r>
        <w:rPr>
          <w:rFonts w:hint="eastAsia" w:asciiTheme="majorEastAsia" w:hAnsiTheme="majorEastAsia" w:eastAsiaTheme="majorEastAsia" w:cstheme="majorEastAsia"/>
          <w:bCs/>
          <w:sz w:val="24"/>
          <w:szCs w:val="24"/>
        </w:rPr>
        <w:fldChar w:fldCharType="end"/>
      </w:r>
    </w:p>
    <w:p w14:paraId="45A5C7C3">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"_Toc25747" </w:instrText>
      </w:r>
      <w:r>
        <w:fldChar w:fldCharType="separate"/>
      </w:r>
      <w:r>
        <w:rPr>
          <w:rFonts w:hint="eastAsia" w:asciiTheme="majorEastAsia" w:hAnsiTheme="majorEastAsia" w:eastAsiaTheme="majorEastAsia" w:cstheme="majorEastAsia"/>
          <w:bCs/>
          <w:sz w:val="24"/>
          <w:szCs w:val="24"/>
        </w:rPr>
        <w:t>3.13分部验收测试（调试工程师）</w:t>
      </w:r>
      <w:r>
        <w:rPr>
          <w:rFonts w:hint="eastAsia" w:asciiTheme="majorEastAsia" w:hAnsiTheme="majorEastAsia" w:eastAsiaTheme="majorEastAsia" w:cstheme="majorEastAsia"/>
          <w:bCs/>
          <w:sz w:val="24"/>
          <w:szCs w:val="24"/>
        </w:rPr>
        <w:fldChar w:fldCharType="end"/>
      </w:r>
    </w:p>
    <w:p w14:paraId="5597138B">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"_Toc21571" </w:instrText>
      </w:r>
      <w:r>
        <w:fldChar w:fldCharType="separate"/>
      </w:r>
      <w:r>
        <w:rPr>
          <w:rFonts w:hint="eastAsia" w:asciiTheme="majorEastAsia" w:hAnsiTheme="majorEastAsia" w:eastAsiaTheme="majorEastAsia" w:cstheme="majorEastAsia"/>
          <w:bCs/>
          <w:sz w:val="24"/>
          <w:szCs w:val="24"/>
        </w:rPr>
        <w:t>3.14 系统调试</w:t>
      </w:r>
      <w:r>
        <w:rPr>
          <w:rFonts w:hint="eastAsia" w:asciiTheme="majorEastAsia" w:hAnsiTheme="majorEastAsia" w:eastAsiaTheme="majorEastAsia" w:cstheme="majorEastAsia"/>
          <w:bCs/>
          <w:sz w:val="24"/>
          <w:szCs w:val="24"/>
        </w:rPr>
        <w:fldChar w:fldCharType="end"/>
      </w:r>
    </w:p>
    <w:p w14:paraId="4B7F0BF8">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"_Toc8394" </w:instrText>
      </w:r>
      <w:r>
        <w:fldChar w:fldCharType="separate"/>
      </w:r>
      <w:r>
        <w:rPr>
          <w:rFonts w:hint="eastAsia" w:asciiTheme="majorEastAsia" w:hAnsiTheme="majorEastAsia" w:eastAsiaTheme="majorEastAsia" w:cstheme="majorEastAsia"/>
          <w:bCs/>
          <w:sz w:val="24"/>
          <w:szCs w:val="24"/>
        </w:rPr>
        <w:t>四、监理方法和措施</w:t>
      </w:r>
      <w:r>
        <w:rPr>
          <w:rFonts w:hint="eastAsia" w:asciiTheme="majorEastAsia" w:hAnsiTheme="majorEastAsia" w:eastAsiaTheme="majorEastAsia" w:cstheme="majorEastAsia"/>
          <w:bCs/>
          <w:sz w:val="24"/>
          <w:szCs w:val="24"/>
        </w:rPr>
        <w:fldChar w:fldCharType="end"/>
      </w:r>
    </w:p>
    <w:p w14:paraId="1E95D838">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"_Toc16541" </w:instrText>
      </w:r>
      <w:r>
        <w:fldChar w:fldCharType="separate"/>
      </w:r>
      <w:r>
        <w:rPr>
          <w:rFonts w:hint="eastAsia" w:asciiTheme="majorEastAsia" w:hAnsiTheme="majorEastAsia" w:eastAsiaTheme="majorEastAsia" w:cstheme="majorEastAsia"/>
          <w:bCs/>
          <w:sz w:val="24"/>
          <w:szCs w:val="24"/>
        </w:rPr>
        <w:t>4.1质量控制</w:t>
      </w:r>
      <w:r>
        <w:rPr>
          <w:rFonts w:hint="eastAsia" w:asciiTheme="majorEastAsia" w:hAnsiTheme="majorEastAsia" w:eastAsiaTheme="majorEastAsia" w:cstheme="majorEastAsia"/>
          <w:bCs/>
          <w:sz w:val="24"/>
          <w:szCs w:val="24"/>
        </w:rPr>
        <w:fldChar w:fldCharType="end"/>
      </w:r>
    </w:p>
    <w:p w14:paraId="25B1037D">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"_Toc2142" </w:instrText>
      </w:r>
      <w:r>
        <w:fldChar w:fldCharType="separate"/>
      </w:r>
      <w:r>
        <w:rPr>
          <w:rFonts w:hint="eastAsia" w:asciiTheme="majorEastAsia" w:hAnsiTheme="majorEastAsia" w:eastAsiaTheme="majorEastAsia" w:cstheme="majorEastAsia"/>
          <w:bCs/>
          <w:sz w:val="24"/>
          <w:szCs w:val="24"/>
        </w:rPr>
        <w:t>4.2进度控制</w:t>
      </w:r>
      <w:r>
        <w:rPr>
          <w:rFonts w:hint="eastAsia" w:asciiTheme="majorEastAsia" w:hAnsiTheme="majorEastAsia" w:eastAsiaTheme="majorEastAsia" w:cstheme="majorEastAsia"/>
          <w:bCs/>
          <w:sz w:val="24"/>
          <w:szCs w:val="24"/>
        </w:rPr>
        <w:fldChar w:fldCharType="end"/>
      </w:r>
    </w:p>
    <w:p w14:paraId="4AF5B938">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"_Toc21788" </w:instrText>
      </w:r>
      <w:r>
        <w:fldChar w:fldCharType="separate"/>
      </w:r>
      <w:r>
        <w:rPr>
          <w:rFonts w:hint="eastAsia" w:asciiTheme="majorEastAsia" w:hAnsiTheme="majorEastAsia" w:eastAsiaTheme="majorEastAsia" w:cstheme="majorEastAsia"/>
          <w:bCs/>
          <w:sz w:val="24"/>
          <w:szCs w:val="24"/>
        </w:rPr>
        <w:t>五、安全管理</w:t>
      </w:r>
      <w:r>
        <w:rPr>
          <w:rFonts w:hint="eastAsia" w:asciiTheme="majorEastAsia" w:hAnsiTheme="majorEastAsia" w:eastAsiaTheme="majorEastAsia" w:cstheme="majorEastAsia"/>
          <w:bCs/>
          <w:sz w:val="24"/>
          <w:szCs w:val="24"/>
        </w:rPr>
        <w:fldChar w:fldCharType="end"/>
      </w:r>
    </w:p>
    <w:p w14:paraId="4B272BF1">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"_Toc30162" </w:instrText>
      </w:r>
      <w:r>
        <w:fldChar w:fldCharType="separate"/>
      </w:r>
      <w:r>
        <w:rPr>
          <w:rFonts w:hint="eastAsia" w:asciiTheme="majorEastAsia" w:hAnsiTheme="majorEastAsia" w:eastAsiaTheme="majorEastAsia" w:cstheme="majorEastAsia"/>
          <w:bCs/>
          <w:sz w:val="24"/>
          <w:szCs w:val="24"/>
        </w:rPr>
        <w:t>六、资料管理</w:t>
      </w:r>
      <w:r>
        <w:rPr>
          <w:rFonts w:hint="eastAsia" w:asciiTheme="majorEastAsia" w:hAnsiTheme="majorEastAsia" w:eastAsiaTheme="majorEastAsia" w:cstheme="majorEastAsia"/>
          <w:bCs/>
          <w:sz w:val="24"/>
          <w:szCs w:val="24"/>
        </w:rPr>
        <w:fldChar w:fldCharType="end"/>
      </w:r>
    </w:p>
    <w:p w14:paraId="4E2198A6">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"_Toc26128" </w:instrText>
      </w:r>
      <w:r>
        <w:fldChar w:fldCharType="separate"/>
      </w:r>
      <w:r>
        <w:rPr>
          <w:rFonts w:hint="eastAsia" w:asciiTheme="majorEastAsia" w:hAnsiTheme="majorEastAsia" w:eastAsiaTheme="majorEastAsia" w:cstheme="majorEastAsia"/>
          <w:bCs/>
          <w:sz w:val="24"/>
          <w:szCs w:val="24"/>
        </w:rPr>
        <w:t>6.1施工准备阶段</w:t>
      </w:r>
      <w:r>
        <w:rPr>
          <w:rFonts w:hint="eastAsia" w:asciiTheme="majorEastAsia" w:hAnsiTheme="majorEastAsia" w:eastAsiaTheme="majorEastAsia" w:cstheme="majorEastAsia"/>
          <w:bCs/>
          <w:sz w:val="24"/>
          <w:szCs w:val="24"/>
        </w:rPr>
        <w:fldChar w:fldCharType="end"/>
      </w:r>
    </w:p>
    <w:p w14:paraId="39C7379A">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"_Toc10407" </w:instrText>
      </w:r>
      <w:r>
        <w:fldChar w:fldCharType="separate"/>
      </w:r>
      <w:r>
        <w:rPr>
          <w:rFonts w:hint="eastAsia" w:asciiTheme="majorEastAsia" w:hAnsiTheme="majorEastAsia" w:eastAsiaTheme="majorEastAsia" w:cstheme="majorEastAsia"/>
          <w:bCs/>
          <w:sz w:val="24"/>
          <w:szCs w:val="24"/>
        </w:rPr>
        <w:t>6.2施工阶段</w:t>
      </w:r>
      <w:r>
        <w:rPr>
          <w:rFonts w:hint="eastAsia" w:asciiTheme="majorEastAsia" w:hAnsiTheme="majorEastAsia" w:eastAsiaTheme="majorEastAsia" w:cstheme="majorEastAsia"/>
          <w:bCs/>
          <w:sz w:val="24"/>
          <w:szCs w:val="24"/>
        </w:rPr>
        <w:fldChar w:fldCharType="end"/>
      </w:r>
    </w:p>
    <w:p w14:paraId="161E714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"_Toc18337" </w:instrText>
      </w:r>
      <w:r>
        <w:fldChar w:fldCharType="separate"/>
      </w:r>
      <w:r>
        <w:rPr>
          <w:rFonts w:hint="eastAsia" w:asciiTheme="majorEastAsia" w:hAnsiTheme="majorEastAsia" w:eastAsiaTheme="majorEastAsia" w:cstheme="majorEastAsia"/>
          <w:bCs/>
          <w:sz w:val="24"/>
          <w:szCs w:val="24"/>
        </w:rPr>
        <w:t>6.3竣工阶段</w:t>
      </w:r>
      <w:r>
        <w:rPr>
          <w:rFonts w:hint="eastAsia" w:asciiTheme="majorEastAsia" w:hAnsiTheme="majorEastAsia" w:eastAsiaTheme="majorEastAsia" w:cstheme="majorEastAsia"/>
          <w:bCs/>
          <w:sz w:val="24"/>
          <w:szCs w:val="24"/>
        </w:rPr>
        <w:fldChar w:fldCharType="end"/>
      </w:r>
    </w:p>
    <w:p w14:paraId="7A69672B">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"_Toc5222" </w:instrText>
      </w:r>
      <w:r>
        <w:fldChar w:fldCharType="separate"/>
      </w:r>
      <w:r>
        <w:rPr>
          <w:rFonts w:hint="eastAsia" w:asciiTheme="majorEastAsia" w:hAnsiTheme="majorEastAsia" w:eastAsiaTheme="majorEastAsia" w:cstheme="majorEastAsia"/>
          <w:bCs/>
          <w:sz w:val="24"/>
          <w:szCs w:val="24"/>
        </w:rPr>
        <w:t>6.4信息处理</w:t>
      </w:r>
      <w:r>
        <w:rPr>
          <w:rFonts w:hint="eastAsia" w:asciiTheme="majorEastAsia" w:hAnsiTheme="majorEastAsia" w:eastAsiaTheme="majorEastAsia" w:cstheme="majorEastAsia"/>
          <w:bCs/>
          <w:sz w:val="24"/>
          <w:szCs w:val="24"/>
        </w:rPr>
        <w:fldChar w:fldCharType="end"/>
      </w:r>
    </w:p>
    <w:p w14:paraId="7B58B91F">
      <w:pPr>
        <w:spacing w:after="240" w:line="720" w:lineRule="auto"/>
        <w:ind w:firstLine="1440" w:firstLineChars="600"/>
        <w:rPr>
          <w:rFonts w:ascii="宋体" w:hAnsi="宋体" w:cs="Times New Roman"/>
          <w:b/>
          <w:sz w:val="36"/>
          <w:szCs w:val="36"/>
          <w:u w:val="single"/>
        </w:rPr>
        <w:sectPr>
          <w:headerReference r:id="rId3" w:type="default"/>
          <w:footerReference r:id="rId4" w:type="default"/>
          <w:pgSz w:w="11906" w:h="16838"/>
          <w:pgMar w:top="1440" w:right="1080" w:bottom="1440" w:left="1080" w:header="850" w:footer="850" w:gutter="0"/>
          <w:pgNumType w:fmt="decimal" w:start="1"/>
          <w:cols w:space="425" w:num="1"/>
          <w:docGrid w:type="lines" w:linePitch="312" w:charSpace="0"/>
        </w:sectPr>
      </w:pPr>
      <w:r>
        <w:rPr>
          <w:rFonts w:hint="eastAsia" w:asciiTheme="majorEastAsia" w:hAnsiTheme="majorEastAsia" w:eastAsiaTheme="majorEastAsia" w:cstheme="majorEastAsia"/>
          <w:bCs/>
          <w:sz w:val="24"/>
          <w:szCs w:val="24"/>
          <w:u w:val="single"/>
        </w:rPr>
        <w:fldChar w:fldCharType="end"/>
      </w:r>
    </w:p>
    <w:p w14:paraId="7344D493">
      <w:pPr>
        <w:pStyle w:val="4"/>
        <w:widowControl w:val="0"/>
        <w:spacing w:line="360" w:lineRule="auto"/>
        <w:ind w:firstLine="0"/>
        <w:rPr>
          <w:rFonts w:ascii="宋体" w:hAnsi="宋体"/>
          <w:b/>
          <w:sz w:val="28"/>
          <w:szCs w:val="28"/>
        </w:rPr>
      </w:pPr>
      <w:bookmarkStart w:id="0" w:name="_Toc14499"/>
      <w:bookmarkStart w:id="1" w:name="_Toc18266"/>
      <w:r>
        <w:rPr>
          <w:rFonts w:hint="eastAsia" w:ascii="宋体" w:hAnsi="宋体"/>
          <w:b/>
          <w:sz w:val="28"/>
          <w:szCs w:val="28"/>
        </w:rPr>
        <w:t>电气安装项目概况</w:t>
      </w:r>
      <w:bookmarkEnd w:id="0"/>
      <w:bookmarkEnd w:id="1"/>
    </w:p>
    <w:p w14:paraId="13D43C76">
      <w:pPr>
        <w:spacing w:line="360" w:lineRule="auto"/>
        <w:ind w:firstLine="360" w:firstLineChars="150"/>
        <w:rPr>
          <w:rFonts w:ascii="宋体" w:hAnsi="宋体"/>
          <w:sz w:val="24"/>
        </w:rPr>
      </w:pPr>
      <w:r>
        <w:rPr>
          <w:rFonts w:hint="eastAsia" w:ascii="宋体" w:hAnsi="宋体"/>
          <w:sz w:val="24"/>
        </w:rPr>
        <w:t xml:space="preserve"> </w:t>
      </w:r>
      <w:r>
        <w:rPr>
          <w:rFonts w:hint="eastAsia" w:ascii="Calibri" w:hAnsi="Calibri" w:eastAsia="宋体" w:cs="Times New Roman"/>
          <w:b w:val="0"/>
          <w:bCs w:val="0"/>
          <w:kern w:val="0"/>
          <w:sz w:val="24"/>
          <w:szCs w:val="21"/>
          <w:lang w:val="en-US" w:eastAsia="zh-CN" w:bidi="ar-SA"/>
        </w:rPr>
        <w:t>本光伏发电系统是将太阳能通过光伏组件转化为直流电力，再通过并网型逆变器将直流电能转化为与电网同频率、同相位的交流电后经过低压配电后并入电网。其发电系统主要由光伏阵列、并网逆变设备、低压交流汇流柜、数据采集及监控系统、阵列支架、交、直流电力网络、交流配电柜等组成。</w:t>
      </w:r>
    </w:p>
    <w:p w14:paraId="6438D483">
      <w:pPr>
        <w:rPr>
          <w:rFonts w:ascii="宋体" w:hAnsi="宋体" w:cs="宋体"/>
          <w:b/>
          <w:sz w:val="24"/>
        </w:rPr>
      </w:pPr>
    </w:p>
    <w:p w14:paraId="6FB19161">
      <w:pPr>
        <w:numPr>
          <w:ilvl w:val="0"/>
          <w:numId w:val="1"/>
        </w:numPr>
        <w:outlineLvl w:val="0"/>
        <w:rPr>
          <w:rFonts w:ascii="宋体" w:hAnsi="宋体" w:cs="宋体"/>
          <w:b/>
          <w:sz w:val="24"/>
        </w:rPr>
      </w:pPr>
      <w:bookmarkStart w:id="2" w:name="_Toc9963"/>
      <w:bookmarkStart w:id="3" w:name="_Toc14305"/>
      <w:bookmarkStart w:id="4" w:name="_Toc3086"/>
      <w:r>
        <w:rPr>
          <w:rFonts w:hint="eastAsia" w:ascii="宋体" w:hAnsi="宋体" w:cs="宋体"/>
          <w:b/>
          <w:sz w:val="24"/>
        </w:rPr>
        <w:t>监理依据</w:t>
      </w:r>
      <w:bookmarkEnd w:id="2"/>
      <w:bookmarkEnd w:id="3"/>
      <w:bookmarkEnd w:id="4"/>
    </w:p>
    <w:p w14:paraId="3FEF2674">
      <w:pPr>
        <w:ind w:left="720"/>
        <w:rPr>
          <w:rFonts w:ascii="宋体" w:hAnsi="宋体" w:cs="宋体"/>
          <w:b/>
          <w:sz w:val="24"/>
        </w:rPr>
      </w:pPr>
    </w:p>
    <w:p w14:paraId="5FFC643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国家现行的法律、法规、条例和建设监理的有关规定；</w:t>
      </w:r>
    </w:p>
    <w:p w14:paraId="6D88D17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《电力建设工程监理规范》DL/T5434-20</w:t>
      </w:r>
      <w:r>
        <w:rPr>
          <w:rFonts w:hint="eastAsia" w:ascii="Calibri" w:hAnsi="Calibri" w:eastAsia="宋体" w:cs="Times New Roman"/>
          <w:b w:val="0"/>
          <w:bCs w:val="0"/>
          <w:kern w:val="0"/>
          <w:sz w:val="24"/>
          <w:szCs w:val="21"/>
          <w:lang w:val="en-US" w:eastAsia="zh-CN" w:bidi="ar-SA"/>
        </w:rPr>
        <w:t>21</w:t>
      </w:r>
      <w:r>
        <w:rPr>
          <w:rFonts w:hint="eastAsia" w:ascii="Calibri" w:hAnsi="Calibri" w:eastAsia="宋体" w:cs="Times New Roman"/>
          <w:b w:val="0"/>
          <w:bCs w:val="0"/>
          <w:kern w:val="0"/>
          <w:sz w:val="24"/>
          <w:szCs w:val="21"/>
          <w:lang w:val="zh-CN" w:eastAsia="zh-CN" w:bidi="ar-SA"/>
        </w:rPr>
        <w:t>；</w:t>
      </w:r>
    </w:p>
    <w:p w14:paraId="357952D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国家和行业制定的施工及验收技术规程、规范和质量验评规程的有效版</w:t>
      </w:r>
    </w:p>
    <w:p w14:paraId="7BA7675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《电气装置安装工程质量检验及评定规程》DL/T5161-2002</w:t>
      </w:r>
    </w:p>
    <w:p w14:paraId="0DFFF11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《电气装置安装工程接地装置施工及验收规范》(GB50169-20</w:t>
      </w:r>
      <w:r>
        <w:rPr>
          <w:rFonts w:hint="eastAsia" w:ascii="Calibri" w:hAnsi="Calibri" w:eastAsia="宋体" w:cs="Times New Roman"/>
          <w:b w:val="0"/>
          <w:bCs w:val="0"/>
          <w:kern w:val="0"/>
          <w:sz w:val="24"/>
          <w:szCs w:val="21"/>
          <w:lang w:val="en-US" w:eastAsia="zh-CN" w:bidi="ar-SA"/>
        </w:rPr>
        <w:t>18</w:t>
      </w:r>
      <w:r>
        <w:rPr>
          <w:rFonts w:hint="eastAsia" w:ascii="Calibri" w:hAnsi="Calibri" w:eastAsia="宋体" w:cs="Times New Roman"/>
          <w:b w:val="0"/>
          <w:bCs w:val="0"/>
          <w:kern w:val="0"/>
          <w:sz w:val="24"/>
          <w:szCs w:val="21"/>
          <w:lang w:val="zh-CN" w:eastAsia="zh-CN" w:bidi="ar-SA"/>
        </w:rPr>
        <w:t xml:space="preserve">); </w:t>
      </w:r>
    </w:p>
    <w:p w14:paraId="72205470">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《电气装置安装工程盘、柜及二次回路接线施工及验收规范》GB50171-</w:t>
      </w:r>
      <w:r>
        <w:rPr>
          <w:rFonts w:hint="eastAsia" w:ascii="Calibri" w:hAnsi="Calibri" w:eastAsia="宋体" w:cs="Times New Roman"/>
          <w:b w:val="0"/>
          <w:bCs w:val="0"/>
          <w:kern w:val="0"/>
          <w:sz w:val="24"/>
          <w:szCs w:val="21"/>
          <w:lang w:val="en-US" w:eastAsia="zh-CN" w:bidi="ar-SA"/>
        </w:rPr>
        <w:t>2016</w:t>
      </w:r>
    </w:p>
    <w:p w14:paraId="4AF11DE8">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《电气装置安装工程蓄电池施工及验收规范》GB50172-</w:t>
      </w:r>
      <w:r>
        <w:rPr>
          <w:rFonts w:hint="eastAsia" w:ascii="Calibri" w:hAnsi="Calibri" w:eastAsia="宋体" w:cs="Times New Roman"/>
          <w:b w:val="0"/>
          <w:bCs w:val="0"/>
          <w:kern w:val="0"/>
          <w:sz w:val="24"/>
          <w:szCs w:val="21"/>
          <w:lang w:val="en-US" w:eastAsia="zh-CN" w:bidi="ar-SA"/>
        </w:rPr>
        <w:t>2018</w:t>
      </w:r>
    </w:p>
    <w:p w14:paraId="78F38429">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《电气装置安装工程高压电器施工及验收规范》GB50147-201</w:t>
      </w:r>
      <w:r>
        <w:rPr>
          <w:rFonts w:hint="eastAsia" w:ascii="Calibri" w:hAnsi="Calibri" w:eastAsia="宋体" w:cs="Times New Roman"/>
          <w:b w:val="0"/>
          <w:bCs w:val="0"/>
          <w:kern w:val="0"/>
          <w:sz w:val="24"/>
          <w:szCs w:val="21"/>
          <w:lang w:val="en-US" w:eastAsia="zh-CN" w:bidi="ar-SA"/>
        </w:rPr>
        <w:t>6</w:t>
      </w:r>
    </w:p>
    <w:p w14:paraId="5BD1DEAE">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《电气装置安装工程低压电器施工及验收规范》GB50254-</w:t>
      </w:r>
      <w:r>
        <w:rPr>
          <w:rFonts w:hint="eastAsia" w:ascii="Calibri" w:hAnsi="Calibri" w:eastAsia="宋体" w:cs="Times New Roman"/>
          <w:b w:val="0"/>
          <w:bCs w:val="0"/>
          <w:kern w:val="0"/>
          <w:sz w:val="24"/>
          <w:szCs w:val="21"/>
          <w:lang w:val="en-US" w:eastAsia="zh-CN" w:bidi="ar-SA"/>
        </w:rPr>
        <w:t>2016</w:t>
      </w:r>
    </w:p>
    <w:p w14:paraId="45D3D0CC">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《电气装置安装工程电力变流设备施工及验收规范》GB50255-</w:t>
      </w:r>
      <w:r>
        <w:rPr>
          <w:rFonts w:hint="eastAsia" w:ascii="Calibri" w:hAnsi="Calibri" w:eastAsia="宋体" w:cs="Times New Roman"/>
          <w:b w:val="0"/>
          <w:bCs w:val="0"/>
          <w:kern w:val="0"/>
          <w:sz w:val="24"/>
          <w:szCs w:val="21"/>
          <w:lang w:val="en-US" w:eastAsia="zh-CN" w:bidi="ar-SA"/>
        </w:rPr>
        <w:t>2016</w:t>
      </w:r>
    </w:p>
    <w:p w14:paraId="03F6D1A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《电气装置安装工程电力变压器,油浸电抗器,互感器施工及验收规范》GBJ 148-90</w:t>
      </w:r>
    </w:p>
    <w:p w14:paraId="18452EA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《电气装置安装工程母线装置施工及验收规范》GB50149-2010</w:t>
      </w:r>
    </w:p>
    <w:p w14:paraId="5E4C45DA">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《电气装置安装工程电缆线路施工及验收规范》GB 50168-20</w:t>
      </w:r>
      <w:r>
        <w:rPr>
          <w:rFonts w:hint="eastAsia" w:ascii="Calibri" w:hAnsi="Calibri" w:eastAsia="宋体" w:cs="Times New Roman"/>
          <w:b w:val="0"/>
          <w:bCs w:val="0"/>
          <w:kern w:val="0"/>
          <w:sz w:val="24"/>
          <w:szCs w:val="21"/>
          <w:lang w:val="en-US" w:eastAsia="zh-CN" w:bidi="ar-SA"/>
        </w:rPr>
        <w:t>18</w:t>
      </w:r>
    </w:p>
    <w:p w14:paraId="059F974F">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《建筑电气工程施工质量验收规范》GB50303-201</w:t>
      </w:r>
      <w:r>
        <w:rPr>
          <w:rFonts w:hint="eastAsia" w:ascii="Calibri" w:hAnsi="Calibri" w:eastAsia="宋体" w:cs="Times New Roman"/>
          <w:b w:val="0"/>
          <w:bCs w:val="0"/>
          <w:kern w:val="0"/>
          <w:sz w:val="24"/>
          <w:szCs w:val="21"/>
          <w:lang w:val="en-US" w:eastAsia="zh-CN" w:bidi="ar-SA"/>
        </w:rPr>
        <w:t>9</w:t>
      </w:r>
    </w:p>
    <w:p w14:paraId="7F1AB64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《火力发电建设工程启动试运及验收规程》DL/T5437-20</w:t>
      </w:r>
      <w:r>
        <w:rPr>
          <w:rFonts w:hint="eastAsia" w:ascii="Calibri" w:hAnsi="Calibri" w:eastAsia="宋体" w:cs="Times New Roman"/>
          <w:b w:val="0"/>
          <w:bCs w:val="0"/>
          <w:kern w:val="0"/>
          <w:sz w:val="24"/>
          <w:szCs w:val="21"/>
          <w:lang w:val="en-US" w:eastAsia="zh-CN" w:bidi="ar-SA"/>
        </w:rPr>
        <w:t>19</w:t>
      </w:r>
      <w:r>
        <w:rPr>
          <w:rFonts w:hint="eastAsia" w:ascii="Calibri" w:hAnsi="Calibri" w:eastAsia="宋体" w:cs="Times New Roman"/>
          <w:b w:val="0"/>
          <w:bCs w:val="0"/>
          <w:kern w:val="0"/>
          <w:sz w:val="24"/>
          <w:szCs w:val="21"/>
          <w:lang w:val="zh-CN" w:eastAsia="zh-CN" w:bidi="ar-SA"/>
        </w:rPr>
        <w:t>；</w:t>
      </w:r>
    </w:p>
    <w:p w14:paraId="7E12950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《电力建设安全工作规程》(火力发电厂部分) ;</w:t>
      </w:r>
    </w:p>
    <w:p w14:paraId="1AF4D03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《电力建设安全施工管理规定》;</w:t>
      </w:r>
    </w:p>
    <w:p w14:paraId="136F1A7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《电业安全工作规程》；</w:t>
      </w:r>
    </w:p>
    <w:p w14:paraId="015D145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《火电施工质量检验及评定标准》（调整试运篇）；</w:t>
      </w:r>
    </w:p>
    <w:p w14:paraId="3E746A00">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《防止电力生产重大事故的二十五项重点要求》。</w:t>
      </w:r>
    </w:p>
    <w:p w14:paraId="2C142BB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批准的施工组织设计和施工作业指导书；</w:t>
      </w:r>
    </w:p>
    <w:p w14:paraId="35CAB6E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施工技术文件（包括但不限于施工图纸、设计变更、设备图纸、技术手册、 往来文件等）；</w:t>
      </w:r>
    </w:p>
    <w:p w14:paraId="3288B47C">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监理合同，监理大纲和监理规划；</w:t>
      </w:r>
    </w:p>
    <w:p w14:paraId="26F37B7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甲方依法对外签订的与监理有关的合同；</w:t>
      </w:r>
    </w:p>
    <w:p w14:paraId="132880E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设备制造厂商提供的设备图纸和技术文件；</w:t>
      </w:r>
    </w:p>
    <w:p w14:paraId="3893EBB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甲方按国家及行业规定制定的本工程建设管理制度。  </w:t>
      </w:r>
    </w:p>
    <w:p w14:paraId="6AC72BD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有关各方商议确定的其它文件等。</w:t>
      </w:r>
    </w:p>
    <w:p w14:paraId="3943F08C">
      <w:pPr>
        <w:widowControl/>
        <w:tabs>
          <w:tab w:val="left" w:pos="425"/>
        </w:tabs>
        <w:spacing w:line="360" w:lineRule="auto"/>
        <w:ind w:firstLine="480" w:firstLineChars="200"/>
        <w:jc w:val="left"/>
        <w:rPr>
          <w:rFonts w:ascii="宋体" w:hAnsi="宋体" w:cs="宋体"/>
          <w:b/>
          <w:sz w:val="24"/>
        </w:rPr>
      </w:pPr>
      <w:r>
        <w:rPr>
          <w:rFonts w:hint="eastAsia" w:ascii="Calibri" w:hAnsi="Calibri" w:eastAsia="宋体" w:cs="Times New Roman"/>
          <w:b w:val="0"/>
          <w:bCs w:val="0"/>
          <w:kern w:val="0"/>
          <w:sz w:val="24"/>
          <w:szCs w:val="21"/>
          <w:lang w:val="zh-CN" w:eastAsia="zh-CN" w:bidi="ar-SA"/>
        </w:rPr>
        <w:t xml:space="preserve"> 以上法律法规和文件均使用国家和部门颁布的最新版本。</w:t>
      </w:r>
    </w:p>
    <w:p w14:paraId="61D675D2">
      <w:pPr>
        <w:spacing w:line="360" w:lineRule="auto"/>
        <w:outlineLvl w:val="0"/>
        <w:rPr>
          <w:rFonts w:ascii="宋体" w:hAnsi="宋体" w:cs="宋体"/>
          <w:b/>
          <w:sz w:val="24"/>
        </w:rPr>
      </w:pPr>
      <w:bookmarkStart w:id="5" w:name="_Toc27811"/>
      <w:bookmarkStart w:id="6" w:name="_Toc23957"/>
      <w:bookmarkStart w:id="7" w:name="_Toc17435"/>
      <w:r>
        <w:rPr>
          <w:rFonts w:hint="eastAsia" w:ascii="宋体" w:hAnsi="宋体" w:cs="宋体"/>
          <w:b/>
          <w:sz w:val="24"/>
        </w:rPr>
        <w:t>二、监理工作控制要点和目标值</w:t>
      </w:r>
      <w:bookmarkEnd w:id="5"/>
      <w:bookmarkEnd w:id="6"/>
      <w:bookmarkEnd w:id="7"/>
    </w:p>
    <w:p w14:paraId="408C903C">
      <w:pPr>
        <w:spacing w:line="360" w:lineRule="auto"/>
        <w:outlineLvl w:val="1"/>
        <w:rPr>
          <w:rFonts w:ascii="宋体" w:hAnsi="宋体" w:cs="宋体"/>
          <w:b/>
          <w:sz w:val="24"/>
        </w:rPr>
      </w:pPr>
      <w:bookmarkStart w:id="8" w:name="_Toc30055"/>
      <w:bookmarkStart w:id="9" w:name="_Toc13978"/>
      <w:bookmarkStart w:id="10" w:name="_Toc29027"/>
      <w:r>
        <w:rPr>
          <w:rFonts w:hint="eastAsia" w:ascii="宋体" w:hAnsi="宋体" w:cs="宋体"/>
          <w:b/>
          <w:sz w:val="24"/>
        </w:rPr>
        <w:t>2.1监理工作控制要点</w:t>
      </w:r>
      <w:bookmarkEnd w:id="8"/>
      <w:bookmarkEnd w:id="9"/>
      <w:bookmarkEnd w:id="10"/>
    </w:p>
    <w:tbl>
      <w:tblPr>
        <w:tblStyle w:val="12"/>
        <w:tblW w:w="8280"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40"/>
        <w:gridCol w:w="3780"/>
        <w:gridCol w:w="540"/>
        <w:gridCol w:w="3420"/>
      </w:tblGrid>
      <w:tr w14:paraId="12A744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540" w:type="dxa"/>
            <w:vAlign w:val="center"/>
          </w:tcPr>
          <w:p w14:paraId="10D5322F">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序号</w:t>
            </w:r>
          </w:p>
        </w:tc>
        <w:tc>
          <w:tcPr>
            <w:tcW w:w="3780" w:type="dxa"/>
            <w:vAlign w:val="center"/>
          </w:tcPr>
          <w:p w14:paraId="2B6D1AAC">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控制要点及要求</w:t>
            </w:r>
          </w:p>
        </w:tc>
        <w:tc>
          <w:tcPr>
            <w:tcW w:w="540" w:type="dxa"/>
            <w:tcBorders>
              <w:right w:val="single" w:color="auto" w:sz="4" w:space="0"/>
            </w:tcBorders>
            <w:vAlign w:val="center"/>
          </w:tcPr>
          <w:p w14:paraId="7EF71E90">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序号</w:t>
            </w:r>
          </w:p>
        </w:tc>
        <w:tc>
          <w:tcPr>
            <w:tcW w:w="3420" w:type="dxa"/>
            <w:tcBorders>
              <w:left w:val="single" w:color="auto" w:sz="4" w:space="0"/>
            </w:tcBorders>
            <w:vAlign w:val="center"/>
          </w:tcPr>
          <w:p w14:paraId="7A35AFCA">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控制要点及要求</w:t>
            </w:r>
          </w:p>
        </w:tc>
      </w:tr>
      <w:tr w14:paraId="7D67D6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8" w:hRule="atLeast"/>
        </w:trPr>
        <w:tc>
          <w:tcPr>
            <w:tcW w:w="540" w:type="dxa"/>
            <w:vAlign w:val="center"/>
          </w:tcPr>
          <w:p w14:paraId="1B2EB867">
            <w:pPr>
              <w:adjustRightInd w:val="0"/>
              <w:snapToGrid w:val="0"/>
              <w:ind w:left="63" w:leftChars="30" w:right="63" w:rightChars="30"/>
              <w:jc w:val="center"/>
              <w:rPr>
                <w:rFonts w:ascii="宋体" w:hAnsi="宋体" w:cs="宋体"/>
                <w:snapToGrid w:val="0"/>
                <w:spacing w:val="10"/>
                <w:kern w:val="21"/>
                <w:sz w:val="24"/>
              </w:rPr>
            </w:pPr>
            <w:r>
              <w:rPr>
                <w:rFonts w:hint="eastAsia" w:ascii="宋体" w:hAnsi="宋体" w:cs="宋体"/>
                <w:snapToGrid w:val="0"/>
                <w:spacing w:val="10"/>
                <w:kern w:val="21"/>
                <w:sz w:val="24"/>
              </w:rPr>
              <w:t>1</w:t>
            </w:r>
          </w:p>
        </w:tc>
        <w:tc>
          <w:tcPr>
            <w:tcW w:w="3780" w:type="dxa"/>
            <w:vAlign w:val="center"/>
          </w:tcPr>
          <w:p w14:paraId="0CFE06E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光伏电池设备安装完毕、验收记录齐全</w:t>
            </w:r>
          </w:p>
        </w:tc>
        <w:tc>
          <w:tcPr>
            <w:tcW w:w="540" w:type="dxa"/>
            <w:tcBorders>
              <w:right w:val="single" w:color="auto" w:sz="4" w:space="0"/>
            </w:tcBorders>
            <w:vAlign w:val="center"/>
          </w:tcPr>
          <w:p w14:paraId="559FBEFA">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16</w:t>
            </w:r>
          </w:p>
        </w:tc>
        <w:tc>
          <w:tcPr>
            <w:tcW w:w="3420" w:type="dxa"/>
            <w:tcBorders>
              <w:left w:val="single" w:color="auto" w:sz="4" w:space="0"/>
            </w:tcBorders>
            <w:vAlign w:val="center"/>
          </w:tcPr>
          <w:p w14:paraId="7C091D46">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关口计量装置安装验收</w:t>
            </w:r>
          </w:p>
        </w:tc>
      </w:tr>
      <w:tr w14:paraId="2A394A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5" w:hRule="atLeast"/>
        </w:trPr>
        <w:tc>
          <w:tcPr>
            <w:tcW w:w="540" w:type="dxa"/>
            <w:vAlign w:val="center"/>
          </w:tcPr>
          <w:p w14:paraId="1A8CA69B">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w:t>
            </w:r>
          </w:p>
        </w:tc>
        <w:tc>
          <w:tcPr>
            <w:tcW w:w="3780" w:type="dxa"/>
            <w:vAlign w:val="center"/>
          </w:tcPr>
          <w:p w14:paraId="61D7FFCA">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光伏场内电缆敷设、接线完毕、验收记录齐全</w:t>
            </w:r>
          </w:p>
        </w:tc>
        <w:tc>
          <w:tcPr>
            <w:tcW w:w="540" w:type="dxa"/>
            <w:tcBorders>
              <w:right w:val="single" w:color="auto" w:sz="4" w:space="0"/>
            </w:tcBorders>
            <w:vAlign w:val="center"/>
          </w:tcPr>
          <w:p w14:paraId="652544FC">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17</w:t>
            </w:r>
          </w:p>
        </w:tc>
        <w:tc>
          <w:tcPr>
            <w:tcW w:w="3420" w:type="dxa"/>
            <w:tcBorders>
              <w:left w:val="single" w:color="auto" w:sz="4" w:space="0"/>
            </w:tcBorders>
            <w:vAlign w:val="center"/>
          </w:tcPr>
          <w:p w14:paraId="70783CA7">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直流电源完好</w:t>
            </w:r>
          </w:p>
        </w:tc>
      </w:tr>
      <w:tr w14:paraId="0EAEA4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6" w:hRule="atLeast"/>
        </w:trPr>
        <w:tc>
          <w:tcPr>
            <w:tcW w:w="540" w:type="dxa"/>
            <w:vAlign w:val="center"/>
          </w:tcPr>
          <w:p w14:paraId="76E4714B">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3</w:t>
            </w:r>
          </w:p>
        </w:tc>
        <w:tc>
          <w:tcPr>
            <w:tcW w:w="3780" w:type="dxa"/>
            <w:vAlign w:val="center"/>
          </w:tcPr>
          <w:p w14:paraId="0E6B01C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逆变器、交流汇流箱安装</w:t>
            </w:r>
          </w:p>
        </w:tc>
        <w:tc>
          <w:tcPr>
            <w:tcW w:w="540" w:type="dxa"/>
            <w:tcBorders>
              <w:right w:val="single" w:color="auto" w:sz="4" w:space="0"/>
            </w:tcBorders>
            <w:vAlign w:val="center"/>
          </w:tcPr>
          <w:p w14:paraId="414E621D">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18</w:t>
            </w:r>
          </w:p>
        </w:tc>
        <w:tc>
          <w:tcPr>
            <w:tcW w:w="3420" w:type="dxa"/>
            <w:tcBorders>
              <w:left w:val="single" w:color="auto" w:sz="4" w:space="0"/>
            </w:tcBorders>
            <w:vAlign w:val="center"/>
          </w:tcPr>
          <w:p w14:paraId="39B61472">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所用变备用电源完好</w:t>
            </w:r>
          </w:p>
        </w:tc>
      </w:tr>
      <w:tr w14:paraId="2C6D36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50B7AAC8">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4</w:t>
            </w:r>
          </w:p>
        </w:tc>
        <w:tc>
          <w:tcPr>
            <w:tcW w:w="3780" w:type="dxa"/>
            <w:vAlign w:val="center"/>
          </w:tcPr>
          <w:p w14:paraId="279E461C">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电气送出系统断路器、隔离开关等一次设备安装、调整符合厂家规定，送出系统一次设备交接试验项目符合标准要求</w:t>
            </w:r>
          </w:p>
        </w:tc>
        <w:tc>
          <w:tcPr>
            <w:tcW w:w="540" w:type="dxa"/>
            <w:tcBorders>
              <w:right w:val="single" w:color="auto" w:sz="4" w:space="0"/>
            </w:tcBorders>
            <w:vAlign w:val="center"/>
          </w:tcPr>
          <w:p w14:paraId="580455F3">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19</w:t>
            </w:r>
          </w:p>
        </w:tc>
        <w:tc>
          <w:tcPr>
            <w:tcW w:w="3420" w:type="dxa"/>
            <w:tcBorders>
              <w:left w:val="single" w:color="auto" w:sz="4" w:space="0"/>
            </w:tcBorders>
            <w:vAlign w:val="center"/>
          </w:tcPr>
          <w:p w14:paraId="30F9761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灯光、音响、信号试验合格</w:t>
            </w:r>
          </w:p>
        </w:tc>
      </w:tr>
      <w:tr w14:paraId="3EC10C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6" w:hRule="atLeast"/>
        </w:trPr>
        <w:tc>
          <w:tcPr>
            <w:tcW w:w="540" w:type="dxa"/>
            <w:vAlign w:val="center"/>
          </w:tcPr>
          <w:p w14:paraId="34862705">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5</w:t>
            </w:r>
          </w:p>
        </w:tc>
        <w:tc>
          <w:tcPr>
            <w:tcW w:w="3780" w:type="dxa"/>
            <w:vAlign w:val="center"/>
          </w:tcPr>
          <w:p w14:paraId="349F9C3A">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设备引线等电气安全距离符合规范要求</w:t>
            </w:r>
          </w:p>
        </w:tc>
        <w:tc>
          <w:tcPr>
            <w:tcW w:w="540" w:type="dxa"/>
            <w:tcBorders>
              <w:right w:val="single" w:color="auto" w:sz="4" w:space="0"/>
            </w:tcBorders>
            <w:vAlign w:val="center"/>
          </w:tcPr>
          <w:p w14:paraId="368D902B">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20</w:t>
            </w:r>
          </w:p>
        </w:tc>
        <w:tc>
          <w:tcPr>
            <w:tcW w:w="3420" w:type="dxa"/>
            <w:tcBorders>
              <w:left w:val="single" w:color="auto" w:sz="4" w:space="0"/>
            </w:tcBorders>
            <w:vAlign w:val="center"/>
          </w:tcPr>
          <w:p w14:paraId="02B4E548">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联锁装置试验合格</w:t>
            </w:r>
          </w:p>
        </w:tc>
      </w:tr>
      <w:tr w14:paraId="2ABB04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3896F12F">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6</w:t>
            </w:r>
          </w:p>
        </w:tc>
        <w:tc>
          <w:tcPr>
            <w:tcW w:w="3780" w:type="dxa"/>
            <w:vAlign w:val="center"/>
          </w:tcPr>
          <w:p w14:paraId="2AC21E0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盘、屏正面及背面均有名称、编号；盘、屏内部元件和装置的规格、型号符合设计，二次配线正确，标识清晰</w:t>
            </w:r>
          </w:p>
        </w:tc>
        <w:tc>
          <w:tcPr>
            <w:tcW w:w="540" w:type="dxa"/>
            <w:tcBorders>
              <w:right w:val="single" w:color="auto" w:sz="4" w:space="0"/>
            </w:tcBorders>
            <w:vAlign w:val="center"/>
          </w:tcPr>
          <w:p w14:paraId="42E64A49">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21</w:t>
            </w:r>
          </w:p>
        </w:tc>
        <w:tc>
          <w:tcPr>
            <w:tcW w:w="3420" w:type="dxa"/>
            <w:tcBorders>
              <w:left w:val="single" w:color="auto" w:sz="4" w:space="0"/>
            </w:tcBorders>
            <w:vAlign w:val="center"/>
          </w:tcPr>
          <w:p w14:paraId="2E0ECE0A">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电缆沟盖板齐全</w:t>
            </w:r>
          </w:p>
        </w:tc>
      </w:tr>
      <w:tr w14:paraId="28582D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53152385">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7</w:t>
            </w:r>
          </w:p>
        </w:tc>
        <w:tc>
          <w:tcPr>
            <w:tcW w:w="3780" w:type="dxa"/>
            <w:vAlign w:val="center"/>
          </w:tcPr>
          <w:p w14:paraId="34DAE854">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电测仪表校验合格，并贴有检验合格证；指针式仪表额定值处画红线，相关回路完整并有正式报告</w:t>
            </w:r>
          </w:p>
        </w:tc>
        <w:tc>
          <w:tcPr>
            <w:tcW w:w="540" w:type="dxa"/>
            <w:tcBorders>
              <w:right w:val="single" w:color="auto" w:sz="4" w:space="0"/>
            </w:tcBorders>
            <w:vAlign w:val="center"/>
          </w:tcPr>
          <w:p w14:paraId="5B14FF04">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22</w:t>
            </w:r>
          </w:p>
        </w:tc>
        <w:tc>
          <w:tcPr>
            <w:tcW w:w="3420" w:type="dxa"/>
            <w:tcBorders>
              <w:left w:val="single" w:color="auto" w:sz="4" w:space="0"/>
            </w:tcBorders>
            <w:vAlign w:val="center"/>
          </w:tcPr>
          <w:p w14:paraId="275FFFDF">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各类电气盘柜和其他各部电缆孔(口)的防火封堵完好、有效和电缆防火漆涂刷及电线桥架上的阻燃材料袋设置正确，符合设计和消防规定</w:t>
            </w:r>
          </w:p>
        </w:tc>
      </w:tr>
      <w:tr w14:paraId="39B3A1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099A71A0">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8</w:t>
            </w:r>
          </w:p>
        </w:tc>
        <w:tc>
          <w:tcPr>
            <w:tcW w:w="3780" w:type="dxa"/>
            <w:vAlign w:val="center"/>
          </w:tcPr>
          <w:p w14:paraId="6CB1BF33">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各类继电保护装置及自动装置经调试，动作正确，并按定值通知单整定完毕(定值通知单为经审批、签字并加盖公章的正式定值通知单)</w:t>
            </w:r>
          </w:p>
        </w:tc>
        <w:tc>
          <w:tcPr>
            <w:tcW w:w="540" w:type="dxa"/>
            <w:tcBorders>
              <w:right w:val="single" w:color="auto" w:sz="4" w:space="0"/>
            </w:tcBorders>
            <w:vAlign w:val="center"/>
          </w:tcPr>
          <w:p w14:paraId="3A7CF6EE">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23</w:t>
            </w:r>
          </w:p>
        </w:tc>
        <w:tc>
          <w:tcPr>
            <w:tcW w:w="3420" w:type="dxa"/>
            <w:tcBorders>
              <w:left w:val="single" w:color="auto" w:sz="4" w:space="0"/>
            </w:tcBorders>
            <w:vAlign w:val="center"/>
          </w:tcPr>
          <w:p w14:paraId="0C596868">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沟内清洁无杂物、排水良好</w:t>
            </w:r>
          </w:p>
        </w:tc>
      </w:tr>
      <w:tr w14:paraId="43EEF3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8" w:hRule="atLeast"/>
        </w:trPr>
        <w:tc>
          <w:tcPr>
            <w:tcW w:w="540" w:type="dxa"/>
            <w:vAlign w:val="center"/>
          </w:tcPr>
          <w:p w14:paraId="0D67EE8C">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9</w:t>
            </w:r>
          </w:p>
        </w:tc>
        <w:tc>
          <w:tcPr>
            <w:tcW w:w="3780" w:type="dxa"/>
            <w:vAlign w:val="center"/>
          </w:tcPr>
          <w:p w14:paraId="063F2E1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二次交流、直流回路绝缘良好，接线正确；二次交流回路负载测量已进行，并有报告</w:t>
            </w:r>
          </w:p>
        </w:tc>
        <w:tc>
          <w:tcPr>
            <w:tcW w:w="540" w:type="dxa"/>
            <w:tcBorders>
              <w:right w:val="single" w:color="auto" w:sz="4" w:space="0"/>
            </w:tcBorders>
            <w:vAlign w:val="center"/>
          </w:tcPr>
          <w:p w14:paraId="1EA28F98">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24</w:t>
            </w:r>
          </w:p>
        </w:tc>
        <w:tc>
          <w:tcPr>
            <w:tcW w:w="3420" w:type="dxa"/>
            <w:tcBorders>
              <w:left w:val="single" w:color="auto" w:sz="4" w:space="0"/>
            </w:tcBorders>
            <w:vAlign w:val="center"/>
          </w:tcPr>
          <w:p w14:paraId="1F693714">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UPS装置投用正常</w:t>
            </w:r>
          </w:p>
        </w:tc>
      </w:tr>
      <w:tr w14:paraId="571376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4373A009">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10</w:t>
            </w:r>
          </w:p>
        </w:tc>
        <w:tc>
          <w:tcPr>
            <w:tcW w:w="3780" w:type="dxa"/>
            <w:vAlign w:val="center"/>
          </w:tcPr>
          <w:p w14:paraId="30D16631">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电气整套系统传动试验已完成</w:t>
            </w:r>
          </w:p>
        </w:tc>
        <w:tc>
          <w:tcPr>
            <w:tcW w:w="540" w:type="dxa"/>
            <w:tcBorders>
              <w:right w:val="single" w:color="auto" w:sz="4" w:space="0"/>
            </w:tcBorders>
            <w:vAlign w:val="center"/>
          </w:tcPr>
          <w:p w14:paraId="011587B2">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25</w:t>
            </w:r>
          </w:p>
        </w:tc>
        <w:tc>
          <w:tcPr>
            <w:tcW w:w="3420" w:type="dxa"/>
            <w:tcBorders>
              <w:left w:val="single" w:color="auto" w:sz="4" w:space="0"/>
            </w:tcBorders>
            <w:vAlign w:val="center"/>
          </w:tcPr>
          <w:p w14:paraId="33D1645C">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运行与非运行区域用遮栏隔离；电气安全警告标识牌内容和悬挂位置正确</w:t>
            </w:r>
          </w:p>
        </w:tc>
      </w:tr>
      <w:tr w14:paraId="443362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0E49291F">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11</w:t>
            </w:r>
          </w:p>
        </w:tc>
        <w:tc>
          <w:tcPr>
            <w:tcW w:w="3780" w:type="dxa"/>
            <w:vAlign w:val="center"/>
          </w:tcPr>
          <w:p w14:paraId="125EBD6E">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开关设备(送出和场用电源)合、分闸 操作试验、联锁试验、保护回路整组传动试验均能正确动作和指示</w:t>
            </w:r>
          </w:p>
        </w:tc>
        <w:tc>
          <w:tcPr>
            <w:tcW w:w="540" w:type="dxa"/>
            <w:tcBorders>
              <w:right w:val="single" w:color="auto" w:sz="4" w:space="0"/>
            </w:tcBorders>
            <w:vAlign w:val="center"/>
          </w:tcPr>
          <w:p w14:paraId="41B2ED9F">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26</w:t>
            </w:r>
          </w:p>
        </w:tc>
        <w:tc>
          <w:tcPr>
            <w:tcW w:w="3420" w:type="dxa"/>
            <w:tcBorders>
              <w:left w:val="single" w:color="auto" w:sz="4" w:space="0"/>
            </w:tcBorders>
            <w:vAlign w:val="center"/>
          </w:tcPr>
          <w:p w14:paraId="1AB33FC2">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设计变更、设备缺陷处理已闭环</w:t>
            </w:r>
          </w:p>
        </w:tc>
      </w:tr>
      <w:tr w14:paraId="230CD8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540" w:type="dxa"/>
            <w:vAlign w:val="center"/>
          </w:tcPr>
          <w:p w14:paraId="64677DF7">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12</w:t>
            </w:r>
          </w:p>
        </w:tc>
        <w:tc>
          <w:tcPr>
            <w:tcW w:w="3780" w:type="dxa"/>
            <w:vAlign w:val="center"/>
          </w:tcPr>
          <w:p w14:paraId="063E7E96">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故障录波器能正常投入</w:t>
            </w:r>
          </w:p>
        </w:tc>
        <w:tc>
          <w:tcPr>
            <w:tcW w:w="540" w:type="dxa"/>
            <w:tcBorders>
              <w:right w:val="single" w:color="auto" w:sz="4" w:space="0"/>
            </w:tcBorders>
            <w:vAlign w:val="center"/>
          </w:tcPr>
          <w:p w14:paraId="7C18D8FD">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27</w:t>
            </w:r>
          </w:p>
        </w:tc>
        <w:tc>
          <w:tcPr>
            <w:tcW w:w="3420" w:type="dxa"/>
            <w:tcBorders>
              <w:left w:val="single" w:color="auto" w:sz="4" w:space="0"/>
            </w:tcBorders>
            <w:vAlign w:val="center"/>
          </w:tcPr>
          <w:p w14:paraId="3D2ED06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施工图审查意见已闭环</w:t>
            </w:r>
          </w:p>
        </w:tc>
      </w:tr>
      <w:tr w14:paraId="605946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721DE1D1">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13</w:t>
            </w:r>
          </w:p>
        </w:tc>
        <w:tc>
          <w:tcPr>
            <w:tcW w:w="3780" w:type="dxa"/>
            <w:vAlign w:val="center"/>
          </w:tcPr>
          <w:p w14:paraId="285795C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“五防”功能经试验正确</w:t>
            </w:r>
          </w:p>
        </w:tc>
        <w:tc>
          <w:tcPr>
            <w:tcW w:w="540" w:type="dxa"/>
            <w:tcBorders>
              <w:right w:val="single" w:color="auto" w:sz="4" w:space="0"/>
            </w:tcBorders>
            <w:vAlign w:val="center"/>
          </w:tcPr>
          <w:p w14:paraId="41D37246">
            <w:pPr>
              <w:pStyle w:val="6"/>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28</w:t>
            </w:r>
          </w:p>
        </w:tc>
        <w:tc>
          <w:tcPr>
            <w:tcW w:w="3420" w:type="dxa"/>
            <w:tcBorders>
              <w:left w:val="single" w:color="auto" w:sz="4" w:space="0"/>
            </w:tcBorders>
            <w:vAlign w:val="center"/>
          </w:tcPr>
          <w:p w14:paraId="01D7778F">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施工质量验收签证(按监理单位验评项目统计)已统计汇总</w:t>
            </w:r>
          </w:p>
        </w:tc>
      </w:tr>
      <w:tr w14:paraId="0959AF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46937238">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14</w:t>
            </w:r>
          </w:p>
        </w:tc>
        <w:tc>
          <w:tcPr>
            <w:tcW w:w="3780" w:type="dxa"/>
            <w:vAlign w:val="center"/>
          </w:tcPr>
          <w:p w14:paraId="564C0887">
            <w:pPr>
              <w:autoSpaceDE w:val="0"/>
              <w:autoSpaceDN w:val="0"/>
              <w:adjustRightInd w:val="0"/>
              <w:snapToGrid w:val="0"/>
              <w:jc w:val="left"/>
              <w:rPr>
                <w:rFonts w:ascii="宋体" w:hAnsi="宋体" w:cs="宋体"/>
                <w:snapToGrid w:val="0"/>
                <w:color w:val="FF0000"/>
                <w:spacing w:val="2"/>
                <w:kern w:val="21"/>
                <w:sz w:val="24"/>
              </w:rPr>
            </w:pPr>
            <w:r>
              <w:rPr>
                <w:rFonts w:hint="eastAsia" w:ascii="宋体" w:hAnsi="宋体" w:cs="宋体"/>
                <w:snapToGrid w:val="0"/>
                <w:spacing w:val="2"/>
                <w:kern w:val="21"/>
                <w:sz w:val="24"/>
              </w:rPr>
              <w:t>调度、通讯通道开通等工作已完成，通讯装置能正常投用</w:t>
            </w:r>
          </w:p>
        </w:tc>
        <w:tc>
          <w:tcPr>
            <w:tcW w:w="540" w:type="dxa"/>
            <w:tcBorders>
              <w:right w:val="single" w:color="auto" w:sz="4" w:space="0"/>
            </w:tcBorders>
            <w:vAlign w:val="center"/>
          </w:tcPr>
          <w:p w14:paraId="1CB89C96">
            <w:pPr>
              <w:pStyle w:val="6"/>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29</w:t>
            </w:r>
          </w:p>
        </w:tc>
        <w:tc>
          <w:tcPr>
            <w:tcW w:w="3420" w:type="dxa"/>
            <w:tcBorders>
              <w:left w:val="single" w:color="auto" w:sz="4" w:space="0"/>
            </w:tcBorders>
            <w:vAlign w:val="center"/>
          </w:tcPr>
          <w:p w14:paraId="460F747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并网调度协议及购售电合同涉网问题的落实</w:t>
            </w:r>
          </w:p>
        </w:tc>
      </w:tr>
      <w:tr w14:paraId="55B10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048DFE36">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15</w:t>
            </w:r>
          </w:p>
        </w:tc>
        <w:tc>
          <w:tcPr>
            <w:tcW w:w="3780" w:type="dxa"/>
            <w:vAlign w:val="center"/>
          </w:tcPr>
          <w:p w14:paraId="10069352">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远方操作装置试验合格，远动装置能正常投用</w:t>
            </w:r>
          </w:p>
        </w:tc>
        <w:tc>
          <w:tcPr>
            <w:tcW w:w="540" w:type="dxa"/>
            <w:tcBorders>
              <w:right w:val="single" w:color="auto" w:sz="4" w:space="0"/>
            </w:tcBorders>
            <w:vAlign w:val="center"/>
          </w:tcPr>
          <w:p w14:paraId="1C776C87">
            <w:pPr>
              <w:pStyle w:val="6"/>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30</w:t>
            </w:r>
          </w:p>
        </w:tc>
        <w:tc>
          <w:tcPr>
            <w:tcW w:w="3420" w:type="dxa"/>
            <w:tcBorders>
              <w:left w:val="single" w:color="auto" w:sz="4" w:space="0"/>
            </w:tcBorders>
            <w:vAlign w:val="center"/>
          </w:tcPr>
          <w:p w14:paraId="4EFAE17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一、二次接入系统审查意见的落实</w:t>
            </w:r>
          </w:p>
        </w:tc>
      </w:tr>
    </w:tbl>
    <w:p w14:paraId="20530499">
      <w:pPr>
        <w:spacing w:before="156" w:beforeLines="50" w:line="312" w:lineRule="auto"/>
        <w:outlineLvl w:val="0"/>
        <w:rPr>
          <w:rFonts w:ascii="宋体" w:hAnsi="宋体" w:cs="宋体"/>
          <w:sz w:val="24"/>
        </w:rPr>
      </w:pPr>
      <w:bookmarkStart w:id="11" w:name="_Toc24818"/>
      <w:bookmarkStart w:id="12" w:name="_Toc28740"/>
      <w:bookmarkStart w:id="13" w:name="_Toc20829"/>
      <w:r>
        <w:rPr>
          <w:rFonts w:hint="eastAsia" w:ascii="宋体" w:hAnsi="宋体" w:cs="宋体"/>
          <w:sz w:val="24"/>
        </w:rPr>
        <w:t>三 、</w:t>
      </w:r>
      <w:r>
        <w:rPr>
          <w:rFonts w:hint="eastAsia" w:ascii="宋体" w:hAnsi="宋体" w:cs="宋体"/>
          <w:b/>
          <w:sz w:val="24"/>
        </w:rPr>
        <w:t>安装</w:t>
      </w:r>
      <w:bookmarkStart w:id="14" w:name="_Toc243712610"/>
      <w:bookmarkStart w:id="15" w:name="_Toc243646359"/>
      <w:bookmarkStart w:id="16" w:name="_Toc221527202"/>
      <w:bookmarkStart w:id="17" w:name="_Toc214159410"/>
      <w:r>
        <w:rPr>
          <w:rFonts w:hint="eastAsia" w:ascii="宋体" w:hAnsi="宋体" w:cs="宋体"/>
          <w:b/>
          <w:sz w:val="24"/>
        </w:rPr>
        <w:t>工作监理控制目标值</w:t>
      </w:r>
      <w:bookmarkEnd w:id="11"/>
      <w:bookmarkEnd w:id="12"/>
      <w:bookmarkEnd w:id="13"/>
    </w:p>
    <w:p w14:paraId="4E19E877">
      <w:pPr>
        <w:spacing w:line="312" w:lineRule="auto"/>
        <w:outlineLvl w:val="1"/>
        <w:rPr>
          <w:rFonts w:ascii="宋体" w:hAnsi="宋体" w:cs="宋体"/>
          <w:b/>
          <w:bCs/>
          <w:sz w:val="24"/>
        </w:rPr>
      </w:pPr>
      <w:bookmarkStart w:id="18" w:name="_Toc18016"/>
      <w:bookmarkStart w:id="19" w:name="_Toc24499"/>
      <w:bookmarkStart w:id="20" w:name="_Toc14679"/>
      <w:r>
        <w:rPr>
          <w:rFonts w:hint="eastAsia" w:ascii="宋体" w:hAnsi="宋体" w:cs="宋体"/>
          <w:b/>
          <w:bCs/>
          <w:sz w:val="24"/>
        </w:rPr>
        <w:t>3. 1铁质锁夹安装</w:t>
      </w:r>
      <w:bookmarkEnd w:id="14"/>
      <w:bookmarkEnd w:id="15"/>
      <w:bookmarkEnd w:id="16"/>
      <w:bookmarkEnd w:id="17"/>
      <w:bookmarkEnd w:id="18"/>
      <w:bookmarkEnd w:id="19"/>
      <w:bookmarkEnd w:id="20"/>
    </w:p>
    <w:p w14:paraId="597A4282">
      <w:pPr>
        <w:numPr>
          <w:ilvl w:val="0"/>
          <w:numId w:val="2"/>
        </w:numPr>
        <w:spacing w:line="360" w:lineRule="auto"/>
        <w:rPr>
          <w:rFonts w:ascii="宋体" w:hAnsi="宋体" w:cs="宋体"/>
          <w:sz w:val="24"/>
        </w:rPr>
      </w:pPr>
      <w:r>
        <w:rPr>
          <w:rFonts w:hint="eastAsia" w:ascii="宋体" w:hAnsi="宋体" w:cs="宋体"/>
          <w:sz w:val="24"/>
        </w:rPr>
        <w:t>根据金属檩条的布置，来固定支座的位置，并结合转接件布置图规定的间距来安装铁质锁夹。</w:t>
      </w:r>
    </w:p>
    <w:p w14:paraId="45761932">
      <w:pPr>
        <w:numPr>
          <w:ilvl w:val="0"/>
          <w:numId w:val="2"/>
        </w:numPr>
        <w:spacing w:line="360" w:lineRule="auto"/>
        <w:rPr>
          <w:rFonts w:ascii="宋体" w:hAnsi="宋体" w:cs="宋体"/>
          <w:sz w:val="24"/>
        </w:rPr>
      </w:pPr>
      <w:r>
        <w:rPr>
          <w:rFonts w:hint="eastAsia" w:ascii="宋体" w:hAnsi="宋体" w:cs="宋体"/>
          <w:sz w:val="24"/>
        </w:rPr>
        <w:t>将锁夹夹住在支座的面板肋上，用两支M8不锈钢螺栓紧固，螺栓头要置与有卡线的一端。（可先不拧紧螺母，到安装C型铁龙骨调平后再紧）；</w:t>
      </w:r>
    </w:p>
    <w:p w14:paraId="5BEC16D7">
      <w:pPr>
        <w:numPr>
          <w:ilvl w:val="0"/>
          <w:numId w:val="2"/>
        </w:numPr>
        <w:spacing w:line="360" w:lineRule="auto"/>
        <w:rPr>
          <w:rFonts w:ascii="宋体" w:hAnsi="宋体" w:cs="宋体"/>
          <w:sz w:val="24"/>
        </w:rPr>
      </w:pPr>
      <w:bookmarkStart w:id="21" w:name="_Toc8530"/>
      <w:r>
        <w:rPr>
          <w:rFonts w:hint="eastAsia" w:ascii="宋体" w:hAnsi="宋体" w:cs="宋体"/>
          <w:sz w:val="24"/>
        </w:rPr>
        <w:t>主龙骨采用C型钢质型材，主龙骨与板下钢次檩条同方向安装，通过M8不锈钢螺栓固定在钢质锁夹上。</w:t>
      </w:r>
      <w:bookmarkEnd w:id="21"/>
    </w:p>
    <w:p w14:paraId="6247CD8E">
      <w:pPr>
        <w:numPr>
          <w:ilvl w:val="0"/>
          <w:numId w:val="2"/>
        </w:numPr>
        <w:spacing w:line="360" w:lineRule="auto"/>
        <w:outlineLvl w:val="3"/>
        <w:rPr>
          <w:rFonts w:ascii="宋体" w:hAnsi="宋体" w:cs="宋体"/>
          <w:sz w:val="24"/>
        </w:rPr>
      </w:pPr>
      <w:r>
        <w:rPr>
          <w:rFonts w:hint="eastAsia" w:ascii="宋体" w:hAnsi="宋体" w:cs="宋体"/>
          <w:sz w:val="24"/>
        </w:rPr>
        <w:t>先将M8螺栓头置入锁夹上端的导槽中部，再将主龙骨落到锁夹上，龙骨上预先开好的螺栓孔要对应螺栓，调整主龙骨直线度后紧固螺栓。</w:t>
      </w:r>
    </w:p>
    <w:p w14:paraId="52641560">
      <w:pPr>
        <w:spacing w:line="360" w:lineRule="auto"/>
        <w:rPr>
          <w:rFonts w:ascii="宋体" w:hAnsi="宋体" w:cs="宋体"/>
          <w:sz w:val="24"/>
        </w:rPr>
      </w:pPr>
      <w:r>
        <w:rPr>
          <w:rFonts w:hint="eastAsia" w:ascii="宋体" w:hAnsi="宋体" w:cs="宋体"/>
          <w:sz w:val="24"/>
        </w:rPr>
        <w:t>5.主龙骨安装直线偏差不超过±5mm。</w:t>
      </w:r>
    </w:p>
    <w:p w14:paraId="3A8055A6">
      <w:pPr>
        <w:spacing w:line="360" w:lineRule="auto"/>
        <w:outlineLvl w:val="1"/>
        <w:rPr>
          <w:rFonts w:ascii="宋体" w:hAnsi="宋体" w:cs="宋体"/>
          <w:b/>
          <w:bCs/>
          <w:sz w:val="24"/>
        </w:rPr>
      </w:pPr>
      <w:bookmarkStart w:id="22" w:name="_Toc15455"/>
      <w:bookmarkStart w:id="23" w:name="_Toc27527"/>
      <w:bookmarkStart w:id="24" w:name="_Toc12577"/>
      <w:r>
        <w:rPr>
          <w:rFonts w:hint="eastAsia" w:ascii="宋体" w:hAnsi="宋体" w:cs="宋体"/>
          <w:b/>
          <w:bCs/>
          <w:sz w:val="24"/>
        </w:rPr>
        <w:t>3.2次龙骨安装</w:t>
      </w:r>
      <w:bookmarkEnd w:id="22"/>
      <w:bookmarkEnd w:id="23"/>
      <w:bookmarkEnd w:id="24"/>
    </w:p>
    <w:p w14:paraId="0CC76E78">
      <w:pPr>
        <w:numPr>
          <w:ilvl w:val="0"/>
          <w:numId w:val="3"/>
        </w:numPr>
        <w:spacing w:line="360" w:lineRule="auto"/>
        <w:rPr>
          <w:rFonts w:ascii="宋体" w:hAnsi="宋体" w:cs="宋体"/>
          <w:sz w:val="24"/>
        </w:rPr>
      </w:pPr>
      <w:r>
        <w:rPr>
          <w:rFonts w:hint="eastAsia" w:ascii="宋体" w:hAnsi="宋体" w:cs="宋体"/>
          <w:sz w:val="24"/>
        </w:rPr>
        <w:t>次龙骨采用钢质导槽型材，次龙骨通过M8不锈钢螺栓固定于主龙骨上，与主龙骨垂直交叉安装。</w:t>
      </w:r>
    </w:p>
    <w:p w14:paraId="27B71EF0">
      <w:pPr>
        <w:numPr>
          <w:ilvl w:val="0"/>
          <w:numId w:val="3"/>
        </w:numPr>
        <w:spacing w:line="360" w:lineRule="auto"/>
        <w:rPr>
          <w:rFonts w:ascii="宋体" w:hAnsi="宋体" w:cs="宋体"/>
          <w:sz w:val="24"/>
        </w:rPr>
      </w:pPr>
      <w:r>
        <w:rPr>
          <w:rFonts w:hint="eastAsia" w:ascii="宋体" w:hAnsi="宋体" w:cs="宋体"/>
          <w:sz w:val="24"/>
        </w:rPr>
        <w:t>每块太阳能组件下安装三支次龙骨，次龙骨同太阳能组件短边方向一致，三支次龙骨间距为0.65m,间距中对应太阳能组件中。</w:t>
      </w:r>
    </w:p>
    <w:p w14:paraId="675441E8">
      <w:pPr>
        <w:numPr>
          <w:ilvl w:val="0"/>
          <w:numId w:val="3"/>
        </w:numPr>
        <w:spacing w:line="360" w:lineRule="auto"/>
        <w:rPr>
          <w:rFonts w:ascii="宋体" w:hAnsi="宋体" w:cs="宋体"/>
          <w:sz w:val="24"/>
        </w:rPr>
      </w:pPr>
      <w:r>
        <w:rPr>
          <w:rFonts w:hint="eastAsia" w:ascii="宋体" w:hAnsi="宋体" w:cs="宋体"/>
          <w:sz w:val="24"/>
        </w:rPr>
        <w:t>先将M8不锈钢螺栓头滑入次龙骨导槽中，调整螺栓位置对应主龙骨上预先开好的螺栓孔，调整次龙骨直线度后紧固螺栓。</w:t>
      </w:r>
    </w:p>
    <w:p w14:paraId="38C46BF8">
      <w:pPr>
        <w:numPr>
          <w:ilvl w:val="0"/>
          <w:numId w:val="3"/>
        </w:numPr>
        <w:spacing w:line="360" w:lineRule="auto"/>
        <w:rPr>
          <w:rFonts w:ascii="宋体" w:hAnsi="宋体" w:cs="宋体"/>
          <w:sz w:val="24"/>
        </w:rPr>
      </w:pPr>
      <w:r>
        <w:rPr>
          <w:rFonts w:hint="eastAsia" w:ascii="宋体" w:hAnsi="宋体" w:cs="宋体"/>
          <w:sz w:val="24"/>
        </w:rPr>
        <w:t>次龙骨安装直线偏差不超过±5mm。</w:t>
      </w:r>
    </w:p>
    <w:p w14:paraId="4C920FD0">
      <w:pPr>
        <w:spacing w:line="360" w:lineRule="auto"/>
        <w:outlineLvl w:val="1"/>
        <w:rPr>
          <w:rFonts w:ascii="宋体" w:hAnsi="宋体" w:cs="宋体"/>
          <w:b/>
          <w:bCs/>
          <w:sz w:val="24"/>
        </w:rPr>
      </w:pPr>
      <w:bookmarkStart w:id="25" w:name="_Toc243646363"/>
      <w:bookmarkStart w:id="26" w:name="_Toc243712614"/>
      <w:bookmarkStart w:id="27" w:name="_Toc221527205"/>
      <w:bookmarkStart w:id="28" w:name="_Toc214159414"/>
      <w:bookmarkStart w:id="29" w:name="_Toc6110"/>
      <w:bookmarkStart w:id="30" w:name="_Toc15759"/>
      <w:bookmarkStart w:id="31" w:name="_Toc1647"/>
      <w:r>
        <w:rPr>
          <w:rFonts w:hint="eastAsia" w:ascii="宋体" w:hAnsi="宋体" w:cs="宋体"/>
          <w:b/>
          <w:bCs/>
          <w:sz w:val="24"/>
        </w:rPr>
        <w:t>3.3 太阳能电池板安装</w:t>
      </w:r>
      <w:bookmarkEnd w:id="25"/>
      <w:bookmarkEnd w:id="26"/>
      <w:bookmarkEnd w:id="27"/>
      <w:bookmarkEnd w:id="28"/>
      <w:r>
        <w:rPr>
          <w:rFonts w:hint="eastAsia" w:ascii="宋体" w:hAnsi="宋体" w:cs="宋体"/>
          <w:b/>
          <w:bCs/>
          <w:sz w:val="24"/>
        </w:rPr>
        <w:t>检查</w:t>
      </w:r>
      <w:bookmarkEnd w:id="29"/>
      <w:bookmarkEnd w:id="30"/>
      <w:bookmarkEnd w:id="31"/>
    </w:p>
    <w:p w14:paraId="1B0729C2">
      <w:pPr>
        <w:spacing w:line="360" w:lineRule="auto"/>
        <w:ind w:firstLine="480" w:firstLineChars="200"/>
        <w:rPr>
          <w:rFonts w:ascii="宋体" w:hAnsi="宋体" w:cs="宋体"/>
          <w:sz w:val="24"/>
        </w:rPr>
      </w:pPr>
      <w:r>
        <w:rPr>
          <w:rFonts w:hint="eastAsia" w:ascii="宋体" w:hAnsi="宋体" w:cs="宋体"/>
          <w:sz w:val="24"/>
        </w:rPr>
        <w:t>机械准备检查：检查叉车把太阳能电池板运到方阵的行或列之间的通道上的情况，目的是检查施工人员的安装速度。和在运输过程中要不至于碰撞到支架，不能堆积过高（可参照厂家说明书）。</w:t>
      </w:r>
    </w:p>
    <w:p w14:paraId="50FFB833">
      <w:pPr>
        <w:spacing w:line="360" w:lineRule="auto"/>
        <w:ind w:firstLine="480" w:firstLineChars="200"/>
        <w:rPr>
          <w:rFonts w:ascii="宋体" w:hAnsi="宋体" w:cs="宋体"/>
          <w:sz w:val="24"/>
        </w:rPr>
      </w:pPr>
      <w:r>
        <w:rPr>
          <w:rFonts w:hint="eastAsia" w:ascii="宋体" w:hAnsi="宋体" w:cs="宋体"/>
          <w:sz w:val="24"/>
        </w:rPr>
        <w:t>a. 电池板在运输和保管过程中，应轻搬轻放，不得有强烈的冲击和振动，不得横置重压。</w:t>
      </w:r>
    </w:p>
    <w:p w14:paraId="189AB61F">
      <w:pPr>
        <w:spacing w:line="360" w:lineRule="auto"/>
        <w:ind w:firstLine="480" w:firstLineChars="200"/>
        <w:rPr>
          <w:rFonts w:ascii="宋体" w:hAnsi="宋体" w:cs="宋体"/>
          <w:sz w:val="24"/>
        </w:rPr>
      </w:pPr>
      <w:r>
        <w:rPr>
          <w:rFonts w:hint="eastAsia" w:ascii="宋体" w:hAnsi="宋体" w:cs="宋体"/>
          <w:sz w:val="24"/>
        </w:rPr>
        <w:t>b. 电池板的安装应自下而上，逐块安装，螺杆的安装方向为自内向外，并紧固电池板螺栓。安装过程中必须轻拿轻放以免破坏表面的保护玻璃；电池板的联接螺栓应有弹簧垫圈和平垫圈，紧固后应将螺栓露出部分及螺母涂刷油漆，做防松处理。并且在各项安装结束后进行补漆；电池板安装必须作到横平竖直，同方阵内的电池板间距保持一致；注意电池板的接线盒的方向。</w:t>
      </w:r>
      <w:bookmarkStart w:id="32" w:name="_Toc243712615"/>
      <w:bookmarkStart w:id="33" w:name="_Toc221527206"/>
      <w:bookmarkStart w:id="34" w:name="_Toc214159415"/>
      <w:bookmarkStart w:id="35" w:name="_Toc243646364"/>
    </w:p>
    <w:p w14:paraId="1076C9F3">
      <w:pPr>
        <w:spacing w:line="360" w:lineRule="auto"/>
        <w:outlineLvl w:val="1"/>
        <w:rPr>
          <w:rFonts w:ascii="宋体" w:hAnsi="宋体" w:cs="宋体"/>
          <w:b/>
          <w:bCs/>
          <w:sz w:val="24"/>
        </w:rPr>
      </w:pPr>
      <w:bookmarkStart w:id="36" w:name="_Toc20927"/>
      <w:bookmarkStart w:id="37" w:name="_Toc6538"/>
      <w:bookmarkStart w:id="38" w:name="_Toc22748"/>
      <w:r>
        <w:rPr>
          <w:rFonts w:hint="eastAsia" w:ascii="宋体" w:hAnsi="宋体" w:cs="宋体"/>
          <w:b/>
          <w:bCs/>
          <w:sz w:val="24"/>
        </w:rPr>
        <w:t>3.4 电池板调平</w:t>
      </w:r>
      <w:bookmarkEnd w:id="32"/>
      <w:bookmarkEnd w:id="33"/>
      <w:bookmarkEnd w:id="34"/>
      <w:bookmarkEnd w:id="35"/>
      <w:r>
        <w:rPr>
          <w:rFonts w:hint="eastAsia" w:ascii="宋体" w:hAnsi="宋体" w:cs="宋体"/>
          <w:b/>
          <w:bCs/>
          <w:sz w:val="24"/>
        </w:rPr>
        <w:t>检验</w:t>
      </w:r>
      <w:bookmarkEnd w:id="36"/>
      <w:bookmarkEnd w:id="37"/>
      <w:bookmarkEnd w:id="38"/>
    </w:p>
    <w:p w14:paraId="1C024FD2">
      <w:pPr>
        <w:spacing w:line="360" w:lineRule="auto"/>
        <w:ind w:firstLine="480" w:firstLineChars="200"/>
        <w:rPr>
          <w:rFonts w:ascii="宋体" w:hAnsi="宋体" w:cs="宋体"/>
          <w:sz w:val="24"/>
        </w:rPr>
      </w:pPr>
      <w:r>
        <w:rPr>
          <w:rFonts w:hint="eastAsia" w:ascii="宋体" w:hAnsi="宋体" w:cs="宋体"/>
          <w:sz w:val="24"/>
        </w:rPr>
        <w:t>a. 将两根放线绳分别系于电池板方阵的上下两端，并将其绷紧。</w:t>
      </w:r>
    </w:p>
    <w:p w14:paraId="5CF46C91">
      <w:pPr>
        <w:spacing w:line="360" w:lineRule="auto"/>
        <w:ind w:firstLine="480" w:firstLineChars="200"/>
        <w:rPr>
          <w:rFonts w:ascii="宋体" w:hAnsi="宋体" w:cs="宋体"/>
          <w:sz w:val="24"/>
        </w:rPr>
      </w:pPr>
      <w:r>
        <w:rPr>
          <w:rFonts w:hint="eastAsia" w:ascii="宋体" w:hAnsi="宋体" w:cs="宋体"/>
          <w:sz w:val="24"/>
        </w:rPr>
        <w:t>b. 以放线绳为基准分别调整其余电池板，使其在一个平面内。</w:t>
      </w:r>
    </w:p>
    <w:p w14:paraId="77A3E408">
      <w:pPr>
        <w:spacing w:line="360" w:lineRule="auto"/>
        <w:ind w:firstLine="480" w:firstLineChars="200"/>
        <w:rPr>
          <w:rFonts w:ascii="宋体" w:hAnsi="宋体" w:cs="宋体"/>
          <w:sz w:val="24"/>
        </w:rPr>
      </w:pPr>
      <w:r>
        <w:rPr>
          <w:rFonts w:hint="eastAsia" w:ascii="宋体" w:hAnsi="宋体" w:cs="宋体"/>
          <w:sz w:val="24"/>
        </w:rPr>
        <w:t>c. 紧固所有螺栓。</w:t>
      </w:r>
      <w:bookmarkStart w:id="39" w:name="_Toc214159416"/>
      <w:bookmarkStart w:id="40" w:name="_Toc243712616"/>
      <w:bookmarkStart w:id="41" w:name="_Toc221527207"/>
      <w:bookmarkStart w:id="42" w:name="_Toc243646365"/>
    </w:p>
    <w:p w14:paraId="0512D32F">
      <w:pPr>
        <w:spacing w:line="360" w:lineRule="auto"/>
        <w:outlineLvl w:val="1"/>
        <w:rPr>
          <w:rFonts w:ascii="宋体" w:hAnsi="宋体" w:cs="宋体"/>
          <w:b/>
          <w:bCs/>
          <w:sz w:val="24"/>
        </w:rPr>
      </w:pPr>
      <w:bookmarkStart w:id="43" w:name="_Toc24061"/>
      <w:bookmarkStart w:id="44" w:name="_Toc10837"/>
      <w:bookmarkStart w:id="45" w:name="_Toc12599"/>
      <w:r>
        <w:rPr>
          <w:rFonts w:hint="eastAsia" w:ascii="宋体" w:hAnsi="宋体" w:cs="宋体"/>
          <w:b/>
          <w:bCs/>
          <w:sz w:val="24"/>
        </w:rPr>
        <w:t>3.5 电池板接线</w:t>
      </w:r>
      <w:bookmarkEnd w:id="39"/>
      <w:bookmarkEnd w:id="40"/>
      <w:bookmarkEnd w:id="41"/>
      <w:bookmarkEnd w:id="42"/>
      <w:r>
        <w:rPr>
          <w:rFonts w:hint="eastAsia" w:ascii="宋体" w:hAnsi="宋体" w:cs="宋体"/>
          <w:b/>
          <w:bCs/>
          <w:sz w:val="24"/>
        </w:rPr>
        <w:t>检验</w:t>
      </w:r>
      <w:bookmarkEnd w:id="43"/>
      <w:bookmarkEnd w:id="44"/>
      <w:bookmarkEnd w:id="45"/>
    </w:p>
    <w:p w14:paraId="46428BBA">
      <w:pPr>
        <w:spacing w:line="360" w:lineRule="auto"/>
        <w:ind w:firstLine="480" w:firstLineChars="200"/>
        <w:rPr>
          <w:rFonts w:ascii="宋体" w:hAnsi="宋体" w:cs="宋体"/>
          <w:sz w:val="24"/>
        </w:rPr>
      </w:pPr>
      <w:r>
        <w:rPr>
          <w:rFonts w:hint="eastAsia" w:ascii="宋体" w:hAnsi="宋体" w:cs="宋体"/>
          <w:sz w:val="24"/>
        </w:rPr>
        <w:t>① 根据电站设计图纸确定电池板的接线方式。</w:t>
      </w:r>
    </w:p>
    <w:p w14:paraId="2BC3D88B">
      <w:pPr>
        <w:spacing w:line="360" w:lineRule="auto"/>
        <w:ind w:firstLine="480" w:firstLineChars="200"/>
        <w:rPr>
          <w:rFonts w:ascii="宋体" w:hAnsi="宋体" w:cs="宋体"/>
          <w:sz w:val="24"/>
        </w:rPr>
      </w:pPr>
      <w:r>
        <w:rPr>
          <w:rFonts w:hint="eastAsia" w:ascii="宋体" w:hAnsi="宋体" w:cs="宋体"/>
          <w:sz w:val="24"/>
        </w:rPr>
        <w:t>② 电池板连线均应符合设计图纸的要求。</w:t>
      </w:r>
    </w:p>
    <w:p w14:paraId="32F97D5D">
      <w:pPr>
        <w:spacing w:line="360" w:lineRule="auto"/>
        <w:ind w:firstLine="480" w:firstLineChars="200"/>
        <w:rPr>
          <w:rFonts w:ascii="宋体" w:hAnsi="宋体" w:cs="宋体"/>
          <w:sz w:val="24"/>
        </w:rPr>
      </w:pPr>
      <w:r>
        <w:rPr>
          <w:rFonts w:hint="eastAsia" w:ascii="宋体" w:hAnsi="宋体" w:cs="宋体"/>
          <w:sz w:val="24"/>
        </w:rPr>
        <w:t>③ 接线采用多股铜芯线，接线前应先将线头搪锡处理。</w:t>
      </w:r>
    </w:p>
    <w:p w14:paraId="256F6465">
      <w:pPr>
        <w:spacing w:line="360" w:lineRule="auto"/>
        <w:ind w:firstLine="480" w:firstLineChars="200"/>
        <w:rPr>
          <w:rFonts w:ascii="宋体" w:hAnsi="宋体" w:cs="宋体"/>
          <w:sz w:val="24"/>
        </w:rPr>
      </w:pPr>
      <w:r>
        <w:rPr>
          <w:rFonts w:hint="eastAsia" w:ascii="宋体" w:hAnsi="宋体" w:cs="宋体"/>
          <w:sz w:val="24"/>
        </w:rPr>
        <w:t>④ 检查接线时是否将正负极接反，保证接线正确。每串电池板连接完毕后，应检查电池板串开路电压是否正确，连接无误后断开一块电池板的接线，保证后续工序的安全操作。</w:t>
      </w:r>
    </w:p>
    <w:p w14:paraId="7DD3DC5A">
      <w:pPr>
        <w:spacing w:line="360" w:lineRule="auto"/>
        <w:ind w:firstLine="480" w:firstLineChars="200"/>
        <w:rPr>
          <w:rFonts w:ascii="宋体" w:hAnsi="宋体" w:cs="宋体"/>
          <w:sz w:val="24"/>
        </w:rPr>
      </w:pPr>
      <w:r>
        <w:rPr>
          <w:rFonts w:hint="eastAsia" w:ascii="宋体" w:hAnsi="宋体" w:cs="宋体"/>
          <w:sz w:val="24"/>
        </w:rPr>
        <w:t>⑤ 将电池板串与控制器的连接电缆连接，电缆的金属铠装应接地处理。</w:t>
      </w:r>
      <w:bookmarkStart w:id="46" w:name="_Toc243646366"/>
      <w:bookmarkStart w:id="47" w:name="_Toc221527208"/>
      <w:bookmarkStart w:id="48" w:name="_Toc214159417"/>
      <w:bookmarkStart w:id="49" w:name="_Toc243712617"/>
    </w:p>
    <w:p w14:paraId="48444BC0">
      <w:pPr>
        <w:spacing w:line="360" w:lineRule="auto"/>
        <w:outlineLvl w:val="1"/>
        <w:rPr>
          <w:rFonts w:ascii="宋体" w:hAnsi="宋体" w:cs="宋体"/>
          <w:b/>
          <w:bCs/>
          <w:sz w:val="24"/>
        </w:rPr>
      </w:pPr>
      <w:bookmarkStart w:id="50" w:name="_Toc19986"/>
      <w:bookmarkStart w:id="51" w:name="_Toc25201"/>
      <w:bookmarkStart w:id="52" w:name="_Toc23669"/>
      <w:r>
        <w:rPr>
          <w:rFonts w:hint="eastAsia" w:ascii="宋体" w:hAnsi="宋体" w:cs="宋体"/>
          <w:b/>
          <w:bCs/>
          <w:sz w:val="24"/>
        </w:rPr>
        <w:t>3.6 方阵布线</w:t>
      </w:r>
      <w:bookmarkEnd w:id="46"/>
      <w:bookmarkEnd w:id="47"/>
      <w:bookmarkEnd w:id="48"/>
      <w:bookmarkEnd w:id="49"/>
      <w:r>
        <w:rPr>
          <w:rFonts w:hint="eastAsia" w:ascii="宋体" w:hAnsi="宋体" w:cs="宋体"/>
          <w:b/>
          <w:bCs/>
          <w:sz w:val="24"/>
        </w:rPr>
        <w:t>检查</w:t>
      </w:r>
      <w:bookmarkEnd w:id="50"/>
      <w:bookmarkEnd w:id="51"/>
      <w:bookmarkEnd w:id="52"/>
    </w:p>
    <w:p w14:paraId="3E674F1B">
      <w:pPr>
        <w:spacing w:line="360" w:lineRule="auto"/>
        <w:ind w:firstLine="480" w:firstLineChars="200"/>
        <w:rPr>
          <w:rFonts w:ascii="宋体" w:hAnsi="宋体" w:cs="宋体"/>
          <w:sz w:val="24"/>
        </w:rPr>
      </w:pPr>
      <w:r>
        <w:rPr>
          <w:rFonts w:hint="eastAsia" w:ascii="宋体" w:hAnsi="宋体" w:cs="宋体"/>
          <w:sz w:val="24"/>
        </w:rPr>
        <w:t>组件方阵的布线应有支撑、固紧、防护等措施，导线应留有适当余量 布线方式应符合设计图纸的规定。</w:t>
      </w:r>
    </w:p>
    <w:p w14:paraId="747D3033">
      <w:pPr>
        <w:spacing w:line="360" w:lineRule="auto"/>
        <w:ind w:firstLine="480" w:firstLineChars="200"/>
        <w:rPr>
          <w:rFonts w:ascii="宋体" w:hAnsi="宋体" w:cs="宋体"/>
          <w:sz w:val="24"/>
        </w:rPr>
      </w:pPr>
      <w:r>
        <w:rPr>
          <w:rFonts w:hint="eastAsia" w:ascii="宋体" w:hAnsi="宋体" w:cs="宋体"/>
          <w:sz w:val="24"/>
        </w:rPr>
        <w:t>应选用不同颜色导线作为正极（红）负极（蓝）和串联连接线，导线规格应符合设计规定。</w:t>
      </w:r>
    </w:p>
    <w:p w14:paraId="2F41BE51">
      <w:pPr>
        <w:spacing w:line="360" w:lineRule="auto"/>
        <w:ind w:firstLine="480" w:firstLineChars="200"/>
        <w:rPr>
          <w:rFonts w:ascii="宋体" w:hAnsi="宋体" w:cs="宋体"/>
          <w:sz w:val="24"/>
        </w:rPr>
      </w:pPr>
      <w:r>
        <w:rPr>
          <w:rFonts w:hint="eastAsia" w:ascii="宋体" w:hAnsi="宋体" w:cs="宋体"/>
          <w:sz w:val="24"/>
        </w:rPr>
        <w:t>连接导线的接头应镀锡 截面大于4㎜的多股导线应加装铜接头（鼻子），截面小于4㎜的单芯导线在组件接盒线打接头圈连接时 线头弯曲方向应与紧固螺丝方向一致 每处接线端最多允许两根芯线 ，且两根芯线间应加垫片，所有接线螺丝均应拧紧。</w:t>
      </w:r>
    </w:p>
    <w:p w14:paraId="558962EF">
      <w:pPr>
        <w:spacing w:line="360" w:lineRule="auto"/>
        <w:ind w:firstLine="480" w:firstLineChars="200"/>
        <w:rPr>
          <w:rFonts w:ascii="宋体" w:hAnsi="宋体" w:cs="宋体"/>
          <w:sz w:val="24"/>
        </w:rPr>
      </w:pPr>
      <w:r>
        <w:rPr>
          <w:rFonts w:hint="eastAsia" w:ascii="宋体" w:hAnsi="宋体" w:cs="宋体"/>
          <w:sz w:val="24"/>
        </w:rPr>
        <w:t>方阵组件布线完毕 应按施工图检查核对布线是否正确。</w:t>
      </w:r>
    </w:p>
    <w:p w14:paraId="755A23A6">
      <w:pPr>
        <w:spacing w:line="360" w:lineRule="auto"/>
        <w:ind w:firstLine="480" w:firstLineChars="200"/>
        <w:rPr>
          <w:rFonts w:ascii="宋体" w:hAnsi="宋体" w:cs="宋体"/>
          <w:sz w:val="24"/>
        </w:rPr>
      </w:pPr>
      <w:r>
        <w:rPr>
          <w:rFonts w:hint="eastAsia" w:ascii="宋体" w:hAnsi="宋体" w:cs="宋体"/>
          <w:sz w:val="24"/>
        </w:rPr>
        <w:t>组件接线盒出口处的连接线应向下弯曲 防雨水流入接线盒。</w:t>
      </w:r>
    </w:p>
    <w:p w14:paraId="69DBFFFB">
      <w:pPr>
        <w:spacing w:line="360" w:lineRule="auto"/>
        <w:ind w:firstLine="480" w:firstLineChars="200"/>
        <w:rPr>
          <w:rFonts w:ascii="宋体" w:hAnsi="宋体" w:cs="宋体"/>
          <w:sz w:val="24"/>
        </w:rPr>
      </w:pPr>
      <w:r>
        <w:rPr>
          <w:rFonts w:hint="eastAsia" w:ascii="宋体" w:hAnsi="宋体" w:cs="宋体"/>
          <w:sz w:val="24"/>
        </w:rPr>
        <w:t>组件连线和方阵引出电缆应用固定卡固定或绑扎在机架上。</w:t>
      </w:r>
    </w:p>
    <w:p w14:paraId="2552C19E">
      <w:pPr>
        <w:spacing w:line="360" w:lineRule="auto"/>
        <w:ind w:firstLine="480" w:firstLineChars="200"/>
        <w:rPr>
          <w:rFonts w:ascii="宋体" w:hAnsi="宋体" w:cs="宋体"/>
          <w:sz w:val="24"/>
        </w:rPr>
      </w:pPr>
      <w:r>
        <w:rPr>
          <w:rFonts w:hint="eastAsia" w:ascii="宋体" w:hAnsi="宋体" w:cs="宋体"/>
          <w:sz w:val="24"/>
        </w:rPr>
        <w:t>方阵布线及检测完毕 应盖上并锁紧所有接线盒盒盖。</w:t>
      </w:r>
    </w:p>
    <w:p w14:paraId="19B2A90A">
      <w:pPr>
        <w:spacing w:line="360" w:lineRule="auto"/>
        <w:ind w:firstLine="480" w:firstLineChars="200"/>
        <w:rPr>
          <w:rFonts w:ascii="宋体" w:hAnsi="宋体" w:cs="宋体"/>
          <w:sz w:val="24"/>
        </w:rPr>
      </w:pPr>
      <w:r>
        <w:rPr>
          <w:rFonts w:hint="eastAsia" w:ascii="宋体" w:hAnsi="宋体" w:cs="宋体"/>
          <w:sz w:val="24"/>
        </w:rPr>
        <w:t>方阵的输出端应有明显的极性标志和子方阵的编号标志。</w:t>
      </w:r>
      <w:bookmarkStart w:id="53" w:name="_Toc243646367"/>
      <w:bookmarkStart w:id="54" w:name="_Toc221527209"/>
      <w:bookmarkStart w:id="55" w:name="_Toc214159418"/>
      <w:bookmarkStart w:id="56" w:name="_Toc243712618"/>
    </w:p>
    <w:p w14:paraId="7FE24F75">
      <w:pPr>
        <w:spacing w:line="360" w:lineRule="auto"/>
        <w:outlineLvl w:val="1"/>
        <w:rPr>
          <w:rFonts w:ascii="宋体" w:hAnsi="宋体" w:cs="宋体"/>
          <w:b/>
          <w:bCs/>
          <w:sz w:val="24"/>
        </w:rPr>
      </w:pPr>
      <w:bookmarkStart w:id="57" w:name="_Toc5401"/>
      <w:bookmarkStart w:id="58" w:name="_Toc4121"/>
      <w:bookmarkStart w:id="59" w:name="_Toc22444"/>
      <w:r>
        <w:rPr>
          <w:rFonts w:hint="eastAsia" w:ascii="宋体" w:hAnsi="宋体" w:cs="宋体"/>
          <w:b/>
          <w:bCs/>
          <w:sz w:val="24"/>
        </w:rPr>
        <w:t>3.7 方阵测试</w:t>
      </w:r>
      <w:bookmarkEnd w:id="53"/>
      <w:bookmarkEnd w:id="54"/>
      <w:bookmarkEnd w:id="55"/>
      <w:bookmarkEnd w:id="56"/>
      <w:bookmarkEnd w:id="57"/>
      <w:bookmarkEnd w:id="58"/>
      <w:bookmarkEnd w:id="59"/>
    </w:p>
    <w:p w14:paraId="1B2E3915">
      <w:pPr>
        <w:spacing w:line="360" w:lineRule="auto"/>
        <w:ind w:firstLine="480" w:firstLineChars="200"/>
        <w:rPr>
          <w:rFonts w:ascii="宋体" w:hAnsi="宋体" w:cs="宋体"/>
          <w:sz w:val="24"/>
        </w:rPr>
      </w:pPr>
      <w:r>
        <w:rPr>
          <w:rFonts w:hint="eastAsia" w:ascii="宋体" w:hAnsi="宋体" w:cs="宋体"/>
          <w:sz w:val="24"/>
        </w:rPr>
        <w:t>测试条件：天气晴朗，太阳周围无云，太阳总辐照度不低于700W/m2。在测试周期内的辐照不稳定度不应大于±1％，辐照不稳定度的计算按《地面用太阳电池电性能测试方法》中相关规定。</w:t>
      </w:r>
    </w:p>
    <w:p w14:paraId="6A2BF6AA">
      <w:pPr>
        <w:spacing w:line="360" w:lineRule="auto"/>
        <w:ind w:firstLine="480" w:firstLineChars="200"/>
        <w:rPr>
          <w:rFonts w:ascii="宋体" w:hAnsi="宋体" w:cs="宋体"/>
          <w:sz w:val="24"/>
        </w:rPr>
      </w:pPr>
      <w:r>
        <w:rPr>
          <w:rFonts w:hint="eastAsia" w:ascii="宋体" w:hAnsi="宋体" w:cs="宋体"/>
          <w:sz w:val="24"/>
        </w:rPr>
        <w:t>被测方阵表面应清洁。</w:t>
      </w:r>
    </w:p>
    <w:p w14:paraId="41569C62">
      <w:pPr>
        <w:spacing w:line="360" w:lineRule="auto"/>
        <w:ind w:firstLine="480" w:firstLineChars="200"/>
        <w:rPr>
          <w:rFonts w:ascii="宋体" w:hAnsi="宋体" w:cs="宋体"/>
          <w:sz w:val="24"/>
        </w:rPr>
      </w:pPr>
      <w:r>
        <w:rPr>
          <w:rFonts w:hint="eastAsia" w:ascii="宋体" w:hAnsi="宋体" w:cs="宋体"/>
          <w:sz w:val="24"/>
        </w:rPr>
        <w:t>技术参数测试及要求：</w:t>
      </w:r>
    </w:p>
    <w:p w14:paraId="4A2C40C8">
      <w:pPr>
        <w:spacing w:line="360" w:lineRule="auto"/>
        <w:ind w:firstLine="480" w:firstLineChars="200"/>
        <w:rPr>
          <w:rFonts w:ascii="宋体" w:hAnsi="宋体" w:cs="宋体"/>
          <w:sz w:val="24"/>
        </w:rPr>
      </w:pPr>
      <w:r>
        <w:rPr>
          <w:rFonts w:hint="eastAsia" w:ascii="宋体" w:hAnsi="宋体" w:cs="宋体"/>
          <w:sz w:val="24"/>
        </w:rPr>
        <w:t>方阵的电性能参数测试按《地面用太阳电池电性能测试方法》和《太阳电池组件参数测量方法（地面用）》的有关规定进行。</w:t>
      </w:r>
    </w:p>
    <w:p w14:paraId="2A2CE4E4">
      <w:pPr>
        <w:spacing w:line="360" w:lineRule="auto"/>
        <w:ind w:firstLine="480" w:firstLineChars="200"/>
        <w:rPr>
          <w:rFonts w:ascii="宋体" w:hAnsi="宋体" w:cs="宋体"/>
          <w:sz w:val="24"/>
        </w:rPr>
      </w:pPr>
      <w:r>
        <w:rPr>
          <w:rFonts w:hint="eastAsia" w:ascii="宋体" w:hAnsi="宋体" w:cs="宋体"/>
          <w:sz w:val="24"/>
        </w:rPr>
        <w:t>方阵的开路电压应符合设计规定。</w:t>
      </w:r>
    </w:p>
    <w:p w14:paraId="28A237D7">
      <w:pPr>
        <w:spacing w:line="360" w:lineRule="auto"/>
        <w:ind w:firstLine="480" w:firstLineChars="200"/>
        <w:rPr>
          <w:rFonts w:ascii="宋体" w:hAnsi="宋体" w:cs="宋体"/>
          <w:sz w:val="24"/>
        </w:rPr>
      </w:pPr>
      <w:r>
        <w:rPr>
          <w:rFonts w:hint="eastAsia" w:ascii="宋体" w:hAnsi="宋体" w:cs="宋体"/>
          <w:sz w:val="24"/>
        </w:rPr>
        <w:t>方阵实测的最大输出功率不应低于各组件最大输出功率总和的60％。</w:t>
      </w:r>
    </w:p>
    <w:p w14:paraId="2C6E0AC4">
      <w:pPr>
        <w:spacing w:line="360" w:lineRule="auto"/>
        <w:ind w:firstLine="480" w:firstLineChars="200"/>
        <w:rPr>
          <w:rFonts w:ascii="宋体" w:hAnsi="宋体" w:cs="宋体"/>
          <w:sz w:val="24"/>
        </w:rPr>
      </w:pPr>
      <w:r>
        <w:rPr>
          <w:rFonts w:hint="eastAsia" w:ascii="宋体" w:hAnsi="宋体" w:cs="宋体"/>
          <w:sz w:val="24"/>
        </w:rPr>
        <w:t>方阵输出端与支撑结构间的绝缘电阻不应低于50MΩ。</w:t>
      </w:r>
      <w:bookmarkStart w:id="60" w:name="_Toc214159420"/>
      <w:bookmarkStart w:id="61" w:name="_Toc243712619"/>
      <w:bookmarkStart w:id="62" w:name="_Toc221527211"/>
      <w:bookmarkStart w:id="63" w:name="_Toc243646368"/>
    </w:p>
    <w:p w14:paraId="188C74F7">
      <w:pPr>
        <w:spacing w:before="156" w:beforeLines="50" w:line="360" w:lineRule="auto"/>
        <w:outlineLvl w:val="1"/>
        <w:rPr>
          <w:rFonts w:ascii="宋体" w:hAnsi="宋体" w:cs="宋体"/>
          <w:sz w:val="24"/>
        </w:rPr>
      </w:pPr>
      <w:bookmarkStart w:id="64" w:name="_Toc24079"/>
      <w:bookmarkStart w:id="65" w:name="_Toc25736"/>
      <w:bookmarkStart w:id="66" w:name="_Toc23748"/>
      <w:r>
        <w:rPr>
          <w:rFonts w:hint="eastAsia" w:ascii="宋体" w:hAnsi="宋体" w:cs="宋体"/>
          <w:b/>
          <w:bCs/>
          <w:sz w:val="24"/>
        </w:rPr>
        <w:t>3.8 变配电系统逆变器、配电柜安装</w:t>
      </w:r>
      <w:bookmarkEnd w:id="60"/>
      <w:bookmarkEnd w:id="61"/>
      <w:bookmarkEnd w:id="62"/>
      <w:bookmarkEnd w:id="63"/>
      <w:r>
        <w:rPr>
          <w:rFonts w:hint="eastAsia" w:ascii="宋体" w:hAnsi="宋体" w:cs="宋体"/>
          <w:b/>
          <w:bCs/>
          <w:sz w:val="24"/>
        </w:rPr>
        <w:t>控制目标值</w:t>
      </w:r>
      <w:bookmarkEnd w:id="64"/>
      <w:bookmarkEnd w:id="65"/>
      <w:bookmarkEnd w:id="66"/>
    </w:p>
    <w:p w14:paraId="7CEC15BC">
      <w:pPr>
        <w:spacing w:line="360" w:lineRule="auto"/>
        <w:outlineLvl w:val="1"/>
        <w:rPr>
          <w:rFonts w:ascii="宋体" w:hAnsi="宋体" w:cs="宋体"/>
          <w:b/>
          <w:bCs/>
          <w:sz w:val="24"/>
        </w:rPr>
      </w:pPr>
      <w:bookmarkStart w:id="67" w:name="_Toc18377"/>
      <w:bookmarkStart w:id="68" w:name="_Toc8807"/>
      <w:bookmarkStart w:id="69" w:name="_Toc9403"/>
      <w:bookmarkStart w:id="70" w:name="_Toc214159421"/>
      <w:bookmarkStart w:id="71" w:name="_Toc221527212"/>
      <w:r>
        <w:rPr>
          <w:rFonts w:hint="eastAsia" w:ascii="宋体" w:hAnsi="宋体" w:cs="宋体"/>
          <w:b/>
          <w:bCs/>
          <w:sz w:val="24"/>
        </w:rPr>
        <w:t>3.9 逆变器、配电柜安装</w:t>
      </w:r>
      <w:bookmarkEnd w:id="67"/>
      <w:bookmarkEnd w:id="68"/>
      <w:bookmarkEnd w:id="69"/>
    </w:p>
    <w:p w14:paraId="435C1FA8">
      <w:pPr>
        <w:spacing w:line="360" w:lineRule="auto"/>
        <w:ind w:firstLine="480" w:firstLineChars="200"/>
        <w:rPr>
          <w:rFonts w:ascii="宋体" w:hAnsi="宋体" w:cs="宋体"/>
          <w:sz w:val="24"/>
        </w:rPr>
      </w:pPr>
      <w:r>
        <w:rPr>
          <w:rFonts w:hint="eastAsia" w:ascii="宋体" w:hAnsi="宋体" w:cs="宋体"/>
          <w:sz w:val="24"/>
        </w:rPr>
        <w:t>开箱检查，分别检查逆变器及配电柜的完好情况；</w:t>
      </w:r>
    </w:p>
    <w:p w14:paraId="18710589">
      <w:pPr>
        <w:spacing w:line="360" w:lineRule="auto"/>
        <w:ind w:firstLine="480" w:firstLineChars="200"/>
        <w:rPr>
          <w:rFonts w:ascii="宋体" w:hAnsi="宋体" w:cs="宋体"/>
          <w:sz w:val="24"/>
        </w:rPr>
      </w:pPr>
      <w:r>
        <w:rPr>
          <w:rFonts w:hint="eastAsia" w:ascii="宋体" w:hAnsi="宋体" w:cs="宋体"/>
          <w:sz w:val="24"/>
        </w:rPr>
        <w:t>检查配电柜、逆变器各开关初始位置是否正确，断开所有输出、输入开关；</w:t>
      </w:r>
    </w:p>
    <w:p w14:paraId="6EED3B7E">
      <w:pPr>
        <w:spacing w:line="360" w:lineRule="auto"/>
        <w:ind w:firstLine="480" w:firstLineChars="200"/>
        <w:rPr>
          <w:rFonts w:ascii="宋体" w:hAnsi="宋体" w:cs="宋体"/>
          <w:sz w:val="24"/>
        </w:rPr>
      </w:pPr>
      <w:r>
        <w:rPr>
          <w:rFonts w:hint="eastAsia" w:ascii="宋体" w:hAnsi="宋体" w:cs="宋体"/>
          <w:sz w:val="24"/>
        </w:rPr>
        <w:t>主接线盒的方阵输入电缆应分别接至控制器各端子；</w:t>
      </w:r>
    </w:p>
    <w:p w14:paraId="2D9FE514">
      <w:pPr>
        <w:spacing w:line="360" w:lineRule="auto"/>
        <w:ind w:firstLine="480" w:firstLineChars="200"/>
        <w:rPr>
          <w:rFonts w:ascii="宋体" w:hAnsi="宋体" w:cs="宋体"/>
          <w:sz w:val="24"/>
        </w:rPr>
      </w:pPr>
      <w:r>
        <w:rPr>
          <w:rFonts w:hint="eastAsia" w:ascii="宋体" w:hAnsi="宋体" w:cs="宋体"/>
          <w:sz w:val="24"/>
        </w:rPr>
        <w:t>逆变器交流输出电缆应接至交流配电箱的输入端；</w:t>
      </w:r>
    </w:p>
    <w:p w14:paraId="217C3316">
      <w:pPr>
        <w:spacing w:line="360" w:lineRule="auto"/>
        <w:ind w:firstLine="480" w:firstLineChars="200"/>
        <w:rPr>
          <w:rFonts w:ascii="宋体" w:hAnsi="宋体" w:cs="宋体"/>
          <w:sz w:val="24"/>
        </w:rPr>
      </w:pPr>
      <w:r>
        <w:rPr>
          <w:rFonts w:hint="eastAsia" w:ascii="宋体" w:hAnsi="宋体" w:cs="宋体"/>
          <w:sz w:val="24"/>
        </w:rPr>
        <w:t>逆变器直流输入电缆应接至控制器负载输出端；</w:t>
      </w:r>
    </w:p>
    <w:p w14:paraId="423092EA">
      <w:pPr>
        <w:spacing w:line="360" w:lineRule="auto"/>
        <w:ind w:firstLine="480" w:firstLineChars="200"/>
        <w:rPr>
          <w:rFonts w:ascii="宋体" w:hAnsi="宋体" w:cs="宋体"/>
          <w:sz w:val="24"/>
        </w:rPr>
      </w:pPr>
      <w:r>
        <w:rPr>
          <w:rFonts w:hint="eastAsia" w:ascii="宋体" w:hAnsi="宋体" w:cs="宋体"/>
          <w:sz w:val="24"/>
        </w:rPr>
        <w:t>将外电网电缆接至交流配电箱的输出端子。</w:t>
      </w:r>
    </w:p>
    <w:bookmarkEnd w:id="70"/>
    <w:bookmarkEnd w:id="71"/>
    <w:p w14:paraId="1E735918">
      <w:pPr>
        <w:spacing w:line="360" w:lineRule="auto"/>
        <w:rPr>
          <w:rFonts w:ascii="宋体" w:hAnsi="宋体" w:cs="宋体"/>
          <w:sz w:val="24"/>
        </w:rPr>
      </w:pPr>
      <w:bookmarkStart w:id="72" w:name="_Toc221527214"/>
      <w:bookmarkStart w:id="73" w:name="_Toc214159423"/>
      <w:r>
        <w:rPr>
          <w:rFonts w:hint="eastAsia" w:ascii="宋体" w:hAnsi="宋体" w:cs="宋体"/>
          <w:sz w:val="24"/>
        </w:rPr>
        <w:t>3.9.1 电源馈线敷设</w:t>
      </w:r>
      <w:bookmarkEnd w:id="72"/>
      <w:bookmarkEnd w:id="73"/>
      <w:r>
        <w:rPr>
          <w:rFonts w:hint="eastAsia" w:ascii="宋体" w:hAnsi="宋体" w:cs="宋体"/>
          <w:sz w:val="24"/>
        </w:rPr>
        <w:t>的检查</w:t>
      </w:r>
    </w:p>
    <w:p w14:paraId="5B5EF8EA">
      <w:pPr>
        <w:spacing w:line="360" w:lineRule="auto"/>
        <w:ind w:firstLine="480" w:firstLineChars="200"/>
        <w:rPr>
          <w:rFonts w:ascii="宋体" w:hAnsi="宋体" w:cs="宋体"/>
          <w:sz w:val="24"/>
        </w:rPr>
      </w:pPr>
      <w:r>
        <w:rPr>
          <w:rFonts w:hint="eastAsia" w:ascii="宋体" w:hAnsi="宋体" w:cs="宋体"/>
          <w:sz w:val="24"/>
        </w:rPr>
        <w:t>方阵电缆的规格和敷设路由应符合设计规定。</w:t>
      </w:r>
    </w:p>
    <w:p w14:paraId="208EBECC">
      <w:pPr>
        <w:spacing w:line="360" w:lineRule="auto"/>
        <w:ind w:firstLine="480" w:firstLineChars="200"/>
        <w:rPr>
          <w:rFonts w:ascii="宋体" w:hAnsi="宋体" w:cs="宋体"/>
          <w:sz w:val="24"/>
        </w:rPr>
      </w:pPr>
      <w:r>
        <w:rPr>
          <w:rFonts w:hint="eastAsia" w:ascii="宋体" w:hAnsi="宋体" w:cs="宋体"/>
          <w:sz w:val="24"/>
        </w:rPr>
        <w:t>馈电线穿过穿线管后应按设计要求对管口进行防水处理。</w:t>
      </w:r>
    </w:p>
    <w:p w14:paraId="49D524D5">
      <w:pPr>
        <w:spacing w:line="360" w:lineRule="auto"/>
        <w:ind w:firstLine="480" w:firstLineChars="200"/>
        <w:rPr>
          <w:rFonts w:ascii="宋体" w:hAnsi="宋体" w:cs="宋体"/>
          <w:sz w:val="24"/>
        </w:rPr>
      </w:pPr>
      <w:r>
        <w:rPr>
          <w:rFonts w:hint="eastAsia" w:ascii="宋体" w:hAnsi="宋体" w:cs="宋体"/>
          <w:sz w:val="24"/>
        </w:rPr>
        <w:t>电缆及馈线应采用整段线料 不得在中间接头。</w:t>
      </w:r>
    </w:p>
    <w:p w14:paraId="5063805D">
      <w:pPr>
        <w:spacing w:line="360" w:lineRule="auto"/>
        <w:ind w:firstLine="480" w:firstLineChars="200"/>
        <w:rPr>
          <w:rFonts w:ascii="宋体" w:hAnsi="宋体" w:cs="宋体"/>
          <w:sz w:val="24"/>
        </w:rPr>
      </w:pPr>
      <w:r>
        <w:rPr>
          <w:rFonts w:hint="eastAsia" w:ascii="宋体" w:hAnsi="宋体" w:cs="宋体"/>
          <w:sz w:val="24"/>
        </w:rPr>
        <w:t>电源馈线正负极两端应有统一红（正极）蓝 （负极）标志， 安装后的电缆剖头处必须用胶带和护套封扎。</w:t>
      </w:r>
    </w:p>
    <w:p w14:paraId="406FDC0B">
      <w:pPr>
        <w:spacing w:line="360" w:lineRule="auto"/>
        <w:rPr>
          <w:rFonts w:ascii="宋体" w:hAnsi="宋体" w:cs="宋体"/>
          <w:sz w:val="24"/>
        </w:rPr>
      </w:pPr>
      <w:bookmarkStart w:id="74" w:name="_Toc214159425"/>
      <w:bookmarkStart w:id="75" w:name="_Toc221527216"/>
      <w:r>
        <w:rPr>
          <w:rFonts w:hint="eastAsia" w:ascii="宋体" w:hAnsi="宋体" w:cs="宋体"/>
          <w:sz w:val="24"/>
        </w:rPr>
        <w:t>3.9.2 通电检查</w:t>
      </w:r>
      <w:bookmarkEnd w:id="74"/>
      <w:bookmarkEnd w:id="75"/>
    </w:p>
    <w:p w14:paraId="5A9668CC">
      <w:pPr>
        <w:spacing w:line="360" w:lineRule="auto"/>
        <w:ind w:firstLine="480" w:firstLineChars="200"/>
        <w:rPr>
          <w:rFonts w:ascii="宋体" w:hAnsi="宋体" w:cs="宋体"/>
          <w:sz w:val="24"/>
        </w:rPr>
      </w:pPr>
      <w:r>
        <w:rPr>
          <w:rFonts w:hint="eastAsia" w:ascii="宋体" w:hAnsi="宋体" w:cs="宋体"/>
          <w:sz w:val="24"/>
        </w:rPr>
        <w:t>通电试验</w:t>
      </w:r>
    </w:p>
    <w:p w14:paraId="1956958D">
      <w:pPr>
        <w:spacing w:line="360" w:lineRule="auto"/>
        <w:ind w:firstLine="480" w:firstLineChars="200"/>
        <w:rPr>
          <w:rFonts w:ascii="宋体" w:hAnsi="宋体" w:cs="宋体"/>
          <w:sz w:val="24"/>
        </w:rPr>
      </w:pPr>
      <w:r>
        <w:rPr>
          <w:rFonts w:hint="eastAsia" w:ascii="宋体" w:hAnsi="宋体" w:cs="宋体"/>
          <w:sz w:val="24"/>
        </w:rPr>
        <w:t>电压表、电流表表针指在零位、无卡阻现象。</w:t>
      </w:r>
    </w:p>
    <w:p w14:paraId="2C182975">
      <w:pPr>
        <w:spacing w:line="360" w:lineRule="auto"/>
        <w:ind w:firstLine="480" w:firstLineChars="200"/>
        <w:rPr>
          <w:rFonts w:ascii="宋体" w:hAnsi="宋体" w:cs="宋体"/>
          <w:sz w:val="24"/>
        </w:rPr>
      </w:pPr>
      <w:r>
        <w:rPr>
          <w:rFonts w:hint="eastAsia" w:ascii="宋体" w:hAnsi="宋体" w:cs="宋体"/>
          <w:sz w:val="24"/>
        </w:rPr>
        <w:t>开关、闸刀应转换灵活，接触紧密。</w:t>
      </w:r>
    </w:p>
    <w:p w14:paraId="046B7C1F">
      <w:pPr>
        <w:spacing w:line="360" w:lineRule="auto"/>
        <w:ind w:firstLine="480" w:firstLineChars="200"/>
        <w:rPr>
          <w:rFonts w:ascii="宋体" w:hAnsi="宋体" w:cs="宋体"/>
          <w:sz w:val="24"/>
        </w:rPr>
      </w:pPr>
      <w:r>
        <w:rPr>
          <w:rFonts w:hint="eastAsia" w:ascii="宋体" w:hAnsi="宋体" w:cs="宋体"/>
          <w:sz w:val="24"/>
        </w:rPr>
        <w:t>熔丝容量规格应符合规定、标志准确。</w:t>
      </w:r>
    </w:p>
    <w:p w14:paraId="11E2C174">
      <w:pPr>
        <w:spacing w:line="360" w:lineRule="auto"/>
        <w:ind w:firstLine="480" w:firstLineChars="200"/>
        <w:rPr>
          <w:rFonts w:ascii="宋体" w:hAnsi="宋体" w:cs="宋体"/>
          <w:sz w:val="24"/>
        </w:rPr>
      </w:pPr>
      <w:r>
        <w:rPr>
          <w:rFonts w:hint="eastAsia" w:ascii="宋体" w:hAnsi="宋体" w:cs="宋体"/>
          <w:sz w:val="24"/>
        </w:rPr>
        <w:t>接线正确、无碰地、短路、虚焊等情况，设备及机内布线对地绝缘电阻应符合厂家说明书规定。</w:t>
      </w:r>
    </w:p>
    <w:p w14:paraId="39632555">
      <w:pPr>
        <w:spacing w:line="360" w:lineRule="auto"/>
        <w:ind w:firstLine="480" w:firstLineChars="200"/>
        <w:rPr>
          <w:rFonts w:ascii="宋体" w:hAnsi="宋体" w:cs="宋体"/>
          <w:sz w:val="24"/>
        </w:rPr>
      </w:pPr>
      <w:r>
        <w:rPr>
          <w:rFonts w:hint="eastAsia" w:ascii="宋体" w:hAnsi="宋体" w:cs="宋体"/>
          <w:sz w:val="24"/>
        </w:rPr>
        <w:t>通电试验步骤</w:t>
      </w:r>
    </w:p>
    <w:p w14:paraId="43BE27A3">
      <w:pPr>
        <w:spacing w:line="360" w:lineRule="auto"/>
        <w:ind w:firstLine="480" w:firstLineChars="200"/>
        <w:rPr>
          <w:rFonts w:ascii="宋体" w:hAnsi="宋体" w:cs="宋体"/>
          <w:sz w:val="24"/>
        </w:rPr>
      </w:pPr>
      <w:r>
        <w:rPr>
          <w:rFonts w:hint="eastAsia" w:ascii="宋体" w:hAnsi="宋体" w:cs="宋体"/>
          <w:sz w:val="24"/>
        </w:rPr>
        <w:t>方阵输入回路应设有防反充二极管。</w:t>
      </w:r>
    </w:p>
    <w:p w14:paraId="45D7AC05">
      <w:pPr>
        <w:spacing w:line="360" w:lineRule="auto"/>
        <w:ind w:firstLine="480" w:firstLineChars="200"/>
        <w:rPr>
          <w:rFonts w:ascii="宋体" w:hAnsi="宋体" w:cs="宋体"/>
          <w:sz w:val="24"/>
        </w:rPr>
      </w:pPr>
      <w:r>
        <w:rPr>
          <w:rFonts w:hint="eastAsia" w:ascii="宋体" w:hAnsi="宋体" w:cs="宋体"/>
          <w:sz w:val="24"/>
        </w:rPr>
        <w:t>应能测试方阵的开路电压 、短路电流。</w:t>
      </w:r>
    </w:p>
    <w:p w14:paraId="583C0AF7">
      <w:pPr>
        <w:spacing w:line="360" w:lineRule="auto"/>
        <w:ind w:firstLine="480" w:firstLineChars="200"/>
        <w:rPr>
          <w:rFonts w:ascii="宋体" w:hAnsi="宋体" w:cs="宋体"/>
          <w:sz w:val="24"/>
        </w:rPr>
      </w:pPr>
      <w:r>
        <w:rPr>
          <w:rFonts w:hint="eastAsia" w:ascii="宋体" w:hAnsi="宋体" w:cs="宋体"/>
          <w:sz w:val="24"/>
        </w:rPr>
        <w:t>输出电压的稳定精度应符合设计要求。</w:t>
      </w:r>
    </w:p>
    <w:p w14:paraId="5437DCC3">
      <w:pPr>
        <w:spacing w:line="360" w:lineRule="auto"/>
        <w:ind w:firstLine="480" w:firstLineChars="200"/>
        <w:rPr>
          <w:rFonts w:ascii="宋体" w:hAnsi="宋体" w:cs="宋体"/>
          <w:sz w:val="24"/>
        </w:rPr>
      </w:pPr>
      <w:r>
        <w:rPr>
          <w:rFonts w:hint="eastAsia" w:ascii="宋体" w:hAnsi="宋体" w:cs="宋体"/>
          <w:sz w:val="24"/>
        </w:rPr>
        <w:t>能提供直流回路的电流监视信号。</w:t>
      </w:r>
    </w:p>
    <w:p w14:paraId="541609D8">
      <w:pPr>
        <w:spacing w:line="360" w:lineRule="auto"/>
        <w:ind w:firstLine="480" w:firstLineChars="200"/>
        <w:rPr>
          <w:rFonts w:ascii="宋体" w:hAnsi="宋体" w:cs="宋体"/>
          <w:sz w:val="24"/>
        </w:rPr>
      </w:pPr>
      <w:r>
        <w:rPr>
          <w:rFonts w:hint="eastAsia" w:ascii="宋体" w:hAnsi="宋体" w:cs="宋体"/>
          <w:sz w:val="24"/>
        </w:rPr>
        <w:t>电源馈线的线间及线对地间的绝缘电坐应在相对湿度不大于80％时用500V兆欧表测量绝缘电阻应大于1 MΩ。</w:t>
      </w:r>
    </w:p>
    <w:p w14:paraId="1712BF51">
      <w:pPr>
        <w:spacing w:line="360" w:lineRule="auto"/>
        <w:ind w:firstLine="480" w:firstLineChars="200"/>
        <w:rPr>
          <w:rFonts w:ascii="宋体" w:hAnsi="宋体" w:cs="宋体"/>
          <w:sz w:val="24"/>
        </w:rPr>
      </w:pPr>
      <w:r>
        <w:rPr>
          <w:rFonts w:hint="eastAsia" w:ascii="宋体" w:hAnsi="宋体" w:cs="宋体"/>
          <w:sz w:val="24"/>
        </w:rPr>
        <w:t>各电源馈线的电压降应符合设计规定。</w:t>
      </w:r>
    </w:p>
    <w:p w14:paraId="56400E4C">
      <w:pPr>
        <w:spacing w:line="360" w:lineRule="auto"/>
        <w:ind w:firstLine="480" w:firstLineChars="200"/>
        <w:rPr>
          <w:rFonts w:ascii="宋体" w:hAnsi="宋体" w:cs="宋体"/>
          <w:sz w:val="24"/>
        </w:rPr>
      </w:pPr>
      <w:r>
        <w:rPr>
          <w:rFonts w:hint="eastAsia" w:ascii="宋体" w:hAnsi="宋体" w:cs="宋体"/>
          <w:sz w:val="24"/>
        </w:rPr>
        <w:t>方阵输出端与支撑结构间的绝缘电阻、耐压强度应符合设计规定。</w:t>
      </w:r>
    </w:p>
    <w:p w14:paraId="2DF65EAC">
      <w:pPr>
        <w:spacing w:before="156" w:beforeLines="50" w:line="360" w:lineRule="auto"/>
        <w:outlineLvl w:val="1"/>
        <w:rPr>
          <w:rFonts w:ascii="宋体" w:hAnsi="宋体" w:cs="宋体"/>
          <w:b/>
          <w:bCs/>
          <w:sz w:val="24"/>
        </w:rPr>
      </w:pPr>
      <w:bookmarkStart w:id="76" w:name="_Toc24025"/>
      <w:bookmarkStart w:id="77" w:name="_Toc214159426"/>
      <w:bookmarkStart w:id="78" w:name="_Toc221527217"/>
      <w:bookmarkStart w:id="79" w:name="_Toc15744"/>
      <w:bookmarkStart w:id="80" w:name="_Toc22306"/>
      <w:r>
        <w:rPr>
          <w:rFonts w:hint="eastAsia" w:ascii="宋体" w:hAnsi="宋体" w:cs="宋体"/>
          <w:b/>
          <w:bCs/>
          <w:sz w:val="24"/>
        </w:rPr>
        <w:t>3.10 防雷接地安装</w:t>
      </w:r>
      <w:bookmarkEnd w:id="76"/>
      <w:bookmarkEnd w:id="77"/>
      <w:bookmarkEnd w:id="78"/>
      <w:bookmarkEnd w:id="79"/>
      <w:bookmarkEnd w:id="80"/>
    </w:p>
    <w:p w14:paraId="3D9F46F3">
      <w:pPr>
        <w:spacing w:line="360" w:lineRule="auto"/>
        <w:ind w:firstLine="480" w:firstLineChars="200"/>
        <w:rPr>
          <w:rFonts w:ascii="宋体" w:hAnsi="宋体" w:cs="宋体"/>
          <w:sz w:val="24"/>
        </w:rPr>
      </w:pPr>
      <w:r>
        <w:rPr>
          <w:rFonts w:hint="eastAsia" w:ascii="宋体" w:hAnsi="宋体" w:cs="宋体"/>
          <w:sz w:val="24"/>
        </w:rPr>
        <w:t>施工顺序：接地极安装→接地网连接→接地网由接地体和接地扁钢组成。地网分布在立柱支架周围,接地体采用热镀锌角钢。接地极一端加工成尖头形状,方便打入地下。</w:t>
      </w:r>
    </w:p>
    <w:p w14:paraId="2D64AE03">
      <w:pPr>
        <w:spacing w:line="360" w:lineRule="auto"/>
        <w:ind w:firstLine="480" w:firstLineChars="200"/>
        <w:rPr>
          <w:rFonts w:ascii="宋体" w:hAnsi="宋体" w:cs="宋体"/>
          <w:sz w:val="24"/>
        </w:rPr>
      </w:pPr>
      <w:r>
        <w:rPr>
          <w:rFonts w:hint="eastAsia" w:ascii="宋体" w:hAnsi="宋体" w:cs="宋体"/>
          <w:sz w:val="24"/>
        </w:rPr>
        <w:t>接地线应采用绝缘电线，且必须用整线，中间不许有接头。接地线应能保证短路时热稳定的要求，其截面积不得小于6mm</w:t>
      </w:r>
      <w:r>
        <w:rPr>
          <w:rFonts w:hint="eastAsia" w:ascii="宋体" w:hAnsi="宋体" w:cs="宋体"/>
          <w:sz w:val="24"/>
          <w:vertAlign w:val="superscript"/>
        </w:rPr>
        <w:t>2</w:t>
      </w:r>
      <w:r>
        <w:rPr>
          <w:rFonts w:hint="eastAsia" w:ascii="宋体" w:hAnsi="宋体" w:cs="宋体"/>
          <w:sz w:val="24"/>
        </w:rPr>
        <w:t>，避雷器的接地线应选择在距离接地体最近的位置。接地体与接地线的连接处要焊接；接地线与设备可用螺栓连接。</w:t>
      </w:r>
    </w:p>
    <w:p w14:paraId="2A7CE120">
      <w:pPr>
        <w:spacing w:line="360" w:lineRule="auto"/>
        <w:ind w:firstLine="480" w:firstLineChars="200"/>
        <w:rPr>
          <w:rFonts w:ascii="宋体" w:hAnsi="宋体" w:cs="宋体"/>
          <w:sz w:val="24"/>
        </w:rPr>
      </w:pPr>
      <w:r>
        <w:rPr>
          <w:rFonts w:hint="eastAsia" w:ascii="宋体" w:hAnsi="宋体" w:cs="宋体"/>
          <w:sz w:val="24"/>
        </w:rPr>
        <w:t>接地扁铁采用热镀锌扁钢,接地扁钢应垂直与接地体焊接在一起；以增大与土壤的接触面积。最后扁钢和立柱的底板焊接在一起.焊后应作防腐处理,应采用防腐导电涂料.回添土尽量选择碎土，土壤中不应含有石块和垃圾。</w:t>
      </w:r>
    </w:p>
    <w:p w14:paraId="19220743">
      <w:pPr>
        <w:spacing w:before="156" w:beforeLines="50" w:line="360" w:lineRule="auto"/>
        <w:outlineLvl w:val="1"/>
        <w:rPr>
          <w:rFonts w:ascii="宋体" w:hAnsi="宋体" w:cs="宋体"/>
          <w:b/>
          <w:bCs/>
          <w:sz w:val="24"/>
        </w:rPr>
      </w:pPr>
      <w:bookmarkStart w:id="81" w:name="_Toc214159427"/>
      <w:bookmarkStart w:id="82" w:name="_Toc23260"/>
      <w:bookmarkStart w:id="83" w:name="_Toc221527218"/>
      <w:bookmarkStart w:id="84" w:name="_Toc32444"/>
      <w:bookmarkStart w:id="85" w:name="_Toc29059"/>
      <w:r>
        <w:rPr>
          <w:rFonts w:hint="eastAsia" w:ascii="宋体" w:hAnsi="宋体" w:cs="宋体"/>
          <w:b/>
          <w:bCs/>
          <w:sz w:val="24"/>
        </w:rPr>
        <w:t>3.11 整体汇线</w:t>
      </w:r>
      <w:bookmarkEnd w:id="81"/>
      <w:bookmarkEnd w:id="82"/>
      <w:bookmarkEnd w:id="83"/>
      <w:bookmarkEnd w:id="84"/>
      <w:bookmarkEnd w:id="85"/>
    </w:p>
    <w:p w14:paraId="76D41FF9">
      <w:pPr>
        <w:spacing w:line="360" w:lineRule="auto"/>
        <w:ind w:firstLine="480" w:firstLineChars="200"/>
        <w:rPr>
          <w:rFonts w:ascii="宋体" w:hAnsi="宋体" w:cs="宋体"/>
          <w:sz w:val="24"/>
        </w:rPr>
      </w:pPr>
      <w:r>
        <w:rPr>
          <w:rFonts w:hint="eastAsia" w:ascii="宋体" w:hAnsi="宋体" w:cs="宋体"/>
          <w:sz w:val="24"/>
        </w:rPr>
        <w:drawing>
          <wp:anchor distT="0" distB="0" distL="114300" distR="114300" simplePos="0" relativeHeight="251660288" behindDoc="1" locked="1" layoutInCell="1" allowOverlap="1">
            <wp:simplePos x="0" y="0"/>
            <wp:positionH relativeFrom="column">
              <wp:posOffset>4800600</wp:posOffset>
            </wp:positionH>
            <wp:positionV relativeFrom="paragraph">
              <wp:posOffset>9067800</wp:posOffset>
            </wp:positionV>
            <wp:extent cx="584200" cy="558800"/>
            <wp:effectExtent l="0" t="0" r="6350" b="0"/>
            <wp:wrapNone/>
            <wp:docPr id="2" name="图片 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4200" cy="558800"/>
                    </a:xfrm>
                    <a:prstGeom prst="rect">
                      <a:avLst/>
                    </a:prstGeom>
                    <a:noFill/>
                    <a:ln>
                      <a:noFill/>
                    </a:ln>
                  </pic:spPr>
                </pic:pic>
              </a:graphicData>
            </a:graphic>
          </wp:anchor>
        </w:drawing>
      </w:r>
      <w:r>
        <w:rPr>
          <w:rFonts w:hint="eastAsia" w:ascii="宋体" w:hAnsi="宋体" w:cs="宋体"/>
          <w:sz w:val="24"/>
        </w:rPr>
        <w:t>① 整体汇线前事先考虑好走线方向,然后向配电柜放线.太阳能电池板连线应采用双护套多股铜软线,放线完毕后可穿PVC管。线管要做到横平竖直,柜体内部的电线应用色带包裹为一个整体,以免影响美观性。</w:t>
      </w:r>
    </w:p>
    <w:p w14:paraId="5348D94C">
      <w:pPr>
        <w:spacing w:line="360" w:lineRule="auto"/>
        <w:ind w:firstLine="480" w:firstLineChars="200"/>
        <w:rPr>
          <w:rFonts w:ascii="宋体" w:hAnsi="宋体" w:cs="宋体"/>
          <w:sz w:val="24"/>
        </w:rPr>
      </w:pPr>
      <w:r>
        <w:rPr>
          <w:rFonts w:hint="eastAsia" w:ascii="宋体" w:hAnsi="宋体" w:cs="宋体"/>
          <w:sz w:val="24"/>
        </w:rPr>
        <w:t>② 关掉电池的空气开关。连接好蓄电池连线。线的颜色要分开。红色为正。黑色为负。</w:t>
      </w:r>
    </w:p>
    <w:p w14:paraId="3B699A53">
      <w:pPr>
        <w:spacing w:line="360" w:lineRule="auto"/>
        <w:ind w:firstLine="480" w:firstLineChars="200"/>
        <w:rPr>
          <w:rFonts w:ascii="宋体" w:hAnsi="宋体" w:cs="宋体"/>
          <w:sz w:val="24"/>
        </w:rPr>
      </w:pPr>
      <w:r>
        <w:rPr>
          <w:rFonts w:hint="eastAsia" w:ascii="宋体" w:hAnsi="宋体" w:cs="宋体"/>
          <w:sz w:val="24"/>
        </w:rPr>
        <w:t>③ 连接太阳能电池板连线。同样要先断开开关。</w:t>
      </w:r>
    </w:p>
    <w:p w14:paraId="0B3B132E">
      <w:pPr>
        <w:spacing w:line="360" w:lineRule="auto"/>
        <w:ind w:firstLine="480" w:firstLineChars="200"/>
        <w:rPr>
          <w:rFonts w:ascii="宋体" w:hAnsi="宋体" w:cs="宋体"/>
          <w:sz w:val="24"/>
        </w:rPr>
      </w:pPr>
      <w:r>
        <w:rPr>
          <w:rFonts w:hint="eastAsia" w:ascii="宋体" w:hAnsi="宋体" w:cs="宋体"/>
          <w:sz w:val="24"/>
        </w:rPr>
        <w:t>④ 连接控制器到逆变器的电源连接线。负载线应根据太阳能电站和移动直放站的位置，去确定架空或地埋的方式。</w:t>
      </w:r>
    </w:p>
    <w:p w14:paraId="18AD5E76">
      <w:pPr>
        <w:spacing w:line="360" w:lineRule="auto"/>
        <w:ind w:firstLine="480" w:firstLineChars="200"/>
        <w:rPr>
          <w:rFonts w:ascii="宋体" w:hAnsi="宋体" w:cs="宋体"/>
          <w:sz w:val="24"/>
        </w:rPr>
      </w:pPr>
      <w:r>
        <w:rPr>
          <w:rFonts w:hint="eastAsia" w:ascii="宋体" w:hAnsi="宋体" w:cs="宋体"/>
          <w:sz w:val="24"/>
        </w:rPr>
        <w:t>⑤ 电缆线敷设</w:t>
      </w:r>
    </w:p>
    <w:p w14:paraId="200DEA2B">
      <w:pPr>
        <w:spacing w:line="360" w:lineRule="auto"/>
        <w:ind w:firstLine="480" w:firstLineChars="200"/>
        <w:rPr>
          <w:rFonts w:ascii="宋体" w:hAnsi="宋体" w:cs="宋体"/>
          <w:sz w:val="24"/>
        </w:rPr>
      </w:pPr>
      <w:r>
        <w:rPr>
          <w:rFonts w:hint="eastAsia" w:ascii="宋体" w:hAnsi="宋体" w:cs="宋体"/>
          <w:sz w:val="24"/>
        </w:rPr>
        <w:t>施工准备→放线→电缆沟开挖→预埋配管和埋件→电缆敷设→电缆沟回填→接线</w:t>
      </w:r>
    </w:p>
    <w:p w14:paraId="6CBFC1FA">
      <w:pPr>
        <w:spacing w:line="360" w:lineRule="auto"/>
        <w:ind w:firstLine="480" w:firstLineChars="200"/>
        <w:rPr>
          <w:rFonts w:ascii="宋体" w:hAnsi="宋体" w:cs="宋体"/>
          <w:sz w:val="24"/>
        </w:rPr>
      </w:pPr>
      <w:r>
        <w:rPr>
          <w:rFonts w:hint="eastAsia" w:ascii="宋体" w:hAnsi="宋体" w:cs="宋体"/>
          <w:sz w:val="24"/>
        </w:rPr>
        <w:t>a、施工准备</w:t>
      </w:r>
    </w:p>
    <w:p w14:paraId="1940B9FC">
      <w:pPr>
        <w:spacing w:line="360" w:lineRule="auto"/>
        <w:ind w:firstLine="480" w:firstLineChars="200"/>
        <w:rPr>
          <w:rFonts w:ascii="宋体" w:hAnsi="宋体" w:cs="宋体"/>
          <w:sz w:val="24"/>
        </w:rPr>
      </w:pPr>
      <w:r>
        <w:rPr>
          <w:rFonts w:hint="eastAsia" w:ascii="宋体" w:hAnsi="宋体" w:cs="宋体"/>
          <w:sz w:val="24"/>
        </w:rPr>
        <w:t>电缆穿越墙体、基础和道路时均应采用镀锌保护管，保护管在敷设前进行外观检查，内外表面是否光滑，线管切割用钢锯，端口应将毛刺处理。</w:t>
      </w:r>
    </w:p>
    <w:p w14:paraId="5B33FC33">
      <w:pPr>
        <w:spacing w:line="360" w:lineRule="auto"/>
        <w:ind w:firstLine="480" w:firstLineChars="200"/>
        <w:rPr>
          <w:rFonts w:ascii="宋体" w:hAnsi="宋体" w:cs="宋体"/>
          <w:sz w:val="24"/>
        </w:rPr>
      </w:pPr>
      <w:r>
        <w:rPr>
          <w:rFonts w:hint="eastAsia" w:ascii="宋体" w:hAnsi="宋体" w:cs="宋体"/>
          <w:sz w:val="24"/>
        </w:rPr>
        <w:t>b、预埋配管</w:t>
      </w:r>
    </w:p>
    <w:p w14:paraId="26656885">
      <w:pPr>
        <w:spacing w:line="360" w:lineRule="auto"/>
        <w:ind w:firstLine="480" w:firstLineChars="200"/>
        <w:rPr>
          <w:rFonts w:ascii="宋体" w:hAnsi="宋体" w:cs="宋体"/>
          <w:sz w:val="24"/>
        </w:rPr>
      </w:pPr>
      <w:r>
        <w:rPr>
          <w:rFonts w:hint="eastAsia" w:ascii="宋体" w:hAnsi="宋体" w:cs="宋体"/>
          <w:sz w:val="24"/>
        </w:rPr>
        <w:t>暗配的线管宜沿最短的线路敷设并减少弯曲，埋入墙或地基内的管子，离表面的净距离不应小于15mm，管口及时加管堵封闭严密。</w:t>
      </w:r>
    </w:p>
    <w:p w14:paraId="1B4D5B98">
      <w:pPr>
        <w:spacing w:line="360" w:lineRule="auto"/>
        <w:ind w:firstLine="480" w:firstLineChars="200"/>
        <w:rPr>
          <w:rFonts w:ascii="宋体" w:hAnsi="宋体" w:cs="宋体"/>
          <w:sz w:val="24"/>
        </w:rPr>
      </w:pPr>
      <w:r>
        <w:rPr>
          <w:rFonts w:hint="eastAsia" w:ascii="宋体" w:hAnsi="宋体" w:cs="宋体"/>
          <w:sz w:val="24"/>
        </w:rPr>
        <w:t>c、管内穿线</w:t>
      </w:r>
    </w:p>
    <w:p w14:paraId="7A0DE4A9">
      <w:pPr>
        <w:spacing w:line="360" w:lineRule="auto"/>
        <w:ind w:firstLine="480" w:firstLineChars="200"/>
        <w:rPr>
          <w:rFonts w:ascii="宋体" w:hAnsi="宋体" w:cs="宋体"/>
          <w:sz w:val="24"/>
        </w:rPr>
      </w:pPr>
      <w:r>
        <w:rPr>
          <w:rFonts w:hint="eastAsia" w:ascii="宋体" w:hAnsi="宋体" w:cs="宋体"/>
          <w:sz w:val="24"/>
        </w:rPr>
        <w:t>管路必须做好可靠的跨接，跨接线端面应按相应的管线直径选择。</w:t>
      </w:r>
    </w:p>
    <w:p w14:paraId="5167173F">
      <w:pPr>
        <w:spacing w:line="360" w:lineRule="auto"/>
        <w:ind w:firstLine="480" w:firstLineChars="200"/>
        <w:rPr>
          <w:rFonts w:ascii="宋体" w:hAnsi="宋体" w:cs="宋体"/>
          <w:sz w:val="24"/>
        </w:rPr>
      </w:pPr>
      <w:r>
        <w:rPr>
          <w:rFonts w:hint="eastAsia" w:ascii="宋体" w:hAnsi="宋体" w:cs="宋体"/>
          <w:sz w:val="24"/>
        </w:rPr>
        <w:t>d、电缆敷设</w:t>
      </w:r>
    </w:p>
    <w:p w14:paraId="2964678D">
      <w:pPr>
        <w:spacing w:line="360" w:lineRule="auto"/>
        <w:ind w:firstLine="480" w:firstLineChars="200"/>
        <w:rPr>
          <w:rFonts w:ascii="宋体" w:hAnsi="宋体" w:cs="宋体"/>
          <w:sz w:val="24"/>
        </w:rPr>
      </w:pPr>
      <w:r>
        <w:rPr>
          <w:rFonts w:hint="eastAsia" w:ascii="宋体" w:hAnsi="宋体" w:cs="宋体"/>
          <w:sz w:val="24"/>
        </w:rPr>
        <w:t>电缆敷设前电缆沟应通过验收合格；铠装电缆直接埋地敷设，电缆埋设段内严禁接头。</w:t>
      </w:r>
    </w:p>
    <w:p w14:paraId="5B32A53D">
      <w:pPr>
        <w:spacing w:before="156" w:beforeLines="50" w:line="360" w:lineRule="auto"/>
        <w:outlineLvl w:val="1"/>
        <w:rPr>
          <w:rFonts w:ascii="宋体" w:hAnsi="宋体" w:cs="宋体"/>
          <w:b/>
          <w:bCs/>
          <w:sz w:val="24"/>
        </w:rPr>
      </w:pPr>
      <w:bookmarkStart w:id="86" w:name="_Toc19568"/>
      <w:bookmarkStart w:id="87" w:name="_Toc25369"/>
      <w:bookmarkStart w:id="88" w:name="_Toc214159429"/>
      <w:bookmarkStart w:id="89" w:name="_Toc221527220"/>
      <w:bookmarkStart w:id="90" w:name="_Toc31119"/>
      <w:r>
        <w:rPr>
          <w:rFonts w:hint="eastAsia" w:ascii="宋体" w:hAnsi="宋体" w:cs="宋体"/>
          <w:b/>
          <w:bCs/>
          <w:sz w:val="24"/>
        </w:rPr>
        <w:t>3.12整体防腐</w:t>
      </w:r>
      <w:bookmarkEnd w:id="86"/>
      <w:bookmarkEnd w:id="87"/>
      <w:bookmarkEnd w:id="88"/>
      <w:bookmarkEnd w:id="89"/>
      <w:bookmarkEnd w:id="90"/>
    </w:p>
    <w:p w14:paraId="4560C272">
      <w:pPr>
        <w:spacing w:line="360" w:lineRule="auto"/>
        <w:ind w:firstLine="480" w:firstLineChars="200"/>
        <w:rPr>
          <w:rFonts w:ascii="宋体" w:hAnsi="宋体" w:cs="宋体"/>
          <w:sz w:val="24"/>
        </w:rPr>
      </w:pPr>
      <w:r>
        <w:rPr>
          <w:rFonts w:hint="eastAsia" w:ascii="宋体" w:hAnsi="宋体" w:cs="宋体"/>
          <w:sz w:val="24"/>
        </w:rPr>
        <w:t>施工完工后应对整个钢结构进行整体防锈处理，可用防锈漆进行涂装，但涂装次数不得少于二遍，中间间距时间不得少于8小时。</w:t>
      </w:r>
      <w:bookmarkStart w:id="91" w:name="_Toc243712625"/>
    </w:p>
    <w:p w14:paraId="352DEEB2">
      <w:pPr>
        <w:spacing w:before="156" w:beforeLines="50" w:line="360" w:lineRule="auto"/>
        <w:outlineLvl w:val="1"/>
        <w:rPr>
          <w:rFonts w:ascii="宋体" w:hAnsi="宋体" w:cs="宋体"/>
          <w:sz w:val="24"/>
        </w:rPr>
      </w:pPr>
      <w:bookmarkStart w:id="92" w:name="_Toc25747"/>
      <w:bookmarkStart w:id="93" w:name="_Toc7318"/>
      <w:bookmarkStart w:id="94" w:name="_Toc16636"/>
      <w:r>
        <w:rPr>
          <w:rFonts w:hint="eastAsia" w:ascii="宋体" w:hAnsi="宋体" w:cs="宋体"/>
          <w:b/>
          <w:bCs/>
          <w:sz w:val="24"/>
        </w:rPr>
        <w:t>3.13分部验收测试</w:t>
      </w:r>
      <w:bookmarkEnd w:id="91"/>
      <w:r>
        <w:rPr>
          <w:rFonts w:hint="eastAsia" w:ascii="宋体" w:hAnsi="宋体" w:cs="宋体"/>
          <w:sz w:val="24"/>
        </w:rPr>
        <w:t>（调试工程师）</w:t>
      </w:r>
      <w:bookmarkEnd w:id="92"/>
      <w:bookmarkEnd w:id="93"/>
      <w:bookmarkEnd w:id="94"/>
    </w:p>
    <w:p w14:paraId="76A35FC4">
      <w:pPr>
        <w:spacing w:line="360" w:lineRule="auto"/>
        <w:rPr>
          <w:rFonts w:ascii="宋体" w:hAnsi="宋体" w:cs="宋体"/>
          <w:sz w:val="24"/>
        </w:rPr>
      </w:pPr>
      <w:bookmarkStart w:id="95" w:name="_Toc243646375"/>
      <w:r>
        <w:rPr>
          <w:rFonts w:hint="eastAsia" w:ascii="宋体" w:hAnsi="宋体" w:cs="宋体"/>
          <w:sz w:val="24"/>
        </w:rPr>
        <w:t>3.13.1 系统设置与接线</w:t>
      </w:r>
      <w:bookmarkEnd w:id="95"/>
    </w:p>
    <w:p w14:paraId="2DD722BF">
      <w:pPr>
        <w:spacing w:line="360" w:lineRule="auto"/>
        <w:ind w:firstLine="480" w:firstLineChars="200"/>
        <w:rPr>
          <w:rFonts w:ascii="宋体" w:hAnsi="宋体" w:cs="宋体"/>
          <w:sz w:val="24"/>
        </w:rPr>
      </w:pPr>
      <w:r>
        <w:rPr>
          <w:rFonts w:hint="eastAsia" w:ascii="宋体" w:hAnsi="宋体" w:cs="宋体"/>
          <w:sz w:val="24"/>
        </w:rPr>
        <w:t>并网光伏发电系统的系统接线和设备配置应符合低压电力系统设计规范和太阳能光伏发电系统的设计规范。</w:t>
      </w:r>
    </w:p>
    <w:p w14:paraId="42C9942E">
      <w:pPr>
        <w:spacing w:line="360" w:lineRule="auto"/>
        <w:ind w:firstLine="480" w:firstLineChars="200"/>
        <w:rPr>
          <w:rFonts w:ascii="宋体" w:hAnsi="宋体" w:cs="宋体"/>
          <w:sz w:val="24"/>
        </w:rPr>
      </w:pPr>
      <w:r>
        <w:rPr>
          <w:rFonts w:hint="eastAsia" w:ascii="宋体" w:hAnsi="宋体" w:cs="宋体"/>
          <w:sz w:val="24"/>
        </w:rPr>
        <w:t>并网光伏发电系统与电网间在联接处应有明显的带有标志的分界点，应通过变压器等进行电气隔离。</w:t>
      </w:r>
    </w:p>
    <w:p w14:paraId="366BD31C">
      <w:pPr>
        <w:spacing w:line="360" w:lineRule="auto"/>
        <w:ind w:firstLine="480" w:firstLineChars="200"/>
        <w:rPr>
          <w:rFonts w:ascii="宋体" w:hAnsi="宋体" w:cs="宋体"/>
          <w:sz w:val="24"/>
        </w:rPr>
      </w:pPr>
      <w:r>
        <w:rPr>
          <w:rFonts w:hint="eastAsia" w:ascii="宋体" w:hAnsi="宋体" w:cs="宋体"/>
          <w:sz w:val="24"/>
        </w:rPr>
        <w:t>检测方法：对系统设计图和配置设备清单进行检查。</w:t>
      </w:r>
    </w:p>
    <w:p w14:paraId="3C77B64B">
      <w:pPr>
        <w:spacing w:line="360" w:lineRule="auto"/>
        <w:rPr>
          <w:rFonts w:ascii="宋体" w:hAnsi="宋体" w:cs="宋体"/>
          <w:sz w:val="24"/>
        </w:rPr>
      </w:pPr>
      <w:bookmarkStart w:id="96" w:name="_Toc15638280"/>
      <w:bookmarkStart w:id="97" w:name="_Toc243646376"/>
      <w:bookmarkStart w:id="98" w:name="_Toc15693200"/>
      <w:bookmarkStart w:id="99" w:name="_Toc15638376"/>
      <w:r>
        <w:rPr>
          <w:rFonts w:hint="eastAsia" w:ascii="宋体" w:hAnsi="宋体" w:cs="宋体"/>
          <w:sz w:val="24"/>
        </w:rPr>
        <w:t>3.13.2 安装、布线、防水工程检查</w:t>
      </w:r>
      <w:bookmarkEnd w:id="96"/>
      <w:bookmarkEnd w:id="97"/>
      <w:bookmarkEnd w:id="98"/>
      <w:bookmarkEnd w:id="99"/>
    </w:p>
    <w:p w14:paraId="2711CF13">
      <w:pPr>
        <w:spacing w:line="360" w:lineRule="auto"/>
        <w:ind w:firstLine="480" w:firstLineChars="200"/>
        <w:rPr>
          <w:rFonts w:ascii="宋体" w:hAnsi="宋体" w:cs="宋体"/>
          <w:sz w:val="24"/>
        </w:rPr>
      </w:pPr>
      <w:r>
        <w:rPr>
          <w:rFonts w:hint="eastAsia" w:ascii="宋体" w:hAnsi="宋体" w:cs="宋体"/>
          <w:sz w:val="24"/>
        </w:rPr>
        <w:t>太阳电池方阵、逆变器、并网保护装置等设备安装应符合设计施工图的要求，布线、防水等建筑工程应符合相关要求。</w:t>
      </w:r>
    </w:p>
    <w:p w14:paraId="423AE042">
      <w:pPr>
        <w:spacing w:line="360" w:lineRule="auto"/>
        <w:ind w:firstLine="480" w:firstLineChars="200"/>
        <w:rPr>
          <w:rFonts w:ascii="宋体" w:hAnsi="宋体" w:cs="宋体"/>
          <w:sz w:val="24"/>
        </w:rPr>
      </w:pPr>
      <w:r>
        <w:rPr>
          <w:rFonts w:hint="eastAsia" w:ascii="宋体" w:hAnsi="宋体" w:cs="宋体"/>
          <w:sz w:val="24"/>
        </w:rPr>
        <w:t>检测方法：对太阳电池方阵、逆变器、并网保护装置等设备的安装对照设计施工图进行检查，验证是否一致；检查安装、布线、防水等工程的施工记录。</w:t>
      </w:r>
    </w:p>
    <w:p w14:paraId="1AC6ACF2">
      <w:pPr>
        <w:spacing w:line="360" w:lineRule="auto"/>
        <w:rPr>
          <w:rFonts w:ascii="宋体" w:hAnsi="宋体" w:cs="宋体"/>
          <w:sz w:val="24"/>
        </w:rPr>
      </w:pPr>
      <w:bookmarkStart w:id="100" w:name="_Toc243646377"/>
      <w:r>
        <w:rPr>
          <w:rFonts w:hint="eastAsia" w:ascii="宋体" w:hAnsi="宋体" w:cs="宋体"/>
          <w:sz w:val="24"/>
        </w:rPr>
        <w:t>3.13.3 防雷接地</w:t>
      </w:r>
      <w:bookmarkEnd w:id="100"/>
    </w:p>
    <w:p w14:paraId="2E604682">
      <w:pPr>
        <w:spacing w:line="360" w:lineRule="auto"/>
        <w:ind w:firstLine="480" w:firstLineChars="200"/>
        <w:rPr>
          <w:rFonts w:ascii="宋体" w:hAnsi="宋体" w:cs="宋体"/>
          <w:sz w:val="24"/>
        </w:rPr>
      </w:pPr>
      <w:r>
        <w:rPr>
          <w:rFonts w:hint="eastAsia" w:ascii="宋体" w:hAnsi="宋体" w:cs="宋体"/>
          <w:sz w:val="24"/>
        </w:rPr>
        <w:t>太阳电池方阵必须有可靠的接地网防雷措施。</w:t>
      </w:r>
    </w:p>
    <w:p w14:paraId="332BB260">
      <w:pPr>
        <w:spacing w:line="360" w:lineRule="auto"/>
        <w:ind w:firstLine="480" w:firstLineChars="200"/>
        <w:rPr>
          <w:rFonts w:ascii="宋体" w:hAnsi="宋体" w:cs="宋体"/>
          <w:sz w:val="24"/>
        </w:rPr>
      </w:pPr>
      <w:r>
        <w:rPr>
          <w:rFonts w:hint="eastAsia" w:ascii="宋体" w:hAnsi="宋体" w:cs="宋体"/>
          <w:sz w:val="24"/>
        </w:rPr>
        <w:t>检测方法：检查太阳电池方阵的接地线与防雷接地线是否牢固连接。</w:t>
      </w:r>
    </w:p>
    <w:p w14:paraId="5745FDC1">
      <w:pPr>
        <w:spacing w:line="360" w:lineRule="auto"/>
        <w:rPr>
          <w:rFonts w:ascii="宋体" w:hAnsi="宋体" w:cs="宋体"/>
          <w:sz w:val="24"/>
        </w:rPr>
      </w:pPr>
      <w:bookmarkStart w:id="101" w:name="_Toc15693201"/>
      <w:bookmarkStart w:id="102" w:name="_Toc15638377"/>
      <w:bookmarkStart w:id="103" w:name="_Toc243646378"/>
      <w:bookmarkStart w:id="104" w:name="_Toc15638281"/>
      <w:r>
        <w:rPr>
          <w:rFonts w:hint="eastAsia" w:ascii="宋体" w:hAnsi="宋体" w:cs="宋体"/>
          <w:sz w:val="24"/>
        </w:rPr>
        <w:t>3.13.4 绝缘性能</w:t>
      </w:r>
      <w:bookmarkEnd w:id="101"/>
      <w:bookmarkEnd w:id="102"/>
      <w:bookmarkEnd w:id="103"/>
      <w:bookmarkEnd w:id="104"/>
    </w:p>
    <w:p w14:paraId="61F7129B">
      <w:pPr>
        <w:spacing w:line="360" w:lineRule="auto"/>
        <w:ind w:firstLine="480" w:firstLineChars="200"/>
        <w:rPr>
          <w:rFonts w:ascii="宋体" w:hAnsi="宋体" w:cs="宋体"/>
          <w:sz w:val="24"/>
        </w:rPr>
      </w:pPr>
      <w:bookmarkStart w:id="105" w:name="_Toc15638287"/>
      <w:bookmarkStart w:id="106" w:name="_Toc15693207"/>
      <w:r>
        <w:rPr>
          <w:rFonts w:hint="eastAsia" w:ascii="宋体" w:hAnsi="宋体" w:cs="宋体"/>
          <w:sz w:val="24"/>
        </w:rPr>
        <w:t xml:space="preserve"> </w:t>
      </w:r>
      <w:bookmarkEnd w:id="105"/>
      <w:bookmarkEnd w:id="106"/>
      <w:r>
        <w:rPr>
          <w:rFonts w:hint="eastAsia" w:ascii="宋体" w:hAnsi="宋体" w:cs="宋体"/>
          <w:sz w:val="24"/>
        </w:rPr>
        <w:t>绝缘电阻</w:t>
      </w:r>
    </w:p>
    <w:p w14:paraId="70DD419C">
      <w:pPr>
        <w:spacing w:line="360" w:lineRule="auto"/>
        <w:ind w:firstLine="480" w:firstLineChars="200"/>
        <w:rPr>
          <w:rFonts w:ascii="宋体" w:hAnsi="宋体" w:cs="宋体"/>
          <w:sz w:val="24"/>
        </w:rPr>
      </w:pPr>
      <w:r>
        <w:rPr>
          <w:rFonts w:hint="eastAsia" w:ascii="宋体" w:hAnsi="宋体" w:cs="宋体"/>
          <w:sz w:val="24"/>
        </w:rPr>
        <w:t>太阳电池方阵、接线箱、逆变器、保护装置的主回路与地（外壳）之间的用DC1000V欧姆表测量绝缘电阻应不小于1MΩ。</w:t>
      </w:r>
    </w:p>
    <w:p w14:paraId="31441163">
      <w:pPr>
        <w:spacing w:line="360" w:lineRule="auto"/>
        <w:ind w:firstLine="480" w:firstLineChars="200"/>
        <w:rPr>
          <w:rFonts w:ascii="宋体" w:hAnsi="宋体" w:cs="宋体"/>
          <w:sz w:val="24"/>
        </w:rPr>
      </w:pPr>
      <w:r>
        <w:rPr>
          <w:rFonts w:hint="eastAsia" w:ascii="宋体" w:hAnsi="宋体" w:cs="宋体"/>
          <w:sz w:val="24"/>
        </w:rPr>
        <w:t>试验方法：将太阳电池方阵、接线箱、逆变器、并网保护装置等设备的连接回路断开，分别用DC1000V欧姆表测量主回路各极性与地（外壳）的绝缘电阻，绝缘电阻应不小于1MΩ。</w:t>
      </w:r>
    </w:p>
    <w:p w14:paraId="58EFA3C0">
      <w:pPr>
        <w:spacing w:line="360" w:lineRule="auto"/>
        <w:rPr>
          <w:rFonts w:ascii="宋体" w:hAnsi="宋体" w:cs="宋体"/>
          <w:sz w:val="24"/>
        </w:rPr>
      </w:pPr>
      <w:bookmarkStart w:id="107" w:name="_Toc15638288"/>
      <w:bookmarkStart w:id="108" w:name="_Toc243646379"/>
      <w:bookmarkStart w:id="109" w:name="_Toc15693208"/>
      <w:r>
        <w:rPr>
          <w:rFonts w:hint="eastAsia" w:ascii="宋体" w:hAnsi="宋体" w:cs="宋体"/>
          <w:sz w:val="24"/>
        </w:rPr>
        <w:t>3.13.5 绝缘耐压</w:t>
      </w:r>
      <w:bookmarkEnd w:id="107"/>
      <w:bookmarkEnd w:id="108"/>
      <w:bookmarkEnd w:id="109"/>
    </w:p>
    <w:p w14:paraId="42320C82">
      <w:pPr>
        <w:spacing w:line="360" w:lineRule="auto"/>
        <w:ind w:firstLine="480" w:firstLineChars="200"/>
        <w:rPr>
          <w:rFonts w:ascii="宋体" w:hAnsi="宋体" w:cs="宋体"/>
          <w:sz w:val="24"/>
        </w:rPr>
      </w:pPr>
      <w:r>
        <w:rPr>
          <w:rFonts w:hint="eastAsia" w:ascii="宋体" w:hAnsi="宋体" w:cs="宋体"/>
          <w:sz w:val="24"/>
        </w:rPr>
        <w:t>太阳电池方阵、接线箱、逆变器、保护装置的主回路与地（外壳）之间的应能承受AC2000V，1分钟工频交流耐压，无闪络、无击穿现象。</w:t>
      </w:r>
    </w:p>
    <w:p w14:paraId="5876940F">
      <w:pPr>
        <w:spacing w:line="360" w:lineRule="auto"/>
        <w:ind w:firstLine="480" w:firstLineChars="200"/>
        <w:rPr>
          <w:rFonts w:ascii="宋体" w:hAnsi="宋体" w:cs="宋体"/>
          <w:sz w:val="24"/>
        </w:rPr>
      </w:pPr>
      <w:bookmarkStart w:id="110" w:name="_Toc15638378"/>
      <w:bookmarkStart w:id="111" w:name="_Toc15693210"/>
      <w:bookmarkStart w:id="112" w:name="_Toc15638290"/>
      <w:r>
        <w:rPr>
          <w:rFonts w:hint="eastAsia" w:ascii="宋体" w:hAnsi="宋体" w:cs="宋体"/>
          <w:sz w:val="24"/>
        </w:rPr>
        <w:t>试验方法：将太阳电池方阵、接线箱、逆变器、并网保护装置等设备的连接回路断开，分别用AC2000V工频交流耐压仪测量主回路各极性与地（外壳）的绝缘耐压。</w:t>
      </w:r>
    </w:p>
    <w:p w14:paraId="625ABE5D">
      <w:pPr>
        <w:spacing w:line="360" w:lineRule="auto"/>
        <w:rPr>
          <w:rFonts w:ascii="宋体" w:hAnsi="宋体" w:cs="宋体"/>
          <w:sz w:val="24"/>
        </w:rPr>
      </w:pPr>
      <w:bookmarkStart w:id="113" w:name="_Toc243646380"/>
      <w:r>
        <w:rPr>
          <w:rFonts w:hint="eastAsia" w:ascii="宋体" w:hAnsi="宋体" w:cs="宋体"/>
          <w:sz w:val="24"/>
        </w:rPr>
        <w:t>3.13.6 工作特性试验</w:t>
      </w:r>
      <w:bookmarkEnd w:id="110"/>
      <w:bookmarkEnd w:id="111"/>
      <w:bookmarkEnd w:id="112"/>
      <w:bookmarkEnd w:id="113"/>
    </w:p>
    <w:p w14:paraId="7C529150">
      <w:pPr>
        <w:spacing w:line="360" w:lineRule="auto"/>
        <w:ind w:firstLine="480" w:firstLineChars="200"/>
        <w:rPr>
          <w:rFonts w:ascii="宋体" w:hAnsi="宋体" w:cs="宋体"/>
          <w:sz w:val="24"/>
        </w:rPr>
      </w:pPr>
      <w:r>
        <w:rPr>
          <w:rFonts w:hint="eastAsia" w:ascii="宋体" w:hAnsi="宋体" w:cs="宋体"/>
          <w:sz w:val="24"/>
        </w:rPr>
        <w:t>并网光伏发电系统应在现场对其主要设计工作特性进行验证检测，以证明其符合性。</w:t>
      </w:r>
    </w:p>
    <w:p w14:paraId="13F9EC89">
      <w:pPr>
        <w:spacing w:line="360" w:lineRule="auto"/>
        <w:ind w:firstLine="480" w:firstLineChars="200"/>
        <w:rPr>
          <w:rFonts w:ascii="宋体" w:hAnsi="宋体" w:cs="宋体"/>
          <w:sz w:val="24"/>
        </w:rPr>
      </w:pPr>
      <w:r>
        <w:rPr>
          <w:rFonts w:hint="eastAsia" w:ascii="宋体" w:hAnsi="宋体" w:cs="宋体"/>
          <w:sz w:val="24"/>
        </w:rPr>
        <w:t>并网光伏发电系统的起动和停止，应符合设计的功率（电压）值并经一定延时确认后动作，防止出现频繁起动和停止现象。</w:t>
      </w:r>
    </w:p>
    <w:p w14:paraId="1C47AEDB">
      <w:pPr>
        <w:spacing w:line="360" w:lineRule="auto"/>
        <w:ind w:firstLine="480" w:firstLineChars="200"/>
        <w:rPr>
          <w:rFonts w:ascii="宋体" w:hAnsi="宋体" w:cs="宋体"/>
          <w:sz w:val="24"/>
        </w:rPr>
      </w:pPr>
      <w:r>
        <w:rPr>
          <w:rFonts w:hint="eastAsia" w:ascii="宋体" w:hAnsi="宋体" w:cs="宋体"/>
          <w:sz w:val="24"/>
        </w:rPr>
        <w:t>试验方法：调整（模拟）太阳电池方阵的发电功率（电压）达到设定值并经一定延时后，并网光伏发电系统起动并入电网运行；调整（模拟）太阳电池方阵的发电功率（电压）低于设定值并经一定延时后，并网光伏发电系统停止与电网解列运行；起动/停止动作值应符合设计文件的要求。</w:t>
      </w:r>
    </w:p>
    <w:p w14:paraId="4F9ACD88">
      <w:pPr>
        <w:spacing w:line="360" w:lineRule="auto"/>
        <w:rPr>
          <w:rFonts w:ascii="宋体" w:hAnsi="宋体" w:cs="宋体"/>
          <w:sz w:val="24"/>
        </w:rPr>
      </w:pPr>
      <w:bookmarkStart w:id="114" w:name="_Toc243646381"/>
      <w:r>
        <w:rPr>
          <w:rFonts w:hint="eastAsia" w:ascii="宋体" w:hAnsi="宋体" w:cs="宋体"/>
          <w:sz w:val="24"/>
        </w:rPr>
        <w:t>3.13.7 交流电源跟踪</w:t>
      </w:r>
      <w:bookmarkEnd w:id="114"/>
    </w:p>
    <w:p w14:paraId="2C4E690E">
      <w:pPr>
        <w:spacing w:line="360" w:lineRule="auto"/>
        <w:ind w:firstLine="480" w:firstLineChars="200"/>
        <w:rPr>
          <w:rFonts w:ascii="宋体" w:hAnsi="宋体" w:cs="宋体"/>
          <w:sz w:val="24"/>
        </w:rPr>
      </w:pPr>
      <w:r>
        <w:rPr>
          <w:rFonts w:hint="eastAsia" w:ascii="宋体" w:hAnsi="宋体" w:cs="宋体"/>
          <w:sz w:val="24"/>
        </w:rPr>
        <w:t>当电网电压和频率在设定范围内变化时,并网光伏发电系统的输出应可跟踪电网电压和频率的变化，稳定运行。交流输出功率，交流输出电流(高次谐波)，功率因数应符合设计值。</w:t>
      </w:r>
    </w:p>
    <w:p w14:paraId="273574F5">
      <w:pPr>
        <w:spacing w:line="360" w:lineRule="auto"/>
        <w:ind w:firstLine="480" w:firstLineChars="200"/>
        <w:rPr>
          <w:rFonts w:ascii="宋体" w:hAnsi="宋体" w:cs="宋体"/>
          <w:sz w:val="24"/>
        </w:rPr>
      </w:pPr>
      <w:r>
        <w:rPr>
          <w:rFonts w:hint="eastAsia" w:ascii="宋体" w:hAnsi="宋体" w:cs="宋体"/>
          <w:sz w:val="24"/>
        </w:rPr>
        <w:t>试验方法：调整（模拟）电网的电压和频率在规定范围内变化，观察并网光伏发电系统的输出可以跟踪这种变化，且稳定运行。</w:t>
      </w:r>
    </w:p>
    <w:p w14:paraId="18DEB33D">
      <w:pPr>
        <w:spacing w:line="360" w:lineRule="auto"/>
        <w:rPr>
          <w:rFonts w:ascii="宋体" w:hAnsi="宋体" w:cs="宋体"/>
          <w:sz w:val="24"/>
        </w:rPr>
      </w:pPr>
      <w:bookmarkStart w:id="115" w:name="_Toc243646383"/>
      <w:r>
        <w:rPr>
          <w:rFonts w:hint="eastAsia" w:ascii="宋体" w:hAnsi="宋体" w:cs="宋体"/>
          <w:sz w:val="24"/>
        </w:rPr>
        <w:t>3.13.8 效率</w:t>
      </w:r>
      <w:bookmarkEnd w:id="115"/>
    </w:p>
    <w:p w14:paraId="21B3FA08">
      <w:pPr>
        <w:spacing w:line="360" w:lineRule="auto"/>
        <w:ind w:firstLine="480" w:firstLineChars="200"/>
        <w:rPr>
          <w:rFonts w:ascii="宋体" w:hAnsi="宋体" w:cs="宋体"/>
          <w:sz w:val="24"/>
        </w:rPr>
      </w:pPr>
      <w:r>
        <w:rPr>
          <w:rFonts w:hint="eastAsia" w:ascii="宋体" w:hAnsi="宋体" w:cs="宋体"/>
          <w:sz w:val="24"/>
        </w:rPr>
        <w:t>并网光伏发电系统在额定输出的25%、50%、100%时，转换效率应符合设计要求。</w:t>
      </w:r>
    </w:p>
    <w:p w14:paraId="48A14978">
      <w:pPr>
        <w:spacing w:line="360" w:lineRule="auto"/>
        <w:ind w:firstLine="480" w:firstLineChars="200"/>
        <w:rPr>
          <w:rFonts w:ascii="宋体" w:hAnsi="宋体" w:cs="宋体"/>
          <w:sz w:val="24"/>
        </w:rPr>
      </w:pPr>
      <w:r>
        <w:rPr>
          <w:rFonts w:hint="eastAsia" w:ascii="宋体" w:hAnsi="宋体" w:cs="宋体"/>
          <w:sz w:val="24"/>
        </w:rPr>
        <w:t>试验方法：在并网光伏发电系统输出在额定值的25%、50%、100%，偏差±10%以内时，测量太阳电池方阵输出的直流功率和系统输出的交流功率，计算转换效率，应符合设计要求。</w:t>
      </w:r>
    </w:p>
    <w:p w14:paraId="56D659EC">
      <w:pPr>
        <w:spacing w:line="360" w:lineRule="auto"/>
        <w:rPr>
          <w:rFonts w:ascii="宋体" w:hAnsi="宋体" w:cs="宋体"/>
          <w:sz w:val="24"/>
        </w:rPr>
      </w:pPr>
      <w:bookmarkStart w:id="116" w:name="_Toc243646385"/>
      <w:r>
        <w:rPr>
          <w:rFonts w:hint="eastAsia" w:ascii="宋体" w:hAnsi="宋体" w:cs="宋体"/>
          <w:sz w:val="24"/>
        </w:rPr>
        <w:t>3.13.9 电压与频率</w:t>
      </w:r>
      <w:bookmarkEnd w:id="116"/>
    </w:p>
    <w:p w14:paraId="60A2A671">
      <w:pPr>
        <w:spacing w:line="360" w:lineRule="auto"/>
        <w:ind w:firstLine="480" w:firstLineChars="200"/>
        <w:rPr>
          <w:rFonts w:ascii="宋体" w:hAnsi="宋体" w:cs="宋体"/>
          <w:sz w:val="24"/>
        </w:rPr>
      </w:pPr>
      <w:r>
        <w:rPr>
          <w:rFonts w:hint="eastAsia" w:ascii="宋体" w:hAnsi="宋体" w:cs="宋体"/>
          <w:sz w:val="24"/>
        </w:rPr>
        <w:t>为了使交流负载正常工作，并网光伏发电系统的电压和频率应与电网相匹配。电网额定电压为110 kV，额定频率为50Hz。</w:t>
      </w:r>
    </w:p>
    <w:p w14:paraId="63927ACE">
      <w:pPr>
        <w:spacing w:line="360" w:lineRule="auto"/>
        <w:ind w:firstLine="480" w:firstLineChars="200"/>
        <w:rPr>
          <w:rFonts w:ascii="宋体" w:hAnsi="宋体" w:cs="宋体"/>
          <w:sz w:val="24"/>
        </w:rPr>
      </w:pPr>
      <w:r>
        <w:rPr>
          <w:rFonts w:hint="eastAsia" w:ascii="宋体" w:hAnsi="宋体" w:cs="宋体"/>
          <w:sz w:val="24"/>
        </w:rPr>
        <w:t>正常运行时，电网公共连接点（PCC）处的电压允许偏差应符合GB12325-90。三相电压的允许偏差为额定电压的</w:t>
      </w:r>
      <w:r>
        <w:rPr>
          <w:rFonts w:hint="eastAsia" w:ascii="宋体" w:hAnsi="宋体" w:cs="宋体"/>
          <w:sz w:val="24"/>
        </w:rPr>
        <w:sym w:font="Symbol" w:char="00B1"/>
      </w:r>
      <w:r>
        <w:rPr>
          <w:rFonts w:hint="eastAsia" w:ascii="宋体" w:hAnsi="宋体" w:cs="宋体"/>
          <w:sz w:val="24"/>
        </w:rPr>
        <w:t>7%，单相电压的允许偏差为额定电压的+7%、-10%。</w:t>
      </w:r>
    </w:p>
    <w:p w14:paraId="1724462D">
      <w:pPr>
        <w:spacing w:line="360" w:lineRule="auto"/>
        <w:ind w:firstLine="480" w:firstLineChars="200"/>
        <w:rPr>
          <w:rFonts w:ascii="宋体" w:hAnsi="宋体" w:cs="宋体"/>
          <w:sz w:val="24"/>
        </w:rPr>
      </w:pPr>
      <w:r>
        <w:rPr>
          <w:rFonts w:hint="eastAsia" w:ascii="宋体" w:hAnsi="宋体" w:cs="宋体"/>
          <w:sz w:val="24"/>
        </w:rPr>
        <w:t>并网光伏发电系统应与电网同步运行。电网额定频率为50Hz，光伏系统的频率允许偏差应符合GB/T 15945-</w:t>
      </w:r>
      <w:r>
        <w:rPr>
          <w:rFonts w:hint="eastAsia" w:ascii="宋体" w:hAnsi="宋体" w:cs="宋体"/>
          <w:sz w:val="24"/>
          <w:lang w:val="en-US" w:eastAsia="zh-CN"/>
        </w:rPr>
        <w:t>2008</w:t>
      </w:r>
      <w:r>
        <w:rPr>
          <w:rFonts w:hint="eastAsia" w:ascii="宋体" w:hAnsi="宋体" w:cs="宋体"/>
          <w:sz w:val="24"/>
        </w:rPr>
        <w:t>，即偏差值允许</w:t>
      </w:r>
      <w:r>
        <w:rPr>
          <w:rFonts w:hint="eastAsia" w:ascii="宋体" w:hAnsi="宋体" w:cs="宋体"/>
          <w:sz w:val="24"/>
        </w:rPr>
        <w:sym w:font="Symbol" w:char="00B1"/>
      </w:r>
      <w:r>
        <w:rPr>
          <w:rFonts w:hint="eastAsia" w:ascii="宋体" w:hAnsi="宋体" w:cs="宋体"/>
          <w:sz w:val="24"/>
        </w:rPr>
        <w:t>0.5Hz。频率工作范围应在49.5Hz～50.5Hz之间。</w:t>
      </w:r>
    </w:p>
    <w:p w14:paraId="0DD137D9">
      <w:pPr>
        <w:spacing w:line="360" w:lineRule="auto"/>
        <w:ind w:firstLine="480" w:firstLineChars="200"/>
        <w:rPr>
          <w:rFonts w:ascii="宋体" w:hAnsi="宋体" w:cs="宋体"/>
          <w:sz w:val="24"/>
        </w:rPr>
      </w:pPr>
      <w:r>
        <w:rPr>
          <w:rFonts w:hint="eastAsia" w:ascii="宋体" w:hAnsi="宋体" w:cs="宋体"/>
          <w:sz w:val="24"/>
        </w:rPr>
        <w:t>试验方法：在并网光伏发电系统正常运行时，测量解并列点处的电压和频率应符合上述要求。</w:t>
      </w:r>
      <w:bookmarkStart w:id="117" w:name="_Toc15693222"/>
      <w:bookmarkStart w:id="118" w:name="_Toc243646386"/>
      <w:bookmarkStart w:id="119" w:name="_Toc15638302"/>
    </w:p>
    <w:p w14:paraId="53FA226C">
      <w:pPr>
        <w:spacing w:line="360" w:lineRule="auto"/>
        <w:rPr>
          <w:rFonts w:ascii="宋体" w:hAnsi="宋体" w:cs="宋体"/>
          <w:sz w:val="24"/>
        </w:rPr>
      </w:pPr>
      <w:r>
        <w:rPr>
          <w:rFonts w:hint="eastAsia" w:ascii="宋体" w:hAnsi="宋体" w:cs="宋体"/>
          <w:sz w:val="24"/>
        </w:rPr>
        <w:t>3.13.10 电压电流畸变率</w:t>
      </w:r>
      <w:bookmarkEnd w:id="117"/>
      <w:bookmarkEnd w:id="118"/>
      <w:bookmarkEnd w:id="119"/>
    </w:p>
    <w:p w14:paraId="485BB91A">
      <w:pPr>
        <w:spacing w:line="360" w:lineRule="auto"/>
        <w:ind w:firstLine="480" w:firstLineChars="200"/>
        <w:rPr>
          <w:rFonts w:ascii="宋体" w:hAnsi="宋体" w:cs="宋体"/>
          <w:sz w:val="24"/>
        </w:rPr>
      </w:pPr>
      <w:r>
        <w:rPr>
          <w:rFonts w:hint="eastAsia" w:ascii="宋体" w:hAnsi="宋体" w:cs="宋体"/>
          <w:sz w:val="24"/>
        </w:rPr>
        <w:t>并网光伏发电系统在运行时不应造成电网电压波形过度的畸变，和/或导致注入电网过度的谐波电流。在额定输出时电压总谐波畸变率限值5%，各次谐波电压含有率限值3%，在50%和100%额定输出时电流总谐波畸变率限值为5%，各次谐波电流含有率限值为3%。</w:t>
      </w:r>
    </w:p>
    <w:p w14:paraId="448F168C">
      <w:pPr>
        <w:spacing w:line="360" w:lineRule="auto"/>
        <w:ind w:firstLine="480" w:firstLineChars="200"/>
        <w:rPr>
          <w:rFonts w:ascii="宋体" w:hAnsi="宋体" w:cs="宋体"/>
          <w:sz w:val="24"/>
        </w:rPr>
      </w:pPr>
      <w:r>
        <w:rPr>
          <w:rFonts w:hint="eastAsia" w:ascii="宋体" w:hAnsi="宋体" w:cs="宋体"/>
          <w:sz w:val="24"/>
        </w:rPr>
        <w:t>试验方法：用谐波测量仪在并网光伏发电系统输出50%和100%时，测量解并列点处的电压和电流总谐波畸变率和各次谐波含有率。</w:t>
      </w:r>
      <w:bookmarkStart w:id="120" w:name="_Toc15638303"/>
      <w:bookmarkStart w:id="121" w:name="_Toc15693223"/>
    </w:p>
    <w:bookmarkEnd w:id="120"/>
    <w:bookmarkEnd w:id="121"/>
    <w:p w14:paraId="6D90E51D">
      <w:pPr>
        <w:spacing w:line="360" w:lineRule="auto"/>
        <w:rPr>
          <w:rFonts w:ascii="宋体" w:hAnsi="宋体" w:cs="宋体"/>
          <w:sz w:val="24"/>
        </w:rPr>
      </w:pPr>
      <w:bookmarkStart w:id="122" w:name="_Toc243646387"/>
      <w:r>
        <w:rPr>
          <w:rFonts w:hint="eastAsia" w:ascii="宋体" w:hAnsi="宋体" w:cs="宋体"/>
          <w:sz w:val="24"/>
        </w:rPr>
        <w:t>3.13.11 功率因数</w:t>
      </w:r>
      <w:bookmarkEnd w:id="122"/>
    </w:p>
    <w:p w14:paraId="2E2B9CB1">
      <w:pPr>
        <w:spacing w:line="360" w:lineRule="auto"/>
        <w:ind w:firstLine="480" w:firstLineChars="200"/>
        <w:rPr>
          <w:rFonts w:ascii="宋体" w:hAnsi="宋体" w:cs="宋体"/>
          <w:sz w:val="24"/>
        </w:rPr>
      </w:pPr>
      <w:r>
        <w:rPr>
          <w:rFonts w:hint="eastAsia" w:ascii="宋体" w:hAnsi="宋体" w:cs="宋体"/>
          <w:sz w:val="24"/>
        </w:rPr>
        <w:t>光伏系统的平均功率因数在50%额定输出时应不小于0.85，在100%额定输出时应不小于0.90。</w:t>
      </w:r>
    </w:p>
    <w:p w14:paraId="477B4CFB">
      <w:pPr>
        <w:spacing w:line="360" w:lineRule="auto"/>
        <w:ind w:firstLine="480" w:firstLineChars="200"/>
        <w:rPr>
          <w:rFonts w:ascii="宋体" w:hAnsi="宋体" w:cs="宋体"/>
          <w:sz w:val="24"/>
        </w:rPr>
      </w:pPr>
      <w:r>
        <w:rPr>
          <w:rFonts w:hint="eastAsia" w:ascii="宋体" w:hAnsi="宋体" w:cs="宋体"/>
          <w:sz w:val="24"/>
        </w:rPr>
        <w:t>试验方法：用功率因数表在并网光伏发电系统输出50%和100%时，测量解并列点处的功率因数应符合上述要求。</w:t>
      </w:r>
    </w:p>
    <w:p w14:paraId="647B6438">
      <w:pPr>
        <w:spacing w:line="360" w:lineRule="auto"/>
        <w:rPr>
          <w:rFonts w:ascii="宋体" w:hAnsi="宋体" w:cs="宋体"/>
          <w:sz w:val="24"/>
        </w:rPr>
      </w:pPr>
      <w:bookmarkStart w:id="123" w:name="_Toc243646388"/>
      <w:r>
        <w:rPr>
          <w:rFonts w:hint="eastAsia" w:ascii="宋体" w:hAnsi="宋体" w:cs="宋体"/>
          <w:sz w:val="24"/>
        </w:rPr>
        <w:t>3.13.12 电压不平衡度(仅对三相输出)</w:t>
      </w:r>
      <w:bookmarkEnd w:id="123"/>
    </w:p>
    <w:p w14:paraId="79109019">
      <w:pPr>
        <w:spacing w:line="360" w:lineRule="auto"/>
        <w:ind w:firstLine="480" w:firstLineChars="200"/>
        <w:rPr>
          <w:rFonts w:ascii="宋体" w:hAnsi="宋体" w:cs="宋体"/>
          <w:sz w:val="24"/>
        </w:rPr>
      </w:pPr>
      <w:r>
        <w:rPr>
          <w:rFonts w:hint="eastAsia" w:ascii="宋体" w:hAnsi="宋体" w:cs="宋体"/>
          <w:sz w:val="24"/>
        </w:rPr>
        <w:t>光伏系统（仅对三相输出）的运行，三相电压不平衡度指标满足GB/T 15543－1995 规定。即电网公共连接点（PCC）处的三相电压允许不平衡度允许值为2%，短时不得超过4%。</w:t>
      </w:r>
    </w:p>
    <w:p w14:paraId="408F1C87">
      <w:pPr>
        <w:spacing w:line="360" w:lineRule="auto"/>
        <w:ind w:firstLine="480" w:firstLineChars="200"/>
        <w:rPr>
          <w:rFonts w:ascii="宋体" w:hAnsi="宋体" w:cs="宋体"/>
          <w:sz w:val="24"/>
        </w:rPr>
      </w:pPr>
      <w:r>
        <w:rPr>
          <w:rFonts w:hint="eastAsia" w:ascii="宋体" w:hAnsi="宋体" w:cs="宋体"/>
          <w:sz w:val="24"/>
        </w:rPr>
        <w:t>试验方法：用电压表在并网光伏发电系统输出50%和100%时，测量解并列点处的三相输出电压应符合上述要求。</w:t>
      </w:r>
    </w:p>
    <w:p w14:paraId="4DBB0A30">
      <w:pPr>
        <w:spacing w:line="360" w:lineRule="auto"/>
        <w:rPr>
          <w:rFonts w:ascii="宋体" w:hAnsi="宋体" w:cs="宋体"/>
          <w:sz w:val="24"/>
        </w:rPr>
      </w:pPr>
      <w:bookmarkStart w:id="124" w:name="_Toc243646389"/>
      <w:r>
        <w:rPr>
          <w:rFonts w:hint="eastAsia" w:ascii="宋体" w:hAnsi="宋体" w:cs="宋体"/>
          <w:sz w:val="24"/>
        </w:rPr>
        <w:t>3.13.13 安全与保护试验</w:t>
      </w:r>
      <w:bookmarkEnd w:id="124"/>
    </w:p>
    <w:p w14:paraId="14CB3603">
      <w:pPr>
        <w:spacing w:line="360" w:lineRule="auto"/>
        <w:ind w:firstLine="480" w:firstLineChars="200"/>
        <w:rPr>
          <w:rFonts w:ascii="宋体" w:hAnsi="宋体" w:cs="宋体"/>
          <w:sz w:val="24"/>
        </w:rPr>
      </w:pPr>
      <w:r>
        <w:rPr>
          <w:rFonts w:hint="eastAsia" w:ascii="宋体" w:hAnsi="宋体" w:cs="宋体"/>
          <w:sz w:val="24"/>
        </w:rPr>
        <w:t>并网光伏发电系统和电网异常或故障时，为保证设备和人身安全，防止事故范围扩大，应设置相应的并网保护装置。</w:t>
      </w:r>
    </w:p>
    <w:p w14:paraId="3423E925">
      <w:pPr>
        <w:spacing w:line="360" w:lineRule="auto"/>
        <w:ind w:firstLine="480" w:firstLineChars="200"/>
        <w:rPr>
          <w:rFonts w:ascii="宋体" w:hAnsi="宋体" w:cs="宋体"/>
          <w:sz w:val="24"/>
        </w:rPr>
      </w:pPr>
      <w:r>
        <w:rPr>
          <w:rFonts w:hint="eastAsia" w:ascii="宋体" w:hAnsi="宋体" w:cs="宋体"/>
          <w:sz w:val="24"/>
        </w:rPr>
        <w:t>过/欠压</w:t>
      </w:r>
    </w:p>
    <w:p w14:paraId="7247C9D1">
      <w:pPr>
        <w:spacing w:line="360" w:lineRule="auto"/>
        <w:ind w:firstLine="480" w:firstLineChars="200"/>
        <w:rPr>
          <w:rFonts w:ascii="宋体" w:hAnsi="宋体" w:cs="宋体"/>
          <w:sz w:val="24"/>
        </w:rPr>
      </w:pPr>
      <w:r>
        <w:rPr>
          <w:rFonts w:hint="eastAsia" w:ascii="宋体" w:hAnsi="宋体" w:cs="宋体"/>
          <w:sz w:val="24"/>
        </w:rPr>
        <w:t>当并网光伏发电系统电网接口处电压超出规定电压范围时，过／欠电压保护应在0.2～2秒内动作将光伏系统与电网断开。</w:t>
      </w:r>
    </w:p>
    <w:p w14:paraId="1977CE1A">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试验方法：将并网光伏发电系统停止解列，在过/欠电压检测回路中施加规定的交流电压值，测量保护装置的动作值和动作时间，应符合设定值。</w:t>
      </w:r>
    </w:p>
    <w:p w14:paraId="2588A4FB">
      <w:pPr>
        <w:spacing w:line="360" w:lineRule="auto"/>
        <w:ind w:firstLine="480" w:firstLineChars="200"/>
        <w:rPr>
          <w:rFonts w:ascii="宋体" w:hAnsi="宋体" w:cs="宋体"/>
          <w:sz w:val="24"/>
        </w:rPr>
      </w:pPr>
      <w:r>
        <w:rPr>
          <w:rFonts w:hint="eastAsia" w:ascii="宋体" w:hAnsi="宋体" w:cs="宋体"/>
          <w:sz w:val="24"/>
        </w:rPr>
        <w:t>过/欠频</w:t>
      </w:r>
    </w:p>
    <w:p w14:paraId="01F20F51">
      <w:pPr>
        <w:spacing w:line="360" w:lineRule="auto"/>
        <w:ind w:firstLine="480" w:firstLineChars="200"/>
        <w:rPr>
          <w:rFonts w:ascii="宋体" w:hAnsi="宋体" w:cs="宋体"/>
          <w:sz w:val="24"/>
        </w:rPr>
      </w:pPr>
      <w:r>
        <w:rPr>
          <w:rFonts w:hint="eastAsia" w:ascii="宋体" w:hAnsi="宋体" w:cs="宋体"/>
          <w:sz w:val="24"/>
        </w:rPr>
        <w:t>当并网光伏发电系统电网接口处频率超出规定的频率范围时，过／欠频率保护应在0.2～2秒内动作将光伏系统与电网断开。</w:t>
      </w:r>
    </w:p>
    <w:p w14:paraId="4EC22FC1">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试验方法：将并网光伏发电系统停止解列，在过/欠频率检测回路中施加规定的交流频率信号，测量保护装置的动作值和动作时间，应符合设定值。</w:t>
      </w:r>
    </w:p>
    <w:p w14:paraId="553896FF">
      <w:pPr>
        <w:spacing w:line="360" w:lineRule="auto"/>
        <w:ind w:firstLine="480" w:firstLineChars="200"/>
        <w:rPr>
          <w:rFonts w:ascii="宋体" w:hAnsi="宋体" w:cs="宋体"/>
          <w:sz w:val="24"/>
        </w:rPr>
      </w:pPr>
      <w:r>
        <w:rPr>
          <w:rFonts w:hint="eastAsia" w:ascii="宋体" w:hAnsi="宋体" w:cs="宋体"/>
          <w:sz w:val="24"/>
        </w:rPr>
        <w:t>防孤岛效应</w:t>
      </w:r>
    </w:p>
    <w:p w14:paraId="16DFFBEF">
      <w:pPr>
        <w:spacing w:line="360" w:lineRule="auto"/>
        <w:ind w:firstLine="480" w:firstLineChars="200"/>
        <w:rPr>
          <w:rFonts w:ascii="宋体" w:hAnsi="宋体" w:cs="宋体"/>
          <w:sz w:val="24"/>
        </w:rPr>
      </w:pPr>
      <w:r>
        <w:rPr>
          <w:rFonts w:hint="eastAsia" w:ascii="宋体" w:hAnsi="宋体" w:cs="宋体"/>
          <w:sz w:val="24"/>
        </w:rPr>
        <w:t>当并网光伏发电系统的电网失压时，必须在规定的时限内将该光伏系统与电网断开，防止出现孤岛效应，应设置至少各一种主动和被动防孤岛效应保护。防孤岛效应保护应在2秒内动作将光伏系统与电网断开。</w:t>
      </w:r>
    </w:p>
    <w:p w14:paraId="6A95F0D4">
      <w:pPr>
        <w:spacing w:line="360" w:lineRule="auto"/>
        <w:ind w:firstLine="480" w:firstLineChars="200"/>
        <w:rPr>
          <w:rFonts w:ascii="宋体" w:hAnsi="宋体" w:cs="宋体"/>
          <w:sz w:val="24"/>
        </w:rPr>
      </w:pPr>
      <w:r>
        <w:rPr>
          <w:rFonts w:hint="eastAsia" w:ascii="宋体" w:hAnsi="宋体" w:cs="宋体"/>
          <w:sz w:val="24"/>
        </w:rPr>
        <w:t>试验方法：并网光伏发电系统运行中，调整阻性负荷，使电网向负荷的供电功率接近于零（小于额定功率的5%），模拟电网失电，检测防孤岛效应保护装置的动作值和动作时间，应符合设定值。</w:t>
      </w:r>
    </w:p>
    <w:p w14:paraId="0201A270">
      <w:pPr>
        <w:spacing w:line="360" w:lineRule="auto"/>
        <w:ind w:firstLine="480" w:firstLineChars="200"/>
        <w:rPr>
          <w:rFonts w:ascii="宋体" w:hAnsi="宋体" w:cs="宋体"/>
          <w:sz w:val="24"/>
        </w:rPr>
      </w:pPr>
      <w:r>
        <w:rPr>
          <w:rFonts w:hint="eastAsia" w:ascii="宋体" w:hAnsi="宋体" w:cs="宋体"/>
          <w:sz w:val="24"/>
        </w:rPr>
        <w:t>电网恢复</w:t>
      </w:r>
    </w:p>
    <w:p w14:paraId="1D219F69">
      <w:pPr>
        <w:spacing w:line="360" w:lineRule="auto"/>
        <w:ind w:firstLine="480" w:firstLineChars="200"/>
        <w:rPr>
          <w:rFonts w:ascii="宋体" w:hAnsi="宋体" w:cs="宋体"/>
          <w:sz w:val="24"/>
        </w:rPr>
      </w:pPr>
      <w:r>
        <w:rPr>
          <w:rFonts w:hint="eastAsia" w:ascii="宋体" w:hAnsi="宋体" w:cs="宋体"/>
          <w:sz w:val="24"/>
        </w:rPr>
        <w:t>由于超限导致光伏系统离网后，光伏系统应保持离网，直到电网恢复到允许的电压和频率范围后150秒以上才可再并网。</w:t>
      </w:r>
    </w:p>
    <w:p w14:paraId="17D23CA9">
      <w:pPr>
        <w:spacing w:line="360" w:lineRule="auto"/>
        <w:ind w:firstLine="480" w:firstLineChars="200"/>
        <w:rPr>
          <w:rFonts w:ascii="宋体" w:hAnsi="宋体" w:cs="宋体"/>
          <w:sz w:val="24"/>
        </w:rPr>
      </w:pPr>
      <w:r>
        <w:rPr>
          <w:rFonts w:hint="eastAsia" w:ascii="宋体" w:hAnsi="宋体" w:cs="宋体"/>
          <w:sz w:val="24"/>
        </w:rPr>
        <w:t>试验方法：在过/欠压、过/欠频、防孤岛效应保护检测时，恢复保护装置工作范围，并网光伏系统应在规定时间后再并网。</w:t>
      </w:r>
    </w:p>
    <w:p w14:paraId="2904ACE7">
      <w:pPr>
        <w:spacing w:line="360" w:lineRule="auto"/>
        <w:ind w:firstLine="480" w:firstLineChars="200"/>
        <w:rPr>
          <w:rFonts w:ascii="宋体" w:hAnsi="宋体" w:cs="宋体"/>
          <w:sz w:val="24"/>
        </w:rPr>
      </w:pPr>
      <w:r>
        <w:rPr>
          <w:rFonts w:hint="eastAsia" w:ascii="宋体" w:hAnsi="宋体" w:cs="宋体"/>
          <w:sz w:val="24"/>
        </w:rPr>
        <w:t>短路保护</w:t>
      </w:r>
    </w:p>
    <w:p w14:paraId="006D2651">
      <w:pPr>
        <w:spacing w:line="360" w:lineRule="auto"/>
        <w:ind w:firstLine="480" w:firstLineChars="200"/>
        <w:rPr>
          <w:rFonts w:ascii="宋体" w:hAnsi="宋体" w:cs="宋体"/>
          <w:sz w:val="24"/>
        </w:rPr>
      </w:pPr>
      <w:r>
        <w:rPr>
          <w:rFonts w:hint="eastAsia" w:ascii="宋体" w:hAnsi="宋体" w:cs="宋体"/>
          <w:sz w:val="24"/>
        </w:rPr>
        <w:t>光伏系统对电网应设置短路保护，电网短路时，逆变器的过电流应不大于额定电流的150%，并在0.1秒以内将光伏系统与电网断开。</w:t>
      </w:r>
    </w:p>
    <w:p w14:paraId="47A22F3F">
      <w:pPr>
        <w:spacing w:line="360" w:lineRule="auto"/>
        <w:ind w:firstLine="480" w:firstLineChars="200"/>
        <w:rPr>
          <w:rFonts w:ascii="宋体" w:hAnsi="宋体" w:cs="宋体"/>
          <w:sz w:val="24"/>
        </w:rPr>
      </w:pPr>
      <w:r>
        <w:rPr>
          <w:rFonts w:hint="eastAsia" w:ascii="宋体" w:hAnsi="宋体" w:cs="宋体"/>
          <w:sz w:val="24"/>
        </w:rPr>
        <w:t>试验方法：在解并列点处模拟电网短路，测量逆变器的输出电流及解列时间。</w:t>
      </w:r>
    </w:p>
    <w:p w14:paraId="6660D7DB">
      <w:pPr>
        <w:spacing w:line="360" w:lineRule="auto"/>
        <w:ind w:firstLine="480" w:firstLineChars="200"/>
        <w:rPr>
          <w:rFonts w:ascii="宋体" w:hAnsi="宋体" w:cs="宋体"/>
          <w:sz w:val="24"/>
        </w:rPr>
      </w:pPr>
      <w:r>
        <w:rPr>
          <w:rFonts w:hint="eastAsia" w:ascii="宋体" w:hAnsi="宋体" w:cs="宋体"/>
          <w:sz w:val="24"/>
        </w:rPr>
        <w:t>方向功率保护</w:t>
      </w:r>
    </w:p>
    <w:p w14:paraId="6C79B9DB">
      <w:pPr>
        <w:spacing w:line="360" w:lineRule="auto"/>
        <w:ind w:firstLine="480" w:firstLineChars="200"/>
        <w:rPr>
          <w:rFonts w:ascii="宋体" w:hAnsi="宋体" w:cs="宋体"/>
          <w:sz w:val="24"/>
        </w:rPr>
      </w:pPr>
      <w:r>
        <w:rPr>
          <w:rFonts w:hint="eastAsia" w:ascii="宋体" w:hAnsi="宋体" w:cs="宋体"/>
          <w:sz w:val="24"/>
        </w:rPr>
        <w:t>对无逆潮流光伏并网发电系统，当电网接口处逆潮流为逆变器额定输出的5%时，方向功率保护应在0.2～2秒内动作将光伏系统与电网断开。</w:t>
      </w:r>
    </w:p>
    <w:p w14:paraId="15324F7B">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试验方法：将并网光伏发电系统停止解列，在方向功率保护检测回路中施加规定的交流信号，测量保护装置的动作值和动作时间，应符合设定值。</w:t>
      </w:r>
    </w:p>
    <w:p w14:paraId="230D88DD">
      <w:pPr>
        <w:spacing w:before="156" w:beforeLines="50" w:line="360" w:lineRule="auto"/>
        <w:outlineLvl w:val="1"/>
        <w:rPr>
          <w:rFonts w:ascii="宋体" w:hAnsi="宋体" w:cs="宋体"/>
          <w:b/>
          <w:bCs/>
          <w:sz w:val="24"/>
        </w:rPr>
      </w:pPr>
      <w:bookmarkStart w:id="125" w:name="_Toc21715"/>
      <w:bookmarkStart w:id="126" w:name="_Toc21571"/>
      <w:bookmarkStart w:id="127" w:name="_Toc243712626"/>
      <w:bookmarkStart w:id="128" w:name="_Toc13613"/>
      <w:r>
        <w:rPr>
          <w:rFonts w:hint="eastAsia" w:ascii="宋体" w:hAnsi="宋体" w:cs="宋体"/>
          <w:b/>
          <w:bCs/>
          <w:sz w:val="24"/>
        </w:rPr>
        <w:t>3.14 系统调试</w:t>
      </w:r>
      <w:bookmarkEnd w:id="125"/>
      <w:bookmarkEnd w:id="126"/>
      <w:bookmarkEnd w:id="127"/>
      <w:bookmarkEnd w:id="128"/>
    </w:p>
    <w:p w14:paraId="4ACAA881">
      <w:pPr>
        <w:spacing w:line="360" w:lineRule="auto"/>
        <w:rPr>
          <w:rFonts w:ascii="宋体" w:hAnsi="宋体" w:cs="宋体"/>
          <w:sz w:val="24"/>
        </w:rPr>
      </w:pPr>
      <w:bookmarkStart w:id="129" w:name="_Toc214159428"/>
      <w:bookmarkStart w:id="130" w:name="_Toc221527219"/>
      <w:r>
        <w:rPr>
          <w:rFonts w:hint="eastAsia" w:ascii="宋体" w:hAnsi="宋体" w:cs="宋体"/>
          <w:sz w:val="24"/>
        </w:rPr>
        <w:t>3.14.1 系统调试</w:t>
      </w:r>
      <w:bookmarkEnd w:id="129"/>
      <w:bookmarkEnd w:id="130"/>
      <w:r>
        <w:rPr>
          <w:rFonts w:hint="eastAsia" w:ascii="宋体" w:hAnsi="宋体" w:cs="宋体"/>
          <w:sz w:val="24"/>
        </w:rPr>
        <w:t>前准备工作</w:t>
      </w:r>
    </w:p>
    <w:p w14:paraId="189156EE">
      <w:pPr>
        <w:spacing w:line="360" w:lineRule="auto"/>
        <w:ind w:firstLine="480" w:firstLineChars="200"/>
        <w:rPr>
          <w:rFonts w:ascii="宋体" w:hAnsi="宋体" w:cs="宋体"/>
          <w:sz w:val="24"/>
        </w:rPr>
      </w:pPr>
      <w:r>
        <w:rPr>
          <w:rFonts w:hint="eastAsia" w:ascii="宋体" w:hAnsi="宋体" w:cs="宋体"/>
          <w:sz w:val="24"/>
        </w:rPr>
        <w:t>系统调试前进行系统检查，其中包括：接地电阻值的检测、线路绝缘电阻的检测、控制柜的性能测试、充电蓄电池组的检测、光伏阵列输出电压的检测、控制器调试。</w:t>
      </w:r>
    </w:p>
    <w:p w14:paraId="24E7676A">
      <w:pPr>
        <w:spacing w:line="360" w:lineRule="auto"/>
        <w:ind w:firstLine="480" w:firstLineChars="200"/>
        <w:rPr>
          <w:rFonts w:ascii="宋体" w:hAnsi="宋体" w:cs="宋体"/>
          <w:sz w:val="24"/>
        </w:rPr>
      </w:pPr>
      <w:r>
        <w:rPr>
          <w:rFonts w:hint="eastAsia" w:ascii="宋体" w:hAnsi="宋体" w:cs="宋体"/>
          <w:sz w:val="24"/>
        </w:rPr>
        <w:t>太阳能组件方阵的仰角方向宜保持一致，满足最大采光要求。</w:t>
      </w:r>
    </w:p>
    <w:p w14:paraId="01ABBCFE">
      <w:pPr>
        <w:spacing w:line="360" w:lineRule="auto"/>
        <w:ind w:firstLine="480" w:firstLineChars="200"/>
        <w:rPr>
          <w:rFonts w:ascii="宋体" w:hAnsi="宋体" w:cs="宋体"/>
          <w:sz w:val="24"/>
        </w:rPr>
      </w:pPr>
      <w:r>
        <w:rPr>
          <w:rFonts w:hint="eastAsia" w:ascii="宋体" w:hAnsi="宋体" w:cs="宋体"/>
          <w:sz w:val="24"/>
        </w:rPr>
        <w:t>太阳能组件安装纵向中心线和支架纵向中心线应一致，横向水平线应与地面形成设计度角，倾斜方向应该是符合设计要求。紧固后目测应无歪斜。</w:t>
      </w:r>
    </w:p>
    <w:p w14:paraId="50B10A48">
      <w:pPr>
        <w:spacing w:line="360" w:lineRule="auto"/>
        <w:ind w:firstLine="480" w:firstLineChars="200"/>
        <w:rPr>
          <w:rFonts w:ascii="宋体" w:hAnsi="宋体" w:cs="宋体"/>
          <w:sz w:val="24"/>
        </w:rPr>
      </w:pPr>
      <w:r>
        <w:rPr>
          <w:rFonts w:hint="eastAsia" w:ascii="宋体" w:hAnsi="宋体" w:cs="宋体"/>
          <w:sz w:val="24"/>
        </w:rPr>
        <w:t>支架固定牢靠，可抵抗7-8级风。避雷设备符合所有安装要求。</w:t>
      </w:r>
    </w:p>
    <w:p w14:paraId="0B9CC7BA">
      <w:pPr>
        <w:spacing w:line="360" w:lineRule="auto"/>
        <w:ind w:firstLine="480" w:firstLineChars="200"/>
        <w:rPr>
          <w:rFonts w:ascii="宋体" w:hAnsi="宋体" w:cs="宋体"/>
          <w:sz w:val="24"/>
        </w:rPr>
      </w:pPr>
      <w:r>
        <w:rPr>
          <w:rFonts w:hint="eastAsia" w:ascii="宋体" w:hAnsi="宋体" w:cs="宋体"/>
          <w:sz w:val="24"/>
        </w:rPr>
        <w:t>汇流盒及护线PVC管必须做到100%防水保护、安装牢固。</w:t>
      </w:r>
    </w:p>
    <w:p w14:paraId="4784AF3B">
      <w:pPr>
        <w:spacing w:line="360" w:lineRule="auto"/>
        <w:ind w:firstLine="480" w:firstLineChars="200"/>
        <w:rPr>
          <w:rFonts w:ascii="宋体" w:hAnsi="宋体" w:cs="宋体"/>
          <w:sz w:val="24"/>
        </w:rPr>
      </w:pPr>
      <w:r>
        <w:rPr>
          <w:rFonts w:hint="eastAsia" w:ascii="宋体" w:hAnsi="宋体" w:cs="宋体"/>
          <w:sz w:val="24"/>
        </w:rPr>
        <w:t>系统安装使用的支架、抱箍、螺栓、压板等金属构件应进行热镀锌处理，防腐质量应符合现行国家标准《金属覆盖及其他有关覆盖层维氏和努氏显微硬度试验》（GB/T9700）、《热喷涂金属件表面预处理通则》（GB/T11373）、现行行业标准《钢铁热浸铝工艺及质量检验》（ZBJ36011）的有关规定。</w:t>
      </w:r>
    </w:p>
    <w:p w14:paraId="712EBFD7">
      <w:pPr>
        <w:spacing w:line="360" w:lineRule="auto"/>
        <w:ind w:firstLine="480" w:firstLineChars="200"/>
        <w:rPr>
          <w:rFonts w:ascii="宋体" w:hAnsi="宋体" w:cs="宋体"/>
          <w:sz w:val="24"/>
        </w:rPr>
      </w:pPr>
      <w:r>
        <w:rPr>
          <w:rFonts w:hint="eastAsia" w:ascii="宋体" w:hAnsi="宋体" w:cs="宋体"/>
          <w:sz w:val="24"/>
        </w:rPr>
        <w:t>各种螺母紧固，宜加垫片和弹簧垫。紧固后螺出螺母不得少于两个螺距。</w:t>
      </w:r>
    </w:p>
    <w:p w14:paraId="6EC92B0A">
      <w:pPr>
        <w:spacing w:line="360" w:lineRule="auto"/>
        <w:ind w:firstLine="480" w:firstLineChars="200"/>
        <w:rPr>
          <w:rFonts w:ascii="宋体" w:hAnsi="宋体" w:cs="宋体"/>
          <w:sz w:val="24"/>
        </w:rPr>
      </w:pPr>
      <w:r>
        <w:rPr>
          <w:rFonts w:hint="eastAsia" w:ascii="宋体" w:hAnsi="宋体" w:cs="宋体"/>
          <w:sz w:val="24"/>
        </w:rPr>
        <w:t>安装完成后进行检查，确认无误，方可进行分项调试。</w:t>
      </w:r>
    </w:p>
    <w:p w14:paraId="5515AA69">
      <w:pPr>
        <w:spacing w:line="360" w:lineRule="auto"/>
        <w:ind w:firstLine="480" w:firstLineChars="200"/>
        <w:rPr>
          <w:rFonts w:ascii="宋体" w:hAnsi="宋体" w:cs="宋体"/>
          <w:sz w:val="24"/>
        </w:rPr>
      </w:pPr>
      <w:r>
        <w:rPr>
          <w:rFonts w:hint="eastAsia" w:ascii="宋体" w:hAnsi="宋体" w:cs="宋体"/>
          <w:sz w:val="24"/>
        </w:rPr>
        <w:t>各分项调试完成后，可进行系统调试，联动调试，试运行。</w:t>
      </w:r>
    </w:p>
    <w:p w14:paraId="549F3F64">
      <w:pPr>
        <w:spacing w:line="360" w:lineRule="auto"/>
        <w:rPr>
          <w:rFonts w:ascii="宋体" w:hAnsi="宋体" w:cs="宋体"/>
          <w:sz w:val="24"/>
        </w:rPr>
      </w:pPr>
      <w:r>
        <w:rPr>
          <w:rFonts w:hint="eastAsia" w:ascii="宋体" w:hAnsi="宋体" w:cs="宋体"/>
          <w:sz w:val="24"/>
        </w:rPr>
        <w:t>3.14.2 调试流程</w:t>
      </w:r>
    </w:p>
    <w:p w14:paraId="47D7A820">
      <w:pPr>
        <w:spacing w:line="360" w:lineRule="auto"/>
        <w:rPr>
          <w:rFonts w:ascii="宋体" w:hAnsi="宋体" w:cs="宋体"/>
          <w:sz w:val="24"/>
        </w:rPr>
      </w:pPr>
      <w:r>
        <w:rPr>
          <w:rFonts w:hint="eastAsia" w:ascii="宋体" w:hAnsi="宋体" w:cs="宋体"/>
          <w:sz w:val="24"/>
        </w:rPr>
        <w:t>3.14.2.1 调试之前做好下列工作准备：</w:t>
      </w:r>
    </w:p>
    <w:p w14:paraId="3AC29CD9">
      <w:pPr>
        <w:spacing w:line="360" w:lineRule="auto"/>
        <w:ind w:firstLine="480" w:firstLineChars="200"/>
        <w:rPr>
          <w:rFonts w:ascii="宋体" w:hAnsi="宋体" w:cs="宋体"/>
          <w:sz w:val="24"/>
        </w:rPr>
      </w:pPr>
      <w:r>
        <w:rPr>
          <w:rFonts w:hint="eastAsia" w:ascii="宋体" w:hAnsi="宋体" w:cs="宋体"/>
          <w:sz w:val="24"/>
        </w:rPr>
        <w:t>（1）应有运行调试方案，内容包括调试目的要求，时间进度计划，调试项目，程序和采取的方法等；</w:t>
      </w:r>
    </w:p>
    <w:p w14:paraId="3BE40435">
      <w:pPr>
        <w:spacing w:line="360" w:lineRule="auto"/>
        <w:ind w:firstLine="480" w:firstLineChars="200"/>
        <w:rPr>
          <w:rFonts w:ascii="宋体" w:hAnsi="宋体" w:cs="宋体"/>
          <w:sz w:val="24"/>
        </w:rPr>
      </w:pPr>
      <w:r>
        <w:rPr>
          <w:rFonts w:hint="eastAsia" w:ascii="宋体" w:hAnsi="宋体" w:cs="宋体"/>
          <w:sz w:val="24"/>
        </w:rPr>
        <w:t>（2）按运行调试方案，备好仪表和工具及调试记录表格；</w:t>
      </w:r>
    </w:p>
    <w:p w14:paraId="4A7D74ED">
      <w:pPr>
        <w:spacing w:line="360" w:lineRule="auto"/>
        <w:ind w:firstLine="480" w:firstLineChars="200"/>
        <w:rPr>
          <w:rFonts w:ascii="宋体" w:hAnsi="宋体" w:cs="宋体"/>
          <w:sz w:val="24"/>
        </w:rPr>
      </w:pPr>
      <w:r>
        <w:rPr>
          <w:rFonts w:hint="eastAsia" w:ascii="宋体" w:hAnsi="宋体" w:cs="宋体"/>
          <w:sz w:val="24"/>
        </w:rPr>
        <w:t>（3）熟悉系统的全部设计资料，计算的状态参数，领会设计意图，掌握太阳能电池组件，逆变器，光伏系统工作原理；</w:t>
      </w:r>
    </w:p>
    <w:p w14:paraId="4BAF22FC">
      <w:pPr>
        <w:spacing w:line="360" w:lineRule="auto"/>
        <w:ind w:firstLine="480" w:firstLineChars="200"/>
        <w:rPr>
          <w:rFonts w:ascii="宋体" w:hAnsi="宋体" w:cs="宋体"/>
          <w:sz w:val="24"/>
        </w:rPr>
      </w:pPr>
      <w:r>
        <w:rPr>
          <w:rFonts w:hint="eastAsia" w:ascii="宋体" w:hAnsi="宋体" w:cs="宋体"/>
          <w:sz w:val="24"/>
        </w:rPr>
        <w:t>（4）光伏调试之前，先应对逆变器，并网柜试运行，设备完好符合设计要求后，方可进行调试工作；</w:t>
      </w:r>
    </w:p>
    <w:p w14:paraId="7D62A58A">
      <w:pPr>
        <w:spacing w:line="360" w:lineRule="auto"/>
        <w:ind w:firstLine="480" w:firstLineChars="200"/>
        <w:rPr>
          <w:rFonts w:ascii="宋体" w:hAnsi="宋体" w:cs="宋体"/>
          <w:sz w:val="24"/>
        </w:rPr>
      </w:pPr>
      <w:r>
        <w:rPr>
          <w:rFonts w:hint="eastAsia" w:ascii="宋体" w:hAnsi="宋体" w:cs="宋体"/>
          <w:sz w:val="24"/>
        </w:rPr>
        <w:t>（5）检查太阳能光伏接线是否正确，逆变器、并网柜的接线是否正确；</w:t>
      </w:r>
    </w:p>
    <w:p w14:paraId="19668811">
      <w:pPr>
        <w:spacing w:line="360" w:lineRule="auto"/>
        <w:ind w:firstLine="480" w:firstLineChars="200"/>
        <w:rPr>
          <w:rFonts w:ascii="宋体" w:hAnsi="宋体" w:cs="宋体"/>
          <w:sz w:val="24"/>
        </w:rPr>
      </w:pPr>
      <w:r>
        <w:rPr>
          <w:rFonts w:hint="eastAsia" w:ascii="宋体" w:hAnsi="宋体" w:cs="宋体"/>
          <w:sz w:val="24"/>
        </w:rPr>
        <w:t>（6）检查太阳能光伏组件的二极管连接是否正确；</w:t>
      </w:r>
    </w:p>
    <w:p w14:paraId="1F21E20A">
      <w:pPr>
        <w:spacing w:line="360" w:lineRule="auto"/>
        <w:ind w:firstLine="480" w:firstLineChars="200"/>
        <w:rPr>
          <w:rFonts w:ascii="宋体" w:hAnsi="宋体" w:cs="宋体"/>
          <w:sz w:val="24"/>
        </w:rPr>
      </w:pPr>
      <w:r>
        <w:rPr>
          <w:rFonts w:hint="eastAsia" w:ascii="宋体" w:hAnsi="宋体" w:cs="宋体"/>
          <w:sz w:val="24"/>
        </w:rPr>
        <w:t>（7）检查保护装置、电气设备接线是否符合图纸要求。</w:t>
      </w:r>
    </w:p>
    <w:p w14:paraId="088E4BA8">
      <w:pPr>
        <w:spacing w:line="360" w:lineRule="auto"/>
        <w:rPr>
          <w:rFonts w:ascii="宋体" w:hAnsi="宋体" w:cs="宋体"/>
          <w:sz w:val="24"/>
        </w:rPr>
      </w:pPr>
      <w:r>
        <w:rPr>
          <w:rFonts w:hint="eastAsia" w:ascii="宋体" w:hAnsi="宋体" w:cs="宋体"/>
          <w:sz w:val="24"/>
        </w:rPr>
        <w:t>3.14.2.2 通信网络检测</w:t>
      </w:r>
    </w:p>
    <w:p w14:paraId="2A0B38D9">
      <w:pPr>
        <w:spacing w:line="360" w:lineRule="auto"/>
        <w:ind w:firstLine="480" w:firstLineChars="200"/>
        <w:rPr>
          <w:rFonts w:ascii="宋体" w:hAnsi="宋体" w:cs="宋体"/>
          <w:sz w:val="24"/>
        </w:rPr>
      </w:pPr>
      <w:r>
        <w:rPr>
          <w:rFonts w:hint="eastAsia" w:ascii="宋体" w:hAnsi="宋体" w:cs="宋体"/>
          <w:sz w:val="24"/>
        </w:rPr>
        <w:t>（1）检测逆变器到计算机间的通信线是否通信正常；</w:t>
      </w:r>
    </w:p>
    <w:p w14:paraId="3D8C15D1">
      <w:pPr>
        <w:spacing w:line="360" w:lineRule="auto"/>
        <w:ind w:firstLine="480" w:firstLineChars="200"/>
        <w:rPr>
          <w:rFonts w:ascii="宋体" w:hAnsi="宋体" w:cs="宋体"/>
          <w:sz w:val="24"/>
        </w:rPr>
      </w:pPr>
      <w:r>
        <w:rPr>
          <w:rFonts w:hint="eastAsia" w:ascii="宋体" w:hAnsi="宋体" w:cs="宋体"/>
          <w:sz w:val="24"/>
        </w:rPr>
        <w:t>（2）检查光伏系统监测软件是否已经安装，是否可在计算机上正常启动使用；</w:t>
      </w:r>
    </w:p>
    <w:p w14:paraId="1019778B">
      <w:pPr>
        <w:spacing w:line="360" w:lineRule="auto"/>
        <w:ind w:firstLine="480" w:firstLineChars="200"/>
        <w:rPr>
          <w:rFonts w:ascii="宋体" w:hAnsi="宋体" w:cs="宋体"/>
          <w:sz w:val="24"/>
        </w:rPr>
      </w:pPr>
      <w:r>
        <w:rPr>
          <w:rFonts w:hint="eastAsia" w:ascii="宋体" w:hAnsi="宋体" w:cs="宋体"/>
          <w:sz w:val="24"/>
        </w:rPr>
        <w:t>（3）检查计算机间的通信联接是否正常。</w:t>
      </w:r>
    </w:p>
    <w:p w14:paraId="5935EFD6">
      <w:pPr>
        <w:spacing w:line="360" w:lineRule="auto"/>
        <w:rPr>
          <w:rFonts w:ascii="宋体" w:hAnsi="宋体" w:cs="宋体"/>
          <w:sz w:val="24"/>
        </w:rPr>
      </w:pPr>
      <w:r>
        <w:rPr>
          <w:rFonts w:hint="eastAsia" w:ascii="宋体" w:hAnsi="宋体" w:cs="宋体"/>
          <w:sz w:val="24"/>
        </w:rPr>
        <w:t>3.14.2.3 系统性能的检测与调试</w:t>
      </w:r>
    </w:p>
    <w:p w14:paraId="35525F2F">
      <w:pPr>
        <w:spacing w:line="360" w:lineRule="auto"/>
        <w:ind w:firstLine="480" w:firstLineChars="200"/>
        <w:rPr>
          <w:rFonts w:ascii="宋体" w:hAnsi="宋体" w:cs="宋体"/>
          <w:sz w:val="24"/>
        </w:rPr>
      </w:pPr>
      <w:r>
        <w:rPr>
          <w:rFonts w:hint="eastAsia" w:ascii="宋体" w:hAnsi="宋体" w:cs="宋体"/>
          <w:sz w:val="24"/>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初始状态及参数，这是实现电站安全启动的重要环节。</w:t>
      </w:r>
    </w:p>
    <w:p w14:paraId="21571DBD">
      <w:pPr>
        <w:spacing w:line="360" w:lineRule="auto"/>
        <w:ind w:firstLine="480" w:firstLineChars="200"/>
        <w:rPr>
          <w:rFonts w:ascii="宋体" w:hAnsi="宋体" w:cs="宋体"/>
          <w:sz w:val="24"/>
        </w:rPr>
      </w:pPr>
      <w:r>
        <w:rPr>
          <w:rFonts w:hint="eastAsia" w:ascii="宋体" w:hAnsi="宋体" w:cs="宋体"/>
          <w:sz w:val="24"/>
        </w:rPr>
        <w:t>逆变器并网前首先进行以下测试：</w:t>
      </w:r>
    </w:p>
    <w:p w14:paraId="466AA29B">
      <w:pPr>
        <w:spacing w:line="360" w:lineRule="auto"/>
        <w:ind w:firstLine="480" w:firstLineChars="200"/>
        <w:rPr>
          <w:rFonts w:ascii="宋体" w:hAnsi="宋体" w:cs="宋体"/>
          <w:sz w:val="24"/>
        </w:rPr>
      </w:pPr>
      <w:r>
        <w:rPr>
          <w:rFonts w:hint="eastAsia" w:ascii="宋体" w:hAnsi="宋体" w:cs="宋体"/>
          <w:sz w:val="24"/>
        </w:rPr>
        <w:t>①对太阳能发电系统进行绝缘测试，测试合格方可并网；</w:t>
      </w:r>
    </w:p>
    <w:p w14:paraId="3EE000F5">
      <w:pPr>
        <w:spacing w:line="360" w:lineRule="auto"/>
        <w:ind w:firstLine="480" w:firstLineChars="200"/>
        <w:rPr>
          <w:rFonts w:ascii="宋体" w:hAnsi="宋体" w:cs="宋体"/>
          <w:sz w:val="24"/>
        </w:rPr>
      </w:pPr>
      <w:r>
        <w:rPr>
          <w:rFonts w:hint="eastAsia" w:ascii="宋体" w:hAnsi="宋体" w:cs="宋体"/>
          <w:sz w:val="24"/>
        </w:rPr>
        <w:t>②测试直流防雷箱输出（或逆变器进线端）电压，判断太阳能电池输出是否正常；</w:t>
      </w:r>
    </w:p>
    <w:p w14:paraId="04ED7DA9">
      <w:pPr>
        <w:spacing w:line="360" w:lineRule="auto"/>
        <w:ind w:firstLine="480" w:firstLineChars="200"/>
        <w:rPr>
          <w:rFonts w:ascii="宋体" w:hAnsi="宋体" w:cs="宋体"/>
          <w:sz w:val="24"/>
        </w:rPr>
      </w:pPr>
      <w:r>
        <w:rPr>
          <w:rFonts w:hint="eastAsia" w:ascii="宋体" w:hAnsi="宋体" w:cs="宋体"/>
          <w:sz w:val="24"/>
        </w:rPr>
        <w:t>③测量并网点的电压，频率是否在逆变器的并网范围；</w:t>
      </w:r>
    </w:p>
    <w:p w14:paraId="083D96F2">
      <w:pPr>
        <w:spacing w:line="360" w:lineRule="auto"/>
        <w:ind w:firstLine="480" w:firstLineChars="200"/>
        <w:rPr>
          <w:rFonts w:ascii="宋体" w:hAnsi="宋体" w:cs="宋体"/>
          <w:sz w:val="24"/>
        </w:rPr>
      </w:pPr>
      <w:r>
        <w:rPr>
          <w:rFonts w:hint="eastAsia" w:ascii="宋体" w:hAnsi="宋体" w:cs="宋体"/>
          <w:sz w:val="24"/>
        </w:rPr>
        <w:t>④待以上测试完成并达到并网条件时，方可以进行并网调试；</w:t>
      </w:r>
    </w:p>
    <w:p w14:paraId="611B55CE">
      <w:pPr>
        <w:spacing w:line="360" w:lineRule="auto"/>
        <w:ind w:firstLine="480" w:firstLineChars="200"/>
        <w:rPr>
          <w:rFonts w:ascii="宋体" w:hAnsi="宋体" w:cs="宋体"/>
          <w:sz w:val="24"/>
        </w:rPr>
      </w:pPr>
      <w:r>
        <w:rPr>
          <w:rFonts w:hint="eastAsia" w:ascii="宋体" w:hAnsi="宋体" w:cs="宋体"/>
          <w:sz w:val="24"/>
        </w:rPr>
        <w:t>⑤将测试逆变器的输入输出隔离开关闭合，并将并网柜相应的断路器合上，观察并网电压及电流是否正常，查看逆变器各项参数是否正常，如此操作直到各个逆变器工作正常。</w:t>
      </w:r>
    </w:p>
    <w:p w14:paraId="001B456C">
      <w:pPr>
        <w:spacing w:line="360" w:lineRule="auto"/>
        <w:ind w:firstLine="480" w:firstLineChars="200"/>
        <w:rPr>
          <w:rFonts w:ascii="宋体" w:hAnsi="宋体" w:cs="宋体"/>
          <w:sz w:val="24"/>
        </w:rPr>
      </w:pPr>
      <w:r>
        <w:rPr>
          <w:rFonts w:hint="eastAsia" w:ascii="宋体" w:hAnsi="宋体" w:cs="宋体"/>
          <w:sz w:val="24"/>
        </w:rPr>
        <w:t>将所有逆变器连接上通讯线，同时连接上数据采集器及传感器，通过通讯线将数据采集器和PC机相连，运行通讯软件，监测光伏发电系统各项参数及指标是否正常，调整逆变器，数据采集器，监控软件的相关设置，使监控系统正常。</w:t>
      </w:r>
    </w:p>
    <w:p w14:paraId="06BD676F">
      <w:pPr>
        <w:spacing w:line="360" w:lineRule="auto"/>
        <w:ind w:firstLine="480" w:firstLineChars="200"/>
        <w:rPr>
          <w:rFonts w:ascii="宋体" w:hAnsi="宋体" w:cs="宋体"/>
          <w:sz w:val="24"/>
        </w:rPr>
      </w:pPr>
      <w:r>
        <w:rPr>
          <w:rFonts w:hint="eastAsia" w:ascii="宋体" w:hAnsi="宋体" w:cs="宋体"/>
          <w:sz w:val="24"/>
        </w:rPr>
        <w:t>启动系统设备，观察逆变器，并网柜是否正常工作；</w:t>
      </w:r>
    </w:p>
    <w:p w14:paraId="3233B6D7">
      <w:pPr>
        <w:spacing w:line="360" w:lineRule="auto"/>
        <w:ind w:firstLine="480" w:firstLineChars="200"/>
        <w:rPr>
          <w:rFonts w:ascii="宋体" w:hAnsi="宋体" w:cs="宋体"/>
          <w:sz w:val="24"/>
        </w:rPr>
      </w:pPr>
      <w:r>
        <w:rPr>
          <w:rFonts w:hint="eastAsia" w:ascii="宋体" w:hAnsi="宋体" w:cs="宋体"/>
          <w:sz w:val="24"/>
        </w:rPr>
        <w:t>检查监控软件是否正常显示光伏系统发电量，电压，频率等系统参数。</w:t>
      </w:r>
    </w:p>
    <w:p w14:paraId="68C92BFA">
      <w:pPr>
        <w:spacing w:line="360" w:lineRule="auto"/>
        <w:ind w:firstLine="480" w:firstLineChars="200"/>
        <w:rPr>
          <w:rFonts w:ascii="宋体" w:hAnsi="宋体" w:cs="宋体"/>
          <w:sz w:val="24"/>
        </w:rPr>
      </w:pPr>
      <w:r>
        <w:rPr>
          <w:rFonts w:hint="eastAsia" w:ascii="宋体" w:hAnsi="宋体" w:cs="宋体"/>
          <w:sz w:val="24"/>
        </w:rPr>
        <w:t>电能质量测试：上图所示电路是对光伏并网发电量系统测量的一个测试框图。如果电网的电压和频率的偏差可以保持在最高允许偏差的50%及以内，则“电压和频率可调的净化交流电源（模拟电网）”可以省略，直流将系统接入电网进行测试。</w:t>
      </w:r>
    </w:p>
    <w:p w14:paraId="48453312">
      <w:pPr>
        <w:spacing w:line="360" w:lineRule="auto"/>
        <w:ind w:firstLine="480" w:firstLineChars="200"/>
        <w:rPr>
          <w:rFonts w:ascii="宋体" w:hAnsi="宋体" w:cs="宋体"/>
          <w:sz w:val="24"/>
        </w:rPr>
      </w:pPr>
      <w:r>
        <w:rPr>
          <w:rFonts w:hint="eastAsia" w:ascii="宋体" w:hAnsi="宋体" w:cs="宋体"/>
          <w:sz w:val="24"/>
        </w:rPr>
        <w:t>（1）正常运行时，本光伏系统和电网接口处的电压允许偏差符合GB/T 12325-</w:t>
      </w:r>
      <w:r>
        <w:rPr>
          <w:rFonts w:hint="eastAsia" w:ascii="宋体" w:hAnsi="宋体" w:cs="宋体"/>
          <w:sz w:val="24"/>
          <w:lang w:val="en-US" w:eastAsia="zh-CN"/>
        </w:rPr>
        <w:t>2008</w:t>
      </w:r>
      <w:r>
        <w:rPr>
          <w:rFonts w:hint="eastAsia" w:ascii="宋体" w:hAnsi="宋体" w:cs="宋体"/>
          <w:sz w:val="24"/>
        </w:rPr>
        <w:t>的规定，三相电压的允许偏差为额定电压±7%，单相电压的允许偏差为额定电压的+7%、-10%。</w:t>
      </w:r>
    </w:p>
    <w:p w14:paraId="283A5AAE">
      <w:pPr>
        <w:spacing w:line="360" w:lineRule="auto"/>
        <w:ind w:firstLine="480" w:firstLineChars="200"/>
        <w:rPr>
          <w:rFonts w:ascii="宋体" w:hAnsi="宋体" w:cs="宋体"/>
          <w:sz w:val="24"/>
        </w:rPr>
      </w:pPr>
      <w:r>
        <w:rPr>
          <w:rFonts w:hint="eastAsia" w:ascii="宋体" w:hAnsi="宋体" w:cs="宋体"/>
          <w:sz w:val="24"/>
        </w:rPr>
        <w:t>（2）光伏系统与电网同步运行，电网额定频率为50Hz，光伏系统并网后的频率允许偏差符合GB/T 15945-1995的规定，即输出频率允许偏差为额定频率±0.5Hz。</w:t>
      </w:r>
    </w:p>
    <w:p w14:paraId="4431CA05">
      <w:pPr>
        <w:spacing w:line="360" w:lineRule="auto"/>
        <w:ind w:firstLine="480" w:firstLineChars="200"/>
        <w:rPr>
          <w:rFonts w:ascii="宋体" w:hAnsi="宋体" w:cs="宋体"/>
          <w:sz w:val="24"/>
        </w:rPr>
      </w:pPr>
      <w:r>
        <w:rPr>
          <w:rFonts w:hint="eastAsia" w:ascii="宋体" w:hAnsi="宋体" w:cs="宋体"/>
          <w:sz w:val="24"/>
        </w:rPr>
        <w:t>（3） 光伏系统工作时不应造成电网电压波形过度的畸变和导致注入电网过度的谐波电流。并网逆变器额定输出时，电流总谐波畸变限值小于逆变器额定输出的5%。</w:t>
      </w:r>
    </w:p>
    <w:p w14:paraId="56649CC4">
      <w:pPr>
        <w:spacing w:line="360" w:lineRule="auto"/>
        <w:ind w:firstLine="480" w:firstLineChars="200"/>
        <w:rPr>
          <w:rFonts w:ascii="宋体" w:hAnsi="宋体" w:cs="宋体"/>
          <w:sz w:val="24"/>
        </w:rPr>
      </w:pPr>
      <w:r>
        <w:rPr>
          <w:rFonts w:hint="eastAsia" w:ascii="宋体" w:hAnsi="宋体" w:cs="宋体"/>
          <w:sz w:val="24"/>
        </w:rPr>
        <w:t>（4）光伏系统的输出大于其额定输出的50%时，平均功率因数不小于0.9。</w:t>
      </w:r>
    </w:p>
    <w:p w14:paraId="09965EB7">
      <w:pPr>
        <w:spacing w:line="360" w:lineRule="auto"/>
        <w:ind w:firstLine="480" w:firstLineChars="200"/>
        <w:rPr>
          <w:rFonts w:ascii="宋体" w:hAnsi="宋体" w:cs="宋体"/>
          <w:sz w:val="24"/>
        </w:rPr>
      </w:pPr>
      <w:r>
        <w:rPr>
          <w:rFonts w:hint="eastAsia" w:ascii="宋体" w:hAnsi="宋体" w:cs="宋体"/>
          <w:sz w:val="24"/>
        </w:rPr>
        <w:t>（5）光伏系统并网运行时，电网接口处的三相电压不平衡度不超过GB/T 15543规定的数值，允许值为2%，短时不超过4%。</w:t>
      </w:r>
    </w:p>
    <w:p w14:paraId="56B02489">
      <w:pPr>
        <w:spacing w:line="360" w:lineRule="auto"/>
        <w:ind w:firstLine="480" w:firstLineChars="200"/>
        <w:rPr>
          <w:rFonts w:ascii="宋体" w:hAnsi="宋体" w:cs="宋体"/>
          <w:sz w:val="24"/>
        </w:rPr>
      </w:pPr>
      <w:r>
        <w:rPr>
          <w:rFonts w:hint="eastAsia" w:ascii="宋体" w:hAnsi="宋体" w:cs="宋体"/>
          <w:sz w:val="24"/>
        </w:rPr>
        <w:t>（6）光伏系统并网运行时，逆变器向电网馈送的直流电流分量不超过其交流额定值的1%。</w:t>
      </w:r>
    </w:p>
    <w:p w14:paraId="60456C9F">
      <w:pPr>
        <w:spacing w:line="360" w:lineRule="auto"/>
        <w:outlineLvl w:val="0"/>
        <w:rPr>
          <w:rFonts w:ascii="宋体" w:hAnsi="宋体" w:cs="宋体"/>
          <w:b/>
          <w:bCs/>
          <w:sz w:val="24"/>
        </w:rPr>
      </w:pPr>
      <w:bookmarkStart w:id="131" w:name="_Toc8394"/>
      <w:bookmarkStart w:id="132" w:name="_Toc29139"/>
      <w:bookmarkStart w:id="133" w:name="_Toc139"/>
      <w:r>
        <w:rPr>
          <w:rFonts w:hint="eastAsia" w:ascii="宋体" w:hAnsi="宋体" w:cs="宋体"/>
          <w:b/>
          <w:bCs/>
          <w:sz w:val="24"/>
        </w:rPr>
        <w:t>四、监理方法和措施</w:t>
      </w:r>
      <w:bookmarkEnd w:id="131"/>
      <w:bookmarkEnd w:id="132"/>
      <w:bookmarkEnd w:id="133"/>
    </w:p>
    <w:p w14:paraId="1DEC990B">
      <w:pPr>
        <w:spacing w:line="360" w:lineRule="auto"/>
        <w:outlineLvl w:val="1"/>
        <w:rPr>
          <w:rFonts w:ascii="宋体" w:hAnsi="宋体" w:cs="宋体"/>
          <w:b/>
          <w:bCs/>
          <w:sz w:val="24"/>
        </w:rPr>
      </w:pPr>
      <w:bookmarkStart w:id="134" w:name="_Toc16541"/>
      <w:bookmarkStart w:id="135" w:name="_Toc18000"/>
      <w:bookmarkStart w:id="136" w:name="_Toc21655"/>
      <w:r>
        <w:rPr>
          <w:rFonts w:hint="eastAsia" w:ascii="宋体" w:hAnsi="宋体" w:cs="宋体"/>
          <w:b/>
          <w:bCs/>
          <w:sz w:val="24"/>
        </w:rPr>
        <w:t>4.1质量控制</w:t>
      </w:r>
      <w:bookmarkEnd w:id="134"/>
      <w:bookmarkEnd w:id="135"/>
      <w:bookmarkEnd w:id="136"/>
    </w:p>
    <w:p w14:paraId="7CAAEBAA">
      <w:pPr>
        <w:spacing w:line="360" w:lineRule="auto"/>
        <w:ind w:firstLine="360" w:firstLineChars="150"/>
        <w:rPr>
          <w:rFonts w:ascii="宋体" w:hAnsi="宋体" w:cs="宋体"/>
          <w:sz w:val="24"/>
        </w:rPr>
      </w:pPr>
      <w:r>
        <w:rPr>
          <w:rFonts w:hint="eastAsia" w:ascii="宋体" w:hAnsi="宋体" w:cs="宋体"/>
          <w:sz w:val="24"/>
        </w:rPr>
        <w:t>1.制定监理实施细则;</w:t>
      </w:r>
    </w:p>
    <w:p w14:paraId="7708BC24">
      <w:pPr>
        <w:spacing w:line="360" w:lineRule="auto"/>
        <w:ind w:firstLine="360" w:firstLineChars="150"/>
        <w:rPr>
          <w:rFonts w:ascii="宋体" w:hAnsi="宋体" w:cs="宋体"/>
          <w:sz w:val="24"/>
        </w:rPr>
      </w:pPr>
      <w:r>
        <w:rPr>
          <w:rFonts w:hint="eastAsia" w:ascii="宋体" w:hAnsi="宋体" w:cs="宋体"/>
          <w:sz w:val="24"/>
        </w:rPr>
        <w:t>2.参加施工图纸的设计交底及专业会审;</w:t>
      </w:r>
    </w:p>
    <w:p w14:paraId="170F4A67">
      <w:pPr>
        <w:spacing w:line="360" w:lineRule="auto"/>
        <w:ind w:firstLine="360" w:firstLineChars="150"/>
        <w:rPr>
          <w:rFonts w:ascii="宋体" w:hAnsi="宋体" w:cs="宋体"/>
          <w:sz w:val="24"/>
        </w:rPr>
      </w:pPr>
      <w:r>
        <w:rPr>
          <w:rFonts w:hint="eastAsia" w:ascii="宋体" w:hAnsi="宋体" w:cs="宋体"/>
          <w:sz w:val="24"/>
        </w:rPr>
        <w:t>3.检查设计变更.设备缺陷处理的执行情况;</w:t>
      </w:r>
    </w:p>
    <w:p w14:paraId="6FAB5025">
      <w:pPr>
        <w:spacing w:line="360" w:lineRule="auto"/>
        <w:ind w:firstLine="360" w:firstLineChars="150"/>
        <w:rPr>
          <w:rFonts w:ascii="宋体" w:hAnsi="宋体" w:cs="宋体"/>
          <w:sz w:val="24"/>
        </w:rPr>
      </w:pPr>
      <w:r>
        <w:rPr>
          <w:rFonts w:hint="eastAsia" w:ascii="宋体" w:hAnsi="宋体" w:cs="宋体"/>
          <w:sz w:val="24"/>
        </w:rPr>
        <w:t>4.审查原材料.半成品.外购件的出厂合格证明,按有关规定需进行复验的项目,审查施工单位的复验报告;</w:t>
      </w:r>
    </w:p>
    <w:p w14:paraId="4AE2ECA8">
      <w:pPr>
        <w:spacing w:line="360" w:lineRule="auto"/>
        <w:ind w:firstLine="360" w:firstLineChars="150"/>
        <w:rPr>
          <w:rFonts w:ascii="宋体" w:hAnsi="宋体" w:cs="宋体"/>
          <w:sz w:val="24"/>
        </w:rPr>
      </w:pPr>
      <w:r>
        <w:rPr>
          <w:rFonts w:hint="eastAsia" w:ascii="宋体" w:hAnsi="宋体" w:cs="宋体"/>
          <w:sz w:val="24"/>
        </w:rPr>
        <w:t>5. 审查本工程采用的新技术.新材料.新工艺的技术鉴定文件和试验报告;</w:t>
      </w:r>
    </w:p>
    <w:p w14:paraId="0C639077">
      <w:pPr>
        <w:spacing w:line="360" w:lineRule="auto"/>
        <w:ind w:firstLine="360" w:firstLineChars="150"/>
        <w:rPr>
          <w:rFonts w:ascii="宋体" w:hAnsi="宋体" w:cs="宋体"/>
          <w:sz w:val="24"/>
        </w:rPr>
      </w:pPr>
      <w:r>
        <w:rPr>
          <w:rFonts w:hint="eastAsia" w:ascii="宋体" w:hAnsi="宋体" w:cs="宋体"/>
          <w:sz w:val="24"/>
        </w:rPr>
        <w:t>6.配合质监站组织好阶段性质质监检查, 配合质监站对重大项目做好质监中心站的迎检工作;</w:t>
      </w:r>
    </w:p>
    <w:p w14:paraId="4C9E7310">
      <w:pPr>
        <w:spacing w:line="360" w:lineRule="auto"/>
        <w:ind w:firstLine="360" w:firstLineChars="150"/>
        <w:rPr>
          <w:rFonts w:ascii="宋体" w:hAnsi="宋体" w:cs="宋体"/>
          <w:sz w:val="24"/>
        </w:rPr>
      </w:pPr>
      <w:r>
        <w:rPr>
          <w:rFonts w:hint="eastAsia" w:ascii="宋体" w:hAnsi="宋体" w:cs="宋体"/>
          <w:sz w:val="24"/>
        </w:rPr>
        <w:t>7.对施工队伍所完成的工作量进行审核;</w:t>
      </w:r>
    </w:p>
    <w:p w14:paraId="2B519610">
      <w:pPr>
        <w:spacing w:line="360" w:lineRule="auto"/>
        <w:ind w:firstLine="360" w:firstLineChars="150"/>
        <w:rPr>
          <w:rFonts w:ascii="宋体" w:hAnsi="宋体" w:cs="宋体"/>
          <w:sz w:val="24"/>
        </w:rPr>
      </w:pPr>
      <w:r>
        <w:rPr>
          <w:rFonts w:hint="eastAsia" w:ascii="宋体" w:hAnsi="宋体" w:cs="宋体"/>
          <w:sz w:val="24"/>
        </w:rPr>
        <w:t>8.对单位工程或单项工程的施工过程监理:</w:t>
      </w:r>
    </w:p>
    <w:p w14:paraId="14F128F1">
      <w:pPr>
        <w:spacing w:line="360" w:lineRule="auto"/>
        <w:ind w:firstLine="360" w:firstLineChars="150"/>
        <w:rPr>
          <w:rFonts w:ascii="宋体" w:hAnsi="宋体" w:cs="宋体"/>
          <w:sz w:val="24"/>
        </w:rPr>
      </w:pPr>
      <w:r>
        <w:rPr>
          <w:rFonts w:hint="eastAsia" w:ascii="宋体" w:hAnsi="宋体" w:cs="宋体"/>
          <w:sz w:val="24"/>
        </w:rPr>
        <w:t>8.1.审查开工报告.施工作业指导书等技术文件及施工准备情况;</w:t>
      </w:r>
    </w:p>
    <w:p w14:paraId="401FEC66">
      <w:pPr>
        <w:spacing w:line="360" w:lineRule="auto"/>
        <w:ind w:firstLine="360" w:firstLineChars="150"/>
        <w:rPr>
          <w:rFonts w:ascii="宋体" w:hAnsi="宋体" w:cs="宋体"/>
          <w:sz w:val="24"/>
        </w:rPr>
      </w:pPr>
      <w:r>
        <w:rPr>
          <w:rFonts w:hint="eastAsia" w:ascii="宋体" w:hAnsi="宋体" w:cs="宋体"/>
          <w:sz w:val="24"/>
        </w:rPr>
        <w:t>8.2.对开工项目施工现场进行巡检,对重要工序实施旁站见证;</w:t>
      </w:r>
    </w:p>
    <w:p w14:paraId="623F2A68">
      <w:pPr>
        <w:spacing w:line="360" w:lineRule="auto"/>
        <w:ind w:firstLine="360" w:firstLineChars="150"/>
        <w:rPr>
          <w:rFonts w:ascii="宋体" w:hAnsi="宋体" w:cs="宋体"/>
          <w:sz w:val="24"/>
        </w:rPr>
      </w:pPr>
      <w:r>
        <w:rPr>
          <w:rFonts w:hint="eastAsia" w:ascii="宋体" w:hAnsi="宋体" w:cs="宋体"/>
          <w:sz w:val="24"/>
        </w:rPr>
        <w:t>8.3.对隐蔽工序进行检查签证（并及时记录在案）,发现问题,及时提出整改意见;</w:t>
      </w:r>
    </w:p>
    <w:p w14:paraId="756528BC">
      <w:pPr>
        <w:spacing w:line="360" w:lineRule="auto"/>
        <w:ind w:firstLine="360" w:firstLineChars="150"/>
        <w:rPr>
          <w:rFonts w:ascii="宋体" w:hAnsi="宋体" w:cs="宋体"/>
          <w:sz w:val="24"/>
        </w:rPr>
      </w:pPr>
      <w:r>
        <w:rPr>
          <w:rFonts w:hint="eastAsia" w:ascii="宋体" w:hAnsi="宋体" w:cs="宋体"/>
          <w:sz w:val="24"/>
        </w:rPr>
        <w:t>8.4.项目完工,按有关技术文件.规范和标准要求进行四级质量检查验收并办理签证.(注意要求施工单位提供相邻两个接地引下线之间回路电阻测试记录)</w:t>
      </w:r>
    </w:p>
    <w:p w14:paraId="7FA6A402">
      <w:pPr>
        <w:spacing w:line="360" w:lineRule="auto"/>
        <w:ind w:firstLine="360" w:firstLineChars="150"/>
        <w:rPr>
          <w:rFonts w:ascii="宋体" w:hAnsi="宋体" w:cs="宋体"/>
          <w:sz w:val="24"/>
        </w:rPr>
      </w:pPr>
      <w:r>
        <w:rPr>
          <w:rFonts w:hint="eastAsia" w:ascii="宋体" w:hAnsi="宋体" w:cs="宋体"/>
          <w:sz w:val="24"/>
        </w:rPr>
        <w:t>9.检查安全文明施工情况，特别需注意不同施工单位、同一施工单位不同施工部门间施工成品及半成品保护；加强现场巡视.</w:t>
      </w:r>
    </w:p>
    <w:p w14:paraId="6C98B3AB">
      <w:pPr>
        <w:spacing w:line="360" w:lineRule="auto"/>
        <w:ind w:firstLine="240" w:firstLineChars="100"/>
        <w:rPr>
          <w:rFonts w:ascii="宋体" w:hAnsi="宋体" w:cs="宋体"/>
          <w:sz w:val="24"/>
        </w:rPr>
      </w:pPr>
      <w:r>
        <w:rPr>
          <w:rFonts w:hint="eastAsia" w:ascii="宋体" w:hAnsi="宋体" w:cs="宋体"/>
          <w:sz w:val="24"/>
        </w:rPr>
        <w:t>10.工程协调</w:t>
      </w:r>
    </w:p>
    <w:p w14:paraId="44EF5BED">
      <w:pPr>
        <w:spacing w:line="360" w:lineRule="auto"/>
        <w:ind w:firstLine="570"/>
        <w:rPr>
          <w:rFonts w:ascii="宋体" w:hAnsi="宋体" w:cs="宋体"/>
          <w:sz w:val="24"/>
        </w:rPr>
      </w:pPr>
      <w:r>
        <w:rPr>
          <w:rFonts w:hint="eastAsia" w:ascii="宋体" w:hAnsi="宋体" w:cs="宋体"/>
          <w:sz w:val="24"/>
        </w:rPr>
        <w:t>监理工程师通过专业工程协调会.往来文件.现场协商等方法来处理施工中发生的各种问题;专业协调无法解决,及时向总监汇报,提请上一级处理.</w:t>
      </w:r>
    </w:p>
    <w:p w14:paraId="29450954">
      <w:pPr>
        <w:spacing w:line="360" w:lineRule="auto"/>
        <w:ind w:firstLine="240" w:firstLineChars="100"/>
        <w:rPr>
          <w:rFonts w:ascii="宋体" w:hAnsi="宋体" w:cs="宋体"/>
          <w:sz w:val="24"/>
        </w:rPr>
      </w:pPr>
      <w:r>
        <w:rPr>
          <w:rFonts w:hint="eastAsia" w:ascii="宋体" w:hAnsi="宋体" w:cs="宋体"/>
          <w:sz w:val="24"/>
        </w:rPr>
        <w:t>11.质量问题处理</w:t>
      </w:r>
    </w:p>
    <w:p w14:paraId="67A7B899">
      <w:pPr>
        <w:spacing w:line="360" w:lineRule="auto"/>
        <w:ind w:firstLine="570"/>
        <w:rPr>
          <w:rFonts w:ascii="宋体" w:hAnsi="宋体" w:cs="宋体"/>
          <w:sz w:val="24"/>
        </w:rPr>
      </w:pPr>
      <w:r>
        <w:rPr>
          <w:rFonts w:hint="eastAsia" w:ascii="宋体" w:hAnsi="宋体" w:cs="宋体"/>
          <w:sz w:val="24"/>
        </w:rPr>
        <w:t>对现场发生的一般性质量问题(包括质量通病), 监理工程师除口头提请施工单位注意,并通过监理备忘录. 监理工程师通知等书面文件,要求施工单位进行整改.</w:t>
      </w:r>
    </w:p>
    <w:p w14:paraId="25A771C0">
      <w:pPr>
        <w:spacing w:line="360" w:lineRule="auto"/>
        <w:ind w:firstLine="570"/>
        <w:rPr>
          <w:rFonts w:ascii="宋体" w:hAnsi="宋体" w:cs="宋体"/>
          <w:sz w:val="24"/>
        </w:rPr>
      </w:pPr>
      <w:r>
        <w:rPr>
          <w:rFonts w:hint="eastAsia" w:ascii="宋体" w:hAnsi="宋体" w:cs="宋体"/>
          <w:sz w:val="24"/>
        </w:rPr>
        <w:t>对现场发生的一般质量事故, 除向总监和甲方汇报外,组织或参加事故原因分析会,并监督施工单位按一般质量事故处理程序对事故做出处理.</w:t>
      </w:r>
    </w:p>
    <w:p w14:paraId="03A52FCE">
      <w:pPr>
        <w:spacing w:line="360" w:lineRule="auto"/>
        <w:ind w:firstLine="570"/>
        <w:rPr>
          <w:rFonts w:ascii="宋体" w:hAnsi="宋体" w:cs="宋体"/>
          <w:sz w:val="24"/>
        </w:rPr>
      </w:pPr>
      <w:r>
        <w:rPr>
          <w:rFonts w:hint="eastAsia" w:ascii="宋体" w:hAnsi="宋体" w:cs="宋体"/>
          <w:sz w:val="24"/>
        </w:rPr>
        <w:t>现场发生重大质量事故,除积极协助施工单位保护事故现场和采取措施避免事故进一步扩大外,立即向总监报告.</w:t>
      </w:r>
    </w:p>
    <w:p w14:paraId="5B72DB42">
      <w:pPr>
        <w:spacing w:line="360" w:lineRule="auto"/>
        <w:ind w:firstLine="360" w:firstLineChars="150"/>
        <w:rPr>
          <w:rFonts w:ascii="宋体" w:hAnsi="宋体" w:cs="宋体"/>
          <w:sz w:val="24"/>
        </w:rPr>
      </w:pPr>
      <w:r>
        <w:rPr>
          <w:rFonts w:hint="eastAsia" w:ascii="宋体" w:hAnsi="宋体" w:cs="宋体"/>
          <w:sz w:val="24"/>
        </w:rPr>
        <w:t>12.往来文件处理</w:t>
      </w:r>
    </w:p>
    <w:p w14:paraId="123E0FC1">
      <w:pPr>
        <w:spacing w:line="360" w:lineRule="auto"/>
        <w:ind w:firstLine="570"/>
        <w:rPr>
          <w:rFonts w:ascii="宋体" w:hAnsi="宋体" w:cs="宋体"/>
          <w:sz w:val="24"/>
        </w:rPr>
      </w:pPr>
      <w:r>
        <w:rPr>
          <w:rFonts w:hint="eastAsia" w:ascii="宋体" w:hAnsi="宋体" w:cs="宋体"/>
          <w:sz w:val="24"/>
        </w:rPr>
        <w:t>监理工程师收到有关单位发送来的工程文件,凡属监理工作范围,均由监理工程师负责协调处理,并在第二个工作日内做出反应,特殊情况可酌情延迟.</w:t>
      </w:r>
    </w:p>
    <w:p w14:paraId="2A11C427">
      <w:pPr>
        <w:spacing w:line="360" w:lineRule="auto"/>
        <w:outlineLvl w:val="1"/>
        <w:rPr>
          <w:rFonts w:ascii="宋体" w:hAnsi="宋体" w:cs="宋体"/>
          <w:b/>
          <w:sz w:val="24"/>
        </w:rPr>
      </w:pPr>
      <w:bookmarkStart w:id="137" w:name="_Toc27654"/>
      <w:bookmarkStart w:id="138" w:name="_Toc2142"/>
      <w:bookmarkStart w:id="139" w:name="_Toc4226"/>
      <w:r>
        <w:rPr>
          <w:rFonts w:hint="eastAsia" w:ascii="宋体" w:hAnsi="宋体" w:cs="宋体"/>
          <w:b/>
          <w:sz w:val="24"/>
        </w:rPr>
        <w:t>4.2进度控制</w:t>
      </w:r>
      <w:bookmarkEnd w:id="137"/>
      <w:bookmarkEnd w:id="138"/>
      <w:bookmarkEnd w:id="139"/>
    </w:p>
    <w:p w14:paraId="2D5B18D0">
      <w:pPr>
        <w:spacing w:line="360" w:lineRule="auto"/>
        <w:ind w:firstLine="480" w:firstLineChars="200"/>
        <w:rPr>
          <w:rFonts w:ascii="宋体" w:hAnsi="宋体" w:cs="宋体"/>
          <w:sz w:val="24"/>
        </w:rPr>
      </w:pPr>
      <w:r>
        <w:rPr>
          <w:rFonts w:hint="eastAsia" w:ascii="宋体" w:hAnsi="宋体" w:cs="宋体"/>
          <w:sz w:val="24"/>
        </w:rPr>
        <w:t xml:space="preserve">监理人员应依据施工合同的有关条款、施工组织设计，制定进度控制方案，对进度目标进行风险分析，及时发现实际进度与计划进度的差异，提请承包单位采取补救措施，以便进行纠偏。 </w:t>
      </w:r>
    </w:p>
    <w:p w14:paraId="732BF4EC">
      <w:pPr>
        <w:pStyle w:val="11"/>
        <w:spacing w:before="0" w:beforeAutospacing="0" w:after="0" w:afterAutospacing="0" w:line="360" w:lineRule="auto"/>
        <w:ind w:left="480" w:hanging="480" w:hangingChars="200"/>
      </w:pPr>
      <w:r>
        <w:rPr>
          <w:rFonts w:hint="eastAsia"/>
        </w:rPr>
        <w:t>1、审查施工单位编制的施工组织设计，要求编制网络计划，并切实要求施工单位按计划组织施工。</w:t>
      </w:r>
    </w:p>
    <w:p w14:paraId="54BCC9B4">
      <w:pPr>
        <w:pStyle w:val="11"/>
        <w:spacing w:before="0" w:beforeAutospacing="0" w:after="0" w:afterAutospacing="0" w:line="360" w:lineRule="auto"/>
        <w:ind w:left="360" w:hanging="360" w:hangingChars="150"/>
      </w:pPr>
      <w:r>
        <w:rPr>
          <w:rFonts w:hint="eastAsia"/>
        </w:rPr>
        <w:t>2、结合工程具体情况，在编制的综合网络计划的基础上，审理主要工作项目的阶段性计划控制目标，确保本细则覆盖范围内工程节点不转化成关键节点，不影响关键途径的按期实现，从而确保工程综合进度的实施，确保进度总目标的实现。</w:t>
      </w:r>
    </w:p>
    <w:p w14:paraId="527DE06A">
      <w:pPr>
        <w:pStyle w:val="11"/>
        <w:spacing w:before="0" w:beforeAutospacing="0" w:after="0" w:afterAutospacing="0" w:line="360" w:lineRule="auto"/>
        <w:ind w:left="480" w:hanging="480" w:hangingChars="200"/>
      </w:pPr>
      <w:r>
        <w:rPr>
          <w:rFonts w:hint="eastAsia"/>
        </w:rPr>
        <w:t>3、审查施工单位编制的月度进度计划，对照二级进度检查图纸，施工材料的供应计划和施工质量等可能对工程进度产生影响的各种因素，提出预控措施。</w:t>
      </w:r>
    </w:p>
    <w:p w14:paraId="61602038">
      <w:pPr>
        <w:pStyle w:val="11"/>
        <w:spacing w:before="0" w:beforeAutospacing="0" w:after="0" w:afterAutospacing="0" w:line="360" w:lineRule="auto"/>
        <w:ind w:left="480" w:hanging="480" w:hangingChars="200"/>
      </w:pPr>
      <w:r>
        <w:rPr>
          <w:rFonts w:hint="eastAsia"/>
        </w:rPr>
        <w:t>4、对施工进度定期进行盘点，及时发现实际进度与计划产生的差异，分析差异产生的原因及各种不利因素，提请有关单位采取补救措施或研究对策以便进行纠偏。当实际进度严重滞后于计划进度时，及时向总监报告，以便总监与建设单位商定采取进一步措施。</w:t>
      </w:r>
    </w:p>
    <w:p w14:paraId="26039A3D">
      <w:pPr>
        <w:pStyle w:val="11"/>
        <w:spacing w:before="0" w:beforeAutospacing="0" w:after="0" w:afterAutospacing="0" w:line="360" w:lineRule="auto"/>
        <w:ind w:left="480" w:hanging="480" w:hangingChars="200"/>
      </w:pPr>
      <w:r>
        <w:rPr>
          <w:rFonts w:hint="eastAsia"/>
        </w:rPr>
        <w:t>5、检查施工单位落实劳动力，机具设备，周转材料，原材料和设备的供应情况。</w:t>
      </w:r>
    </w:p>
    <w:p w14:paraId="23124408">
      <w:pPr>
        <w:pStyle w:val="11"/>
        <w:spacing w:before="0" w:beforeAutospacing="0" w:after="0" w:afterAutospacing="0" w:line="360" w:lineRule="auto"/>
        <w:ind w:left="480" w:hanging="480" w:hangingChars="200"/>
      </w:pPr>
      <w:r>
        <w:rPr>
          <w:rFonts w:hint="eastAsia"/>
        </w:rPr>
        <w:t>6、组织或参加施工专业协调会议，检查工程计划的执行情况，协调解决现场各单位之间需要协调配合的问题，督促施工单位按进度计划进行施工，力保每个环节都能如期进行。</w:t>
      </w:r>
      <w:bookmarkStart w:id="140" w:name="_Toc681235"/>
      <w:bookmarkStart w:id="141" w:name="_Toc54083407"/>
    </w:p>
    <w:bookmarkEnd w:id="140"/>
    <w:bookmarkEnd w:id="141"/>
    <w:p w14:paraId="65968DE7">
      <w:pPr>
        <w:pStyle w:val="2"/>
        <w:adjustRightInd w:val="0"/>
        <w:snapToGrid w:val="0"/>
        <w:spacing w:before="156" w:beforeLines="50" w:after="0" w:line="360" w:lineRule="auto"/>
        <w:rPr>
          <w:rFonts w:ascii="宋体" w:hAnsi="宋体" w:cs="宋体"/>
          <w:sz w:val="24"/>
          <w:szCs w:val="24"/>
        </w:rPr>
      </w:pPr>
      <w:bookmarkStart w:id="142" w:name="_Toc26144"/>
      <w:bookmarkStart w:id="143" w:name="_Toc26314"/>
      <w:bookmarkStart w:id="144" w:name="_Toc24433"/>
      <w:bookmarkStart w:id="145" w:name="_Toc21788"/>
      <w:r>
        <w:rPr>
          <w:rFonts w:hint="eastAsia" w:ascii="宋体" w:hAnsi="宋体" w:cs="宋体"/>
          <w:sz w:val="24"/>
          <w:szCs w:val="24"/>
        </w:rPr>
        <w:t>五、安全管理</w:t>
      </w:r>
      <w:bookmarkEnd w:id="142"/>
      <w:bookmarkEnd w:id="143"/>
      <w:bookmarkEnd w:id="144"/>
      <w:bookmarkEnd w:id="145"/>
    </w:p>
    <w:p w14:paraId="39A54216">
      <w:pPr>
        <w:spacing w:line="360" w:lineRule="auto"/>
        <w:ind w:left="480" w:hanging="480" w:hangingChars="200"/>
        <w:rPr>
          <w:rFonts w:ascii="宋体" w:hAnsi="宋体" w:cs="宋体"/>
          <w:sz w:val="24"/>
        </w:rPr>
      </w:pPr>
      <w:r>
        <w:rPr>
          <w:rFonts w:hint="eastAsia" w:ascii="宋体" w:hAnsi="宋体" w:cs="宋体"/>
          <w:sz w:val="24"/>
        </w:rPr>
        <w:t>1、监理人员必须树立“安全第一、预防为主”的思想，督促施工单位做好预防频发性事故措施，杜绝恶性事故的发生。</w:t>
      </w:r>
    </w:p>
    <w:p w14:paraId="292ECC3A">
      <w:pPr>
        <w:spacing w:line="360" w:lineRule="auto"/>
        <w:ind w:left="480" w:hanging="480" w:hangingChars="200"/>
        <w:rPr>
          <w:rFonts w:ascii="宋体" w:hAnsi="宋体" w:cs="宋体"/>
          <w:sz w:val="24"/>
        </w:rPr>
      </w:pPr>
      <w:r>
        <w:rPr>
          <w:rFonts w:hint="eastAsia" w:ascii="宋体" w:hAnsi="宋体" w:cs="宋体"/>
          <w:sz w:val="24"/>
        </w:rPr>
        <w:t>2、监理安全工作可以结合质量控制同步进行，并做好监理人员自身的安全保护工作。</w:t>
      </w:r>
    </w:p>
    <w:p w14:paraId="6B7D6399">
      <w:pPr>
        <w:spacing w:line="360" w:lineRule="auto"/>
        <w:ind w:left="480" w:hanging="480" w:hangingChars="200"/>
        <w:rPr>
          <w:rFonts w:ascii="宋体" w:hAnsi="宋体" w:cs="宋体"/>
          <w:sz w:val="24"/>
        </w:rPr>
      </w:pPr>
      <w:r>
        <w:rPr>
          <w:rFonts w:hint="eastAsia" w:ascii="宋体" w:hAnsi="宋体" w:cs="宋体"/>
          <w:sz w:val="24"/>
        </w:rPr>
        <w:t>3、专业监理工程师安全控制预控重点为审核承建单位报审施工组织设计和施工。</w:t>
      </w:r>
    </w:p>
    <w:p w14:paraId="207A9322">
      <w:pPr>
        <w:spacing w:line="360" w:lineRule="auto"/>
        <w:ind w:left="480" w:hanging="480" w:hangingChars="200"/>
        <w:rPr>
          <w:rFonts w:ascii="宋体" w:hAnsi="宋体" w:cs="宋体"/>
          <w:sz w:val="24"/>
        </w:rPr>
      </w:pPr>
      <w:r>
        <w:rPr>
          <w:rFonts w:hint="eastAsia" w:ascii="宋体" w:hAnsi="宋体" w:cs="宋体"/>
          <w:sz w:val="24"/>
        </w:rPr>
        <w:t>4、作业指导书中有关安全技术措施是否正确、完整和全面。施工过程中监督安全技术措施的实施。</w:t>
      </w:r>
    </w:p>
    <w:p w14:paraId="358A5BB8">
      <w:pPr>
        <w:spacing w:line="360" w:lineRule="auto"/>
        <w:rPr>
          <w:rFonts w:ascii="宋体" w:hAnsi="宋体" w:cs="宋体"/>
          <w:sz w:val="24"/>
        </w:rPr>
      </w:pPr>
      <w:r>
        <w:rPr>
          <w:rFonts w:hint="eastAsia" w:ascii="宋体" w:hAnsi="宋体" w:cs="宋体"/>
          <w:sz w:val="24"/>
        </w:rPr>
        <w:t>5、监督检查施工单位在施工前的安全技术交底和交底记录。</w:t>
      </w:r>
    </w:p>
    <w:p w14:paraId="1B9FC513">
      <w:pPr>
        <w:spacing w:line="360" w:lineRule="auto"/>
        <w:ind w:left="480" w:hanging="480" w:hangingChars="200"/>
        <w:rPr>
          <w:rFonts w:ascii="宋体" w:hAnsi="宋体" w:cs="宋体"/>
          <w:sz w:val="24"/>
        </w:rPr>
      </w:pPr>
      <w:r>
        <w:rPr>
          <w:rFonts w:hint="eastAsia" w:ascii="宋体" w:hAnsi="宋体" w:cs="宋体"/>
          <w:sz w:val="24"/>
        </w:rPr>
        <w:t>6、施工过程中的现场巡视、现场旁站、见证检验均应以贯彻落实安全措施为首要目标。</w:t>
      </w:r>
    </w:p>
    <w:p w14:paraId="3510DEB6">
      <w:pPr>
        <w:spacing w:line="360" w:lineRule="auto"/>
        <w:ind w:left="480" w:hanging="480" w:hangingChars="200"/>
        <w:rPr>
          <w:rFonts w:ascii="宋体" w:hAnsi="宋体" w:cs="宋体"/>
          <w:sz w:val="24"/>
        </w:rPr>
      </w:pPr>
      <w:r>
        <w:rPr>
          <w:rFonts w:hint="eastAsia" w:ascii="宋体" w:hAnsi="宋体" w:cs="宋体"/>
          <w:sz w:val="24"/>
        </w:rPr>
        <w:t>7、现场检查发现安全问题及安全隐患，责令其立即整改并消除隐患。发现违章作业，专业监理工程师和安全监理员均应及时纠正；发生严重违章，并可能导致重大安全事故时，有权发布停工指令。</w:t>
      </w:r>
    </w:p>
    <w:p w14:paraId="23A6206D">
      <w:pPr>
        <w:spacing w:line="360" w:lineRule="auto"/>
        <w:rPr>
          <w:rFonts w:ascii="宋体" w:hAnsi="宋体" w:cs="宋体"/>
          <w:sz w:val="24"/>
        </w:rPr>
      </w:pPr>
      <w:r>
        <w:rPr>
          <w:rFonts w:hint="eastAsia" w:ascii="宋体" w:hAnsi="宋体" w:cs="宋体"/>
          <w:sz w:val="24"/>
        </w:rPr>
        <w:t>8 、督促施工中安全防火措施的落实、执行。</w:t>
      </w:r>
    </w:p>
    <w:p w14:paraId="13F87AF7">
      <w:pPr>
        <w:spacing w:line="360" w:lineRule="auto"/>
        <w:rPr>
          <w:rFonts w:ascii="宋体" w:hAnsi="宋体" w:cs="宋体"/>
          <w:sz w:val="24"/>
        </w:rPr>
      </w:pPr>
      <w:r>
        <w:rPr>
          <w:rFonts w:hint="eastAsia" w:ascii="宋体" w:hAnsi="宋体" w:cs="宋体"/>
          <w:sz w:val="24"/>
        </w:rPr>
        <w:t>9 、督促检查施工中防止高空坠落安全措施并督促执行。</w:t>
      </w:r>
    </w:p>
    <w:p w14:paraId="2A8577E4">
      <w:pPr>
        <w:spacing w:line="360" w:lineRule="auto"/>
        <w:ind w:left="600" w:hanging="600" w:hangingChars="250"/>
        <w:rPr>
          <w:rFonts w:ascii="宋体" w:hAnsi="宋体" w:cs="宋体"/>
          <w:sz w:val="24"/>
        </w:rPr>
      </w:pPr>
      <w:r>
        <w:rPr>
          <w:rFonts w:hint="eastAsia" w:ascii="宋体" w:hAnsi="宋体" w:cs="宋体"/>
          <w:sz w:val="24"/>
        </w:rPr>
        <w:t xml:space="preserve">10、安全控制的日常工作（控制施工人员不安全行为）由监理安全员为主。 </w:t>
      </w:r>
    </w:p>
    <w:p w14:paraId="6C6AFFE4">
      <w:pPr>
        <w:spacing w:line="360" w:lineRule="auto"/>
        <w:ind w:left="600" w:hanging="600" w:hangingChars="250"/>
        <w:rPr>
          <w:rFonts w:ascii="宋体" w:hAnsi="宋体" w:cs="宋体"/>
          <w:sz w:val="24"/>
        </w:rPr>
      </w:pPr>
      <w:r>
        <w:rPr>
          <w:rFonts w:hint="eastAsia" w:ascii="宋体" w:hAnsi="宋体" w:cs="宋体"/>
          <w:sz w:val="24"/>
        </w:rPr>
        <w:t>11、起重设备未经负荷试验验收合格，不得使用，操作人员必须要有上岗合格证件，其它人员不得擅自使用。负荷试验必须按照规范及施工作业指导书的要求进行。</w:t>
      </w:r>
    </w:p>
    <w:p w14:paraId="0946236B">
      <w:pPr>
        <w:spacing w:line="360" w:lineRule="auto"/>
        <w:ind w:left="600" w:hanging="600" w:hangingChars="250"/>
        <w:rPr>
          <w:rFonts w:ascii="宋体" w:hAnsi="宋体" w:cs="宋体"/>
          <w:sz w:val="24"/>
        </w:rPr>
      </w:pPr>
      <w:r>
        <w:rPr>
          <w:rFonts w:hint="eastAsia" w:ascii="宋体" w:hAnsi="宋体" w:cs="宋体"/>
          <w:sz w:val="24"/>
        </w:rPr>
        <w:t>12 、严格执行安全文明施工规定，每天必须把施工区域内清扫干净，做到工完、料尽、场地清。</w:t>
      </w:r>
    </w:p>
    <w:p w14:paraId="0330B822">
      <w:pPr>
        <w:spacing w:line="360" w:lineRule="auto"/>
        <w:ind w:left="600" w:hanging="600" w:hangingChars="250"/>
        <w:rPr>
          <w:rFonts w:ascii="宋体" w:hAnsi="宋体" w:cs="宋体"/>
          <w:sz w:val="24"/>
        </w:rPr>
      </w:pPr>
      <w:r>
        <w:rPr>
          <w:rFonts w:hint="eastAsia" w:ascii="宋体" w:hAnsi="宋体" w:cs="宋体"/>
          <w:sz w:val="24"/>
        </w:rPr>
        <w:t>13 、监督安装人员采取以下防触电措施：</w:t>
      </w:r>
    </w:p>
    <w:p w14:paraId="2BA4B8E8">
      <w:pPr>
        <w:spacing w:line="360" w:lineRule="auto"/>
        <w:ind w:left="600" w:hanging="600" w:hangingChars="250"/>
        <w:rPr>
          <w:rFonts w:ascii="宋体" w:hAnsi="宋体" w:cs="宋体"/>
          <w:sz w:val="24"/>
        </w:rPr>
      </w:pPr>
      <w:r>
        <w:rPr>
          <w:rFonts w:hint="eastAsia" w:ascii="宋体" w:hAnsi="宋体" w:cs="宋体"/>
          <w:sz w:val="24"/>
        </w:rPr>
        <w:t xml:space="preserve">     1、穿绝缘鞋、带低压绝缘手套，使用绝缘工具；</w:t>
      </w:r>
    </w:p>
    <w:p w14:paraId="3E1605A5">
      <w:pPr>
        <w:spacing w:line="360" w:lineRule="auto"/>
        <w:ind w:left="600" w:hanging="600" w:hangingChars="250"/>
        <w:rPr>
          <w:rFonts w:ascii="宋体" w:hAnsi="宋体" w:cs="宋体"/>
          <w:sz w:val="24"/>
        </w:rPr>
      </w:pPr>
      <w:r>
        <w:rPr>
          <w:rFonts w:hint="eastAsia" w:ascii="宋体" w:hAnsi="宋体" w:cs="宋体"/>
          <w:sz w:val="24"/>
        </w:rPr>
        <w:t xml:space="preserve">    2、在建筑场地安装光伏系统时，应保护和隔离安装位置上空的架空电线；</w:t>
      </w:r>
    </w:p>
    <w:p w14:paraId="3E34779A">
      <w:pPr>
        <w:spacing w:line="360" w:lineRule="auto"/>
        <w:ind w:left="600" w:hanging="600" w:hangingChars="250"/>
        <w:rPr>
          <w:rFonts w:ascii="宋体" w:hAnsi="宋体" w:cs="宋体"/>
          <w:sz w:val="24"/>
        </w:rPr>
      </w:pPr>
      <w:r>
        <w:rPr>
          <w:rFonts w:hint="eastAsia" w:ascii="宋体" w:hAnsi="宋体" w:cs="宋体"/>
          <w:sz w:val="24"/>
        </w:rPr>
        <w:t xml:space="preserve">    3、不应在雨、雪和大风天气作业。</w:t>
      </w:r>
    </w:p>
    <w:p w14:paraId="217FB90D">
      <w:pPr>
        <w:pStyle w:val="2"/>
        <w:adjustRightInd w:val="0"/>
        <w:snapToGrid w:val="0"/>
        <w:spacing w:before="156" w:beforeLines="50" w:after="0" w:line="360" w:lineRule="auto"/>
        <w:rPr>
          <w:rFonts w:ascii="宋体" w:hAnsi="宋体" w:cs="宋体"/>
          <w:sz w:val="24"/>
          <w:szCs w:val="24"/>
        </w:rPr>
      </w:pPr>
      <w:bookmarkStart w:id="146" w:name="_Toc47259533"/>
      <w:bookmarkStart w:id="147" w:name="_Toc54083409"/>
      <w:bookmarkStart w:id="148" w:name="_Toc50427802"/>
      <w:bookmarkStart w:id="149" w:name="_Toc46722005"/>
      <w:bookmarkStart w:id="150" w:name="_Toc11929"/>
      <w:bookmarkStart w:id="151" w:name="_Toc26392"/>
      <w:bookmarkStart w:id="152" w:name="_Toc15030"/>
      <w:bookmarkStart w:id="153" w:name="_Toc30162"/>
      <w:bookmarkStart w:id="154" w:name="_Toc45965776"/>
      <w:r>
        <w:rPr>
          <w:rFonts w:hint="eastAsia" w:ascii="宋体" w:hAnsi="宋体" w:cs="宋体"/>
          <w:sz w:val="24"/>
          <w:szCs w:val="24"/>
        </w:rPr>
        <w:t>六、资料</w:t>
      </w:r>
      <w:bookmarkEnd w:id="146"/>
      <w:bookmarkEnd w:id="147"/>
      <w:bookmarkEnd w:id="148"/>
      <w:bookmarkEnd w:id="149"/>
      <w:r>
        <w:rPr>
          <w:rFonts w:hint="eastAsia" w:ascii="宋体" w:hAnsi="宋体" w:cs="宋体"/>
          <w:sz w:val="24"/>
          <w:szCs w:val="24"/>
        </w:rPr>
        <w:t>管理</w:t>
      </w:r>
      <w:bookmarkEnd w:id="150"/>
      <w:bookmarkEnd w:id="151"/>
      <w:bookmarkEnd w:id="152"/>
      <w:bookmarkEnd w:id="153"/>
    </w:p>
    <w:p w14:paraId="22E7ED12">
      <w:pPr>
        <w:spacing w:line="360" w:lineRule="auto"/>
        <w:outlineLvl w:val="1"/>
        <w:rPr>
          <w:rFonts w:ascii="宋体" w:hAnsi="宋体" w:cs="宋体"/>
          <w:b/>
          <w:bCs/>
          <w:sz w:val="24"/>
        </w:rPr>
      </w:pPr>
      <w:bookmarkStart w:id="155" w:name="_Toc8264"/>
      <w:bookmarkStart w:id="156" w:name="_Toc26128"/>
      <w:bookmarkStart w:id="157" w:name="_Toc17258"/>
      <w:r>
        <w:rPr>
          <w:rFonts w:hint="eastAsia" w:ascii="宋体" w:hAnsi="宋体" w:cs="宋体"/>
          <w:b/>
          <w:bCs/>
          <w:sz w:val="24"/>
        </w:rPr>
        <w:t>6.1施工准备阶段</w:t>
      </w:r>
      <w:bookmarkEnd w:id="155"/>
      <w:bookmarkEnd w:id="156"/>
      <w:bookmarkEnd w:id="157"/>
    </w:p>
    <w:p w14:paraId="560D093A">
      <w:pPr>
        <w:spacing w:line="360" w:lineRule="auto"/>
        <w:rPr>
          <w:rFonts w:ascii="宋体" w:hAnsi="宋体" w:cs="宋体"/>
          <w:sz w:val="24"/>
        </w:rPr>
      </w:pPr>
      <w:r>
        <w:rPr>
          <w:rFonts w:hint="eastAsia" w:ascii="宋体" w:hAnsi="宋体" w:cs="宋体"/>
          <w:sz w:val="24"/>
        </w:rPr>
        <w:t>单位工程开工前，承包单位须递交以下技术文件、资料报审：</w:t>
      </w:r>
    </w:p>
    <w:p w14:paraId="70443508">
      <w:pPr>
        <w:spacing w:line="360" w:lineRule="auto"/>
        <w:rPr>
          <w:rFonts w:ascii="宋体" w:hAnsi="宋体" w:cs="宋体"/>
          <w:sz w:val="24"/>
        </w:rPr>
      </w:pPr>
      <w:r>
        <w:rPr>
          <w:rFonts w:hint="eastAsia" w:ascii="宋体" w:hAnsi="宋体" w:cs="宋体"/>
          <w:sz w:val="24"/>
        </w:rPr>
        <w:t>6.1.1重要工程开工报审表；</w:t>
      </w:r>
    </w:p>
    <w:p w14:paraId="2C5D0317">
      <w:pPr>
        <w:spacing w:line="360" w:lineRule="auto"/>
        <w:rPr>
          <w:rFonts w:ascii="宋体" w:hAnsi="宋体" w:cs="宋体"/>
          <w:sz w:val="24"/>
        </w:rPr>
      </w:pPr>
      <w:r>
        <w:rPr>
          <w:rFonts w:hint="eastAsia" w:ascii="宋体" w:hAnsi="宋体" w:cs="宋体"/>
          <w:sz w:val="24"/>
        </w:rPr>
        <w:t>6.1.2专业施工组织设计或作业指导书及报审表；</w:t>
      </w:r>
    </w:p>
    <w:p w14:paraId="193A069D">
      <w:pPr>
        <w:spacing w:line="360" w:lineRule="auto"/>
        <w:rPr>
          <w:rFonts w:ascii="宋体" w:hAnsi="宋体" w:cs="宋体"/>
          <w:sz w:val="24"/>
        </w:rPr>
      </w:pPr>
      <w:r>
        <w:rPr>
          <w:rFonts w:hint="eastAsia" w:ascii="宋体" w:hAnsi="宋体" w:cs="宋体"/>
          <w:sz w:val="24"/>
        </w:rPr>
        <w:t>6.1.3主要材料报验表（包括材料质量证明书及试验报告，并注明各种规格及进货数量）；</w:t>
      </w:r>
    </w:p>
    <w:p w14:paraId="59A9E3D5">
      <w:pPr>
        <w:spacing w:line="360" w:lineRule="auto"/>
        <w:rPr>
          <w:rFonts w:ascii="宋体" w:hAnsi="宋体" w:cs="宋体"/>
          <w:sz w:val="24"/>
        </w:rPr>
      </w:pPr>
      <w:r>
        <w:rPr>
          <w:rFonts w:hint="eastAsia" w:ascii="宋体" w:hAnsi="宋体" w:cs="宋体"/>
          <w:sz w:val="24"/>
        </w:rPr>
        <w:t>6.1.4如果发生分包行为，分包单位资质报审表；</w:t>
      </w:r>
    </w:p>
    <w:p w14:paraId="60B4B399">
      <w:pPr>
        <w:spacing w:line="360" w:lineRule="auto"/>
        <w:rPr>
          <w:rFonts w:ascii="宋体" w:hAnsi="宋体" w:cs="宋体"/>
          <w:sz w:val="24"/>
        </w:rPr>
      </w:pPr>
      <w:r>
        <w:rPr>
          <w:rFonts w:hint="eastAsia" w:ascii="宋体" w:hAnsi="宋体" w:cs="宋体"/>
          <w:sz w:val="24"/>
        </w:rPr>
        <w:t>6.1.5主要施工计量器具、检测仪表检验统计表；</w:t>
      </w:r>
    </w:p>
    <w:p w14:paraId="5606A81E">
      <w:pPr>
        <w:spacing w:line="360" w:lineRule="auto"/>
        <w:rPr>
          <w:rFonts w:ascii="宋体" w:hAnsi="宋体" w:cs="宋体"/>
          <w:sz w:val="24"/>
        </w:rPr>
      </w:pPr>
      <w:r>
        <w:rPr>
          <w:rFonts w:hint="eastAsia" w:ascii="宋体" w:hAnsi="宋体" w:cs="宋体"/>
          <w:sz w:val="24"/>
        </w:rPr>
        <w:t>6.1.6特殊工种人员统计表；</w:t>
      </w:r>
    </w:p>
    <w:p w14:paraId="5504C61F">
      <w:pPr>
        <w:spacing w:line="360" w:lineRule="auto"/>
        <w:rPr>
          <w:rFonts w:ascii="宋体" w:hAnsi="宋体" w:cs="宋体"/>
          <w:sz w:val="24"/>
        </w:rPr>
      </w:pPr>
      <w:r>
        <w:rPr>
          <w:rFonts w:hint="eastAsia" w:ascii="宋体" w:hAnsi="宋体" w:cs="宋体"/>
          <w:sz w:val="24"/>
        </w:rPr>
        <w:t>6.1.7主要施工机械设备进场使用报验表；</w:t>
      </w:r>
    </w:p>
    <w:p w14:paraId="6F009847">
      <w:pPr>
        <w:spacing w:line="360" w:lineRule="auto"/>
        <w:rPr>
          <w:rFonts w:ascii="宋体" w:hAnsi="宋体" w:cs="宋体"/>
          <w:sz w:val="24"/>
        </w:rPr>
      </w:pPr>
      <w:r>
        <w:rPr>
          <w:rFonts w:hint="eastAsia" w:ascii="宋体" w:hAnsi="宋体" w:cs="宋体"/>
          <w:sz w:val="24"/>
        </w:rPr>
        <w:t>6.1.8施工质量检验项目划分表；</w:t>
      </w:r>
    </w:p>
    <w:p w14:paraId="2732DED3">
      <w:pPr>
        <w:spacing w:line="360" w:lineRule="auto"/>
        <w:outlineLvl w:val="1"/>
        <w:rPr>
          <w:rFonts w:ascii="宋体" w:hAnsi="宋体" w:cs="宋体"/>
          <w:b/>
          <w:bCs/>
          <w:sz w:val="24"/>
        </w:rPr>
      </w:pPr>
      <w:bookmarkStart w:id="158" w:name="_Toc10407"/>
      <w:bookmarkStart w:id="159" w:name="_Toc418"/>
      <w:bookmarkStart w:id="160" w:name="_Toc8882"/>
      <w:r>
        <w:rPr>
          <w:rFonts w:hint="eastAsia" w:ascii="宋体" w:hAnsi="宋体" w:cs="宋体"/>
          <w:b/>
          <w:bCs/>
          <w:sz w:val="24"/>
        </w:rPr>
        <w:t>6.2施工阶段</w:t>
      </w:r>
      <w:bookmarkEnd w:id="158"/>
      <w:bookmarkEnd w:id="159"/>
      <w:bookmarkEnd w:id="160"/>
    </w:p>
    <w:p w14:paraId="399E4BDB">
      <w:pPr>
        <w:spacing w:line="360" w:lineRule="auto"/>
        <w:ind w:left="630" w:leftChars="-43" w:hanging="720" w:hangingChars="300"/>
        <w:rPr>
          <w:rFonts w:ascii="宋体" w:hAnsi="宋体" w:cs="宋体"/>
          <w:sz w:val="24"/>
        </w:rPr>
      </w:pPr>
      <w:r>
        <w:rPr>
          <w:rFonts w:hint="eastAsia" w:ascii="宋体" w:hAnsi="宋体" w:cs="宋体"/>
          <w:sz w:val="24"/>
        </w:rPr>
        <w:t>2.1按电建验标要求及时填写工程施工记录、试验报告、</w:t>
      </w:r>
    </w:p>
    <w:p w14:paraId="0B226FC0">
      <w:pPr>
        <w:spacing w:line="360" w:lineRule="auto"/>
        <w:ind w:left="630" w:leftChars="-43" w:hanging="720" w:hangingChars="300"/>
        <w:rPr>
          <w:rFonts w:ascii="宋体" w:hAnsi="宋体" w:cs="宋体"/>
          <w:sz w:val="24"/>
        </w:rPr>
      </w:pPr>
      <w:r>
        <w:rPr>
          <w:rFonts w:hint="eastAsia" w:ascii="宋体" w:hAnsi="宋体" w:cs="宋体"/>
          <w:sz w:val="24"/>
        </w:rPr>
        <w:t>分项及隐蔽工程的验收表；</w:t>
      </w:r>
    </w:p>
    <w:p w14:paraId="64D1474F">
      <w:pPr>
        <w:spacing w:line="360" w:lineRule="auto"/>
        <w:rPr>
          <w:rFonts w:ascii="宋体" w:hAnsi="宋体" w:cs="宋体"/>
          <w:sz w:val="24"/>
        </w:rPr>
      </w:pPr>
      <w:r>
        <w:rPr>
          <w:rFonts w:hint="eastAsia" w:ascii="宋体" w:hAnsi="宋体" w:cs="宋体"/>
          <w:sz w:val="24"/>
        </w:rPr>
        <w:t>2.2发现设计疑问，尽快办理工程联系单；需要设计修改的，递交设计修改建议单，按设计修改审批程序进行；</w:t>
      </w:r>
    </w:p>
    <w:p w14:paraId="1DA2317D">
      <w:pPr>
        <w:spacing w:line="360" w:lineRule="auto"/>
        <w:rPr>
          <w:rFonts w:ascii="宋体" w:hAnsi="宋体" w:cs="宋体"/>
          <w:sz w:val="24"/>
        </w:rPr>
      </w:pPr>
      <w:r>
        <w:rPr>
          <w:rFonts w:hint="eastAsia" w:ascii="宋体" w:hAnsi="宋体" w:cs="宋体"/>
          <w:sz w:val="24"/>
        </w:rPr>
        <w:t>2.3在施工中，如重要的施工方案、工艺变更，要以书面形式通知监理部，并要得到认可；</w:t>
      </w:r>
    </w:p>
    <w:p w14:paraId="69968671">
      <w:pPr>
        <w:spacing w:line="360" w:lineRule="auto"/>
        <w:rPr>
          <w:rFonts w:ascii="宋体" w:hAnsi="宋体" w:cs="宋体"/>
          <w:sz w:val="24"/>
        </w:rPr>
      </w:pPr>
      <w:r>
        <w:rPr>
          <w:rFonts w:hint="eastAsia" w:ascii="宋体" w:hAnsi="宋体" w:cs="宋体"/>
          <w:sz w:val="24"/>
        </w:rPr>
        <w:t>2.4后续进场的材料、构配件及时办理报验；</w:t>
      </w:r>
    </w:p>
    <w:p w14:paraId="542A1BE8">
      <w:pPr>
        <w:spacing w:line="360" w:lineRule="auto"/>
        <w:rPr>
          <w:rFonts w:ascii="宋体" w:hAnsi="宋体" w:cs="宋体"/>
          <w:sz w:val="24"/>
        </w:rPr>
      </w:pPr>
      <w:r>
        <w:rPr>
          <w:rFonts w:hint="eastAsia" w:ascii="宋体" w:hAnsi="宋体" w:cs="宋体"/>
          <w:sz w:val="24"/>
        </w:rPr>
        <w:t>2.5原材料以及按规定需做的各种试验应及时通知监理工程师见证取样；</w:t>
      </w:r>
    </w:p>
    <w:p w14:paraId="376E8CF4">
      <w:pPr>
        <w:spacing w:line="360" w:lineRule="auto"/>
        <w:rPr>
          <w:rFonts w:ascii="宋体" w:hAnsi="宋体" w:cs="宋体"/>
          <w:sz w:val="24"/>
        </w:rPr>
      </w:pPr>
      <w:r>
        <w:rPr>
          <w:rFonts w:hint="eastAsia" w:ascii="宋体" w:hAnsi="宋体" w:cs="宋体"/>
          <w:sz w:val="24"/>
        </w:rPr>
        <w:t>2.6土建安装交接时填写交接表；</w:t>
      </w:r>
    </w:p>
    <w:p w14:paraId="6665C5C6">
      <w:pPr>
        <w:spacing w:line="360" w:lineRule="auto"/>
        <w:outlineLvl w:val="1"/>
        <w:rPr>
          <w:rFonts w:ascii="宋体" w:hAnsi="宋体" w:cs="宋体"/>
          <w:b/>
          <w:bCs/>
          <w:sz w:val="24"/>
        </w:rPr>
      </w:pPr>
      <w:bookmarkStart w:id="161" w:name="_Toc18337"/>
      <w:bookmarkStart w:id="162" w:name="_Toc32470"/>
      <w:bookmarkStart w:id="163" w:name="_Toc12882"/>
      <w:r>
        <w:rPr>
          <w:rFonts w:hint="eastAsia" w:ascii="宋体" w:hAnsi="宋体" w:cs="宋体"/>
          <w:b/>
          <w:bCs/>
          <w:sz w:val="24"/>
        </w:rPr>
        <w:t>6.3竣工阶段</w:t>
      </w:r>
      <w:bookmarkEnd w:id="161"/>
      <w:bookmarkEnd w:id="162"/>
      <w:bookmarkEnd w:id="163"/>
    </w:p>
    <w:p w14:paraId="20043DA7">
      <w:pPr>
        <w:spacing w:line="360" w:lineRule="auto"/>
        <w:rPr>
          <w:rFonts w:ascii="宋体" w:hAnsi="宋体" w:cs="宋体"/>
          <w:sz w:val="24"/>
        </w:rPr>
      </w:pPr>
      <w:r>
        <w:rPr>
          <w:rFonts w:hint="eastAsia" w:ascii="宋体" w:hAnsi="宋体" w:cs="宋体"/>
          <w:sz w:val="24"/>
        </w:rPr>
        <w:t>3.1递交竣工报告；</w:t>
      </w:r>
    </w:p>
    <w:p w14:paraId="1D493AE6">
      <w:pPr>
        <w:spacing w:line="360" w:lineRule="auto"/>
        <w:rPr>
          <w:rFonts w:ascii="宋体" w:hAnsi="宋体" w:cs="宋体"/>
          <w:sz w:val="24"/>
        </w:rPr>
      </w:pPr>
      <w:r>
        <w:rPr>
          <w:rFonts w:hint="eastAsia" w:ascii="宋体" w:hAnsi="宋体" w:cs="宋体"/>
          <w:sz w:val="24"/>
        </w:rPr>
        <w:t>3.2办理分部、单位工程的验收签证；</w:t>
      </w:r>
    </w:p>
    <w:p w14:paraId="497AD829">
      <w:pPr>
        <w:spacing w:line="360" w:lineRule="auto"/>
        <w:rPr>
          <w:rFonts w:ascii="宋体" w:hAnsi="宋体" w:cs="宋体"/>
          <w:sz w:val="24"/>
        </w:rPr>
      </w:pPr>
      <w:r>
        <w:rPr>
          <w:rFonts w:hint="eastAsia" w:ascii="宋体" w:hAnsi="宋体" w:cs="宋体"/>
          <w:sz w:val="24"/>
        </w:rPr>
        <w:t>3.3办理项目签证交接手续；</w:t>
      </w:r>
    </w:p>
    <w:p w14:paraId="35EDCF95">
      <w:pPr>
        <w:spacing w:line="360" w:lineRule="auto"/>
        <w:rPr>
          <w:rFonts w:ascii="宋体" w:hAnsi="宋体" w:cs="宋体"/>
          <w:sz w:val="24"/>
        </w:rPr>
      </w:pPr>
      <w:r>
        <w:rPr>
          <w:rFonts w:hint="eastAsia" w:ascii="宋体" w:hAnsi="宋体" w:cs="宋体"/>
          <w:sz w:val="24"/>
        </w:rPr>
        <w:t>3.4承包单位在甲、乙双方合同要求的时间内完成竣工资料整理、签证、装订和移交工作。</w:t>
      </w:r>
    </w:p>
    <w:p w14:paraId="6548C771">
      <w:pPr>
        <w:spacing w:line="360" w:lineRule="auto"/>
        <w:outlineLvl w:val="1"/>
        <w:rPr>
          <w:rFonts w:ascii="宋体" w:hAnsi="宋体" w:cs="宋体"/>
          <w:b/>
          <w:bCs/>
          <w:sz w:val="24"/>
        </w:rPr>
      </w:pPr>
      <w:bookmarkStart w:id="164" w:name="_Toc23842"/>
      <w:bookmarkStart w:id="165" w:name="_Toc7285"/>
      <w:bookmarkStart w:id="166" w:name="_Toc5222"/>
      <w:r>
        <w:rPr>
          <w:rFonts w:hint="eastAsia" w:ascii="宋体" w:hAnsi="宋体" w:cs="宋体"/>
          <w:b/>
          <w:bCs/>
          <w:sz w:val="24"/>
        </w:rPr>
        <w:t>6.4信息处理：</w:t>
      </w:r>
      <w:bookmarkEnd w:id="164"/>
      <w:bookmarkEnd w:id="165"/>
      <w:bookmarkEnd w:id="166"/>
    </w:p>
    <w:p w14:paraId="7DE6AB03">
      <w:pPr>
        <w:spacing w:line="360" w:lineRule="auto"/>
        <w:rPr>
          <w:rFonts w:ascii="宋体" w:hAnsi="宋体" w:cs="宋体"/>
          <w:sz w:val="24"/>
        </w:rPr>
      </w:pPr>
      <w:r>
        <w:rPr>
          <w:rFonts w:hint="eastAsia" w:ascii="宋体" w:hAnsi="宋体" w:cs="宋体"/>
          <w:sz w:val="24"/>
        </w:rPr>
        <w:t>4.1及时做好文件包的登录工作，当日数据当日清；</w:t>
      </w:r>
    </w:p>
    <w:p w14:paraId="1F0997D3">
      <w:pPr>
        <w:spacing w:line="360" w:lineRule="auto"/>
        <w:rPr>
          <w:rFonts w:ascii="宋体" w:hAnsi="宋体" w:cs="宋体"/>
          <w:sz w:val="24"/>
        </w:rPr>
      </w:pPr>
      <w:r>
        <w:rPr>
          <w:rFonts w:hint="eastAsia" w:ascii="宋体" w:hAnsi="宋体" w:cs="宋体"/>
          <w:sz w:val="24"/>
        </w:rPr>
        <w:t>4.2设计变更和变更设计应按监理公司《监理服务过程控制程序》的有关要求处理，及时在技术文件上做好标识；设计变更在工程实物上完成后要及时进行封闭；针对工程项目实施过程中发生的问题，根据其对工程影响的不利程度或潜在危害，运用各种监理指令，指令施工单位各项工程目标回归受控状态。监理指令的内容、条件和发放权限，应严格按照《监理服务过程控制程序》的规定进行。监理工作联系单涉及需要跟踪的内容，在有关单位执行完毕后，应自我闭环；</w:t>
      </w:r>
    </w:p>
    <w:p w14:paraId="03E0CFC0">
      <w:pPr>
        <w:spacing w:line="360" w:lineRule="auto"/>
        <w:rPr>
          <w:rFonts w:ascii="宋体" w:hAnsi="宋体" w:cs="宋体"/>
          <w:sz w:val="24"/>
        </w:rPr>
      </w:pPr>
      <w:r>
        <w:rPr>
          <w:rFonts w:hint="eastAsia" w:ascii="宋体" w:hAnsi="宋体" w:cs="宋体"/>
          <w:sz w:val="24"/>
        </w:rPr>
        <w:t>4.3记好监理日记，日记内容要完整反映当天的监理活动实况，发现的问题要进行闭环。</w:t>
      </w:r>
      <w:bookmarkEnd w:id="154"/>
    </w:p>
    <w:p w14:paraId="0E809A2F">
      <w:pPr>
        <w:jc w:val="center"/>
        <w:rPr>
          <w:rFonts w:cs="Times New Roman"/>
        </w:rPr>
      </w:pPr>
      <w:r>
        <w:rPr>
          <w:rFonts w:cs="Times New Roman"/>
        </w:rPr>
        <w:t>(------</w:t>
      </w:r>
      <w:r>
        <w:rPr>
          <w:rFonts w:hint="eastAsia" w:cs="Times New Roman"/>
        </w:rPr>
        <w:t>以下无正文</w:t>
      </w:r>
      <w:r>
        <w:rPr>
          <w:rFonts w:cs="Times New Roman"/>
        </w:rPr>
        <w:t>-------)</w:t>
      </w:r>
    </w:p>
    <w:p w14:paraId="24FA1AB4"/>
    <w:sectPr>
      <w:footerReference r:id="rId5" w:type="default"/>
      <w:pgSz w:w="11906" w:h="16838"/>
      <w:pgMar w:top="1440" w:right="1800" w:bottom="1440" w:left="1800" w:header="850"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151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207D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3207D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8C1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DAD6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6DAD6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B8218">
    <w:pPr>
      <w:pStyle w:val="20"/>
      <w:spacing w:before="120"/>
      <w:ind w:firstLine="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4545E"/>
    <w:multiLevelType w:val="multilevel"/>
    <w:tmpl w:val="2454545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FE5262"/>
    <w:multiLevelType w:val="multilevel"/>
    <w:tmpl w:val="46FE5262"/>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0020524"/>
    <w:multiLevelType w:val="multilevel"/>
    <w:tmpl w:val="6002052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C7621"/>
    <w:rsid w:val="000F5024"/>
    <w:rsid w:val="001A23D9"/>
    <w:rsid w:val="002741BF"/>
    <w:rsid w:val="0048196B"/>
    <w:rsid w:val="005A6CDB"/>
    <w:rsid w:val="005F1F2D"/>
    <w:rsid w:val="00662AAB"/>
    <w:rsid w:val="00776392"/>
    <w:rsid w:val="007776E2"/>
    <w:rsid w:val="007962DF"/>
    <w:rsid w:val="009700D4"/>
    <w:rsid w:val="00A01DCB"/>
    <w:rsid w:val="00A72FBA"/>
    <w:rsid w:val="00B10010"/>
    <w:rsid w:val="00BA19EC"/>
    <w:rsid w:val="00D16B8A"/>
    <w:rsid w:val="00DC7621"/>
    <w:rsid w:val="00E459BB"/>
    <w:rsid w:val="00F64398"/>
    <w:rsid w:val="00FF0943"/>
    <w:rsid w:val="00FF7D18"/>
    <w:rsid w:val="056F6D73"/>
    <w:rsid w:val="0D3D3176"/>
    <w:rsid w:val="134C7983"/>
    <w:rsid w:val="13C9412C"/>
    <w:rsid w:val="1A501008"/>
    <w:rsid w:val="1EC319DD"/>
    <w:rsid w:val="1F596A65"/>
    <w:rsid w:val="22B05D18"/>
    <w:rsid w:val="329156DE"/>
    <w:rsid w:val="362F1A60"/>
    <w:rsid w:val="38D756CE"/>
    <w:rsid w:val="3A4456F5"/>
    <w:rsid w:val="3C920A1E"/>
    <w:rsid w:val="3CAA729F"/>
    <w:rsid w:val="3DE91276"/>
    <w:rsid w:val="3ED021B0"/>
    <w:rsid w:val="410309AE"/>
    <w:rsid w:val="42C71B6D"/>
    <w:rsid w:val="43B7454A"/>
    <w:rsid w:val="472A5425"/>
    <w:rsid w:val="4C441760"/>
    <w:rsid w:val="4CC233CF"/>
    <w:rsid w:val="4CC93FED"/>
    <w:rsid w:val="4FF76FFF"/>
    <w:rsid w:val="52645EA3"/>
    <w:rsid w:val="535A5CCF"/>
    <w:rsid w:val="56A63783"/>
    <w:rsid w:val="576B3ECC"/>
    <w:rsid w:val="5BE15BBE"/>
    <w:rsid w:val="5DA45DB8"/>
    <w:rsid w:val="6308431C"/>
    <w:rsid w:val="664E0FD4"/>
    <w:rsid w:val="693B6267"/>
    <w:rsid w:val="6E187C1E"/>
    <w:rsid w:val="6E2E353B"/>
    <w:rsid w:val="7936356D"/>
    <w:rsid w:val="7E766270"/>
    <w:rsid w:val="7F90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5">
    <w:name w:val="toc 3"/>
    <w:basedOn w:val="1"/>
    <w:next w:val="1"/>
    <w:autoRedefine/>
    <w:unhideWhenUsed/>
    <w:qFormat/>
    <w:uiPriority w:val="39"/>
    <w:pPr>
      <w:ind w:left="840" w:leftChars="400"/>
    </w:pPr>
  </w:style>
  <w:style w:type="paragraph" w:styleId="6">
    <w:name w:val="Plain Text"/>
    <w:basedOn w:val="1"/>
    <w:link w:val="17"/>
    <w:autoRedefine/>
    <w:qFormat/>
    <w:uiPriority w:val="0"/>
    <w:rPr>
      <w:rFonts w:ascii="宋体" w:hAnsi="Courier New" w:eastAsia="宋体"/>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字符"/>
    <w:basedOn w:val="13"/>
    <w:link w:val="8"/>
    <w:autoRedefine/>
    <w:qFormat/>
    <w:uiPriority w:val="99"/>
    <w:rPr>
      <w:sz w:val="18"/>
      <w:szCs w:val="18"/>
    </w:rPr>
  </w:style>
  <w:style w:type="character" w:customStyle="1" w:styleId="15">
    <w:name w:val="页脚 字符"/>
    <w:basedOn w:val="13"/>
    <w:link w:val="7"/>
    <w:autoRedefine/>
    <w:qFormat/>
    <w:uiPriority w:val="99"/>
    <w:rPr>
      <w:sz w:val="18"/>
      <w:szCs w:val="18"/>
    </w:rPr>
  </w:style>
  <w:style w:type="character" w:customStyle="1" w:styleId="16">
    <w:name w:val="标题 1 字符"/>
    <w:basedOn w:val="13"/>
    <w:link w:val="2"/>
    <w:autoRedefine/>
    <w:qFormat/>
    <w:uiPriority w:val="0"/>
    <w:rPr>
      <w:rFonts w:ascii="Times New Roman" w:hAnsi="Times New Roman" w:eastAsia="宋体" w:cs="Times New Roman"/>
      <w:b/>
      <w:bCs/>
      <w:kern w:val="44"/>
      <w:sz w:val="44"/>
      <w:szCs w:val="44"/>
    </w:rPr>
  </w:style>
  <w:style w:type="character" w:customStyle="1" w:styleId="17">
    <w:name w:val="纯文本 字符1"/>
    <w:basedOn w:val="13"/>
    <w:link w:val="6"/>
    <w:autoRedefine/>
    <w:qFormat/>
    <w:locked/>
    <w:uiPriority w:val="0"/>
    <w:rPr>
      <w:rFonts w:ascii="宋体" w:hAnsi="Courier New" w:eastAsia="宋体"/>
    </w:rPr>
  </w:style>
  <w:style w:type="character" w:customStyle="1" w:styleId="18">
    <w:name w:val="纯文本 字符"/>
    <w:basedOn w:val="13"/>
    <w:autoRedefine/>
    <w:semiHidden/>
    <w:qFormat/>
    <w:uiPriority w:val="99"/>
    <w:rPr>
      <w:rFonts w:hAnsi="Courier New" w:cs="Courier New" w:asciiTheme="minorEastAsia"/>
    </w:rPr>
  </w:style>
  <w:style w:type="paragraph" w:customStyle="1" w:styleId="19">
    <w:name w:val="列出段落1"/>
    <w:basedOn w:val="1"/>
    <w:autoRedefine/>
    <w:qFormat/>
    <w:uiPriority w:val="34"/>
    <w:pPr>
      <w:ind w:firstLine="420" w:firstLineChars="200"/>
    </w:pPr>
  </w:style>
  <w:style w:type="paragraph" w:customStyle="1" w:styleId="20">
    <w:name w:val="样式4"/>
    <w:basedOn w:val="1"/>
    <w:autoRedefine/>
    <w:qFormat/>
    <w:uiPriority w:val="0"/>
    <w:pPr>
      <w:tabs>
        <w:tab w:val="left" w:pos="366"/>
        <w:tab w:val="left" w:pos="720"/>
      </w:tabs>
      <w:topLinePunct/>
      <w:ind w:firstLine="425"/>
    </w:pPr>
    <w:rPr>
      <w:rFonts w:eastAsia="黑体"/>
      <w:bCs/>
      <w:caps/>
      <w:kern w:val="21"/>
      <w:szCs w:val="21"/>
      <w:lang w:val="zh-CN"/>
    </w:rPr>
  </w:style>
  <w:style w:type="paragraph" w:customStyle="1" w:styleId="21">
    <w:name w:val="正文3"/>
    <w:basedOn w:val="1"/>
    <w:autoRedefine/>
    <w:qFormat/>
    <w:uiPriority w:val="0"/>
    <w:pPr>
      <w:tabs>
        <w:tab w:val="left" w:pos="720"/>
        <w:tab w:val="left" w:pos="1931"/>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22">
    <w:name w:val="正文2"/>
    <w:basedOn w:val="1"/>
    <w:autoRedefine/>
    <w:qFormat/>
    <w:uiPriority w:val="0"/>
    <w:pPr>
      <w:tabs>
        <w:tab w:val="left" w:pos="720"/>
        <w:tab w:val="left" w:pos="992"/>
      </w:tabs>
      <w:snapToGrid w:val="0"/>
      <w:spacing w:line="240" w:lineRule="atLeast"/>
      <w:ind w:left="992" w:firstLine="200" w:firstLineChars="200"/>
    </w:pPr>
    <w:rPr>
      <w:rFonts w:ascii="Times New Roman" w:hAnsi="Times New Roman" w:eastAsia="宋体" w:cs="Times New Roman"/>
      <w:sz w:val="28"/>
      <w:szCs w:val="20"/>
    </w:rPr>
  </w:style>
  <w:style w:type="paragraph" w:customStyle="1" w:styleId="23">
    <w:name w:val="样式6"/>
    <w:basedOn w:val="1"/>
    <w:autoRedefine/>
    <w:qFormat/>
    <w:uiPriority w:val="0"/>
    <w:pPr>
      <w:tabs>
        <w:tab w:val="left" w:pos="720"/>
        <w:tab w:val="left" w:pos="1110"/>
      </w:tabs>
      <w:spacing w:before="156" w:beforeLines="50" w:line="360" w:lineRule="auto"/>
      <w:ind w:left="1110" w:hanging="555" w:firstLineChars="200"/>
    </w:pPr>
    <w:rPr>
      <w:rFonts w:ascii="黑体" w:hAnsi="Times New Roman" w:eastAsia="黑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9E5B7-8294-481E-AB74-C40F91C212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11582</Words>
  <Characters>12346</Characters>
  <Lines>102</Lines>
  <Paragraphs>28</Paragraphs>
  <TotalTime>7</TotalTime>
  <ScaleCrop>false</ScaleCrop>
  <LinksUpToDate>false</LinksUpToDate>
  <CharactersWithSpaces>12545</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安静且优雅</cp:lastModifiedBy>
  <cp:lastPrinted>2024-04-07T02:29:00Z</cp:lastPrinted>
  <dcterms:modified xsi:type="dcterms:W3CDTF">2025-06-08T01:22:15Z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16B0D73CA65D4068B87E60106BB40D5A_12</vt:lpwstr>
  </property>
  <property fmtid="{D5CDD505-2E9C-101B-9397-08002B2CF9AE}" pid="4" name="KSOTemplateDocerSaveRecord">
    <vt:lpwstr>eyJoZGlkIjoiZDM5NmRmN2NlNDQ4YjgzMDBkNmI1OTJmNTcwOGU1NTEiLCJ1c2VySWQiOiIyNjM0MjQ1MDYifQ==</vt:lpwstr>
  </property>
</Properties>
</file>