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04" w:line="219" w:lineRule="auto"/>
        <w:ind w:left="3369"/>
        <w:rPr>
          <w:sz w:val="32"/>
          <w:szCs w:val="32"/>
        </w:rPr>
      </w:pPr>
      <w:r>
        <w:rPr>
          <w:b/>
          <w:bCs/>
          <w:spacing w:val="-5"/>
          <w:sz w:val="32"/>
          <w:szCs w:val="32"/>
        </w:rPr>
        <w:t>监理策划文件报审表</w:t>
      </w:r>
    </w:p>
    <w:p>
      <w:pPr>
        <w:pStyle w:val="5"/>
        <w:spacing w:before="109" w:line="226" w:lineRule="auto"/>
        <w:rPr>
          <w:spacing w:val="2"/>
          <w:position w:val="-2"/>
          <w:sz w:val="22"/>
          <w:szCs w:val="22"/>
        </w:rPr>
      </w:pPr>
      <w:r>
        <w:rPr>
          <w:spacing w:val="3"/>
          <w:sz w:val="22"/>
          <w:szCs w:val="22"/>
        </w:rPr>
        <w:t>工程名称：</w:t>
      </w:r>
      <w:r>
        <w:rPr>
          <w:rFonts w:hint="eastAsia" w:ascii="宋体" w:hAnsi="宋体" w:eastAsia="宋体" w:cs="宋体"/>
          <w:spacing w:val="-11"/>
          <w:sz w:val="22"/>
          <w:szCs w:val="22"/>
          <w:lang w:val="en-US" w:eastAsia="zh-CN"/>
        </w:rPr>
        <w:t>高邮市鑫辰新能源有限公司汤庄镇</w:t>
      </w:r>
      <w:r>
        <w:rPr>
          <w:rFonts w:hint="eastAsia" w:cs="宋体"/>
          <w:spacing w:val="-11"/>
          <w:sz w:val="22"/>
          <w:szCs w:val="22"/>
          <w:lang w:val="en-US" w:eastAsia="zh-CN"/>
        </w:rPr>
        <w:t>61</w:t>
      </w:r>
      <w:r>
        <w:rPr>
          <w:rFonts w:hint="eastAsia" w:ascii="宋体" w:hAnsi="宋体" w:eastAsia="宋体" w:cs="宋体"/>
          <w:color w:val="FF0000"/>
          <w:spacing w:val="-11"/>
          <w:sz w:val="22"/>
          <w:szCs w:val="22"/>
          <w:lang w:val="en-US" w:eastAsia="zh-CN"/>
        </w:rPr>
        <w:t>MW</w:t>
      </w:r>
      <w:r>
        <w:rPr>
          <w:rFonts w:hint="eastAsia" w:ascii="宋体" w:hAnsi="宋体" w:eastAsia="宋体" w:cs="宋体"/>
          <w:spacing w:val="-11"/>
          <w:sz w:val="22"/>
          <w:szCs w:val="22"/>
          <w:lang w:val="en-US" w:eastAsia="zh-CN"/>
        </w:rPr>
        <w:t xml:space="preserve">渔光互补光伏发电项目 </w:t>
      </w:r>
      <w:r>
        <w:rPr>
          <w:rFonts w:hint="eastAsia" w:eastAsia="宋体" w:cs="宋体"/>
          <w:spacing w:val="-11"/>
          <w:sz w:val="22"/>
          <w:szCs w:val="22"/>
          <w:lang w:val="en-US" w:eastAsia="zh-CN"/>
        </w:rPr>
        <w:t xml:space="preserve"> </w:t>
      </w:r>
      <w:r>
        <w:rPr>
          <w:spacing w:val="2"/>
          <w:position w:val="-2"/>
          <w:sz w:val="22"/>
          <w:szCs w:val="22"/>
        </w:rPr>
        <w:t>编号：</w:t>
      </w:r>
      <w:r>
        <w:rPr>
          <w:rFonts w:hint="eastAsia" w:ascii="宋体" w:hAnsi="宋体" w:eastAsia="宋体" w:cs="宋体"/>
          <w:b w:val="0"/>
          <w:bCs w:val="0"/>
          <w:color w:val="auto"/>
          <w:sz w:val="20"/>
          <w:szCs w:val="20"/>
          <w:lang w:val="en-US" w:eastAsia="zh-CN"/>
        </w:rPr>
        <w:t>TG-SAJL-</w:t>
      </w:r>
      <w:r>
        <w:rPr>
          <w:rFonts w:hint="eastAsia" w:cs="宋体"/>
          <w:b w:val="0"/>
          <w:bCs w:val="0"/>
          <w:color w:val="auto"/>
          <w:sz w:val="20"/>
          <w:szCs w:val="20"/>
          <w:lang w:val="en-US" w:eastAsia="zh-CN"/>
        </w:rPr>
        <w:t>TB</w:t>
      </w:r>
      <w:r>
        <w:rPr>
          <w:rFonts w:hint="eastAsia" w:ascii="宋体" w:hAnsi="宋体" w:eastAsia="宋体" w:cs="宋体"/>
          <w:b w:val="0"/>
          <w:bCs w:val="0"/>
          <w:color w:val="auto"/>
          <w:sz w:val="20"/>
          <w:szCs w:val="20"/>
          <w:lang w:val="en-US" w:eastAsia="zh-CN"/>
        </w:rPr>
        <w:t>-</w:t>
      </w:r>
    </w:p>
    <w:p>
      <w:pPr>
        <w:spacing w:line="28" w:lineRule="exact"/>
      </w:pPr>
    </w:p>
    <w:tbl>
      <w:tblPr>
        <w:tblStyle w:val="13"/>
        <w:tblW w:w="92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3" w:hRule="atLeast"/>
        </w:trPr>
        <w:tc>
          <w:tcPr>
            <w:tcW w:w="9219" w:type="dxa"/>
            <w:noWrap w:val="0"/>
            <w:vAlign w:val="top"/>
          </w:tcPr>
          <w:p>
            <w:pPr>
              <w:spacing w:line="244" w:lineRule="auto"/>
              <w:rPr>
                <w:rFonts w:ascii="Arial"/>
                <w:sz w:val="21"/>
              </w:rPr>
            </w:pPr>
          </w:p>
          <w:p>
            <w:pPr>
              <w:spacing w:line="244" w:lineRule="auto"/>
              <w:rPr>
                <w:rFonts w:ascii="Arial"/>
                <w:sz w:val="21"/>
              </w:rPr>
            </w:pPr>
          </w:p>
          <w:p>
            <w:pPr>
              <w:pStyle w:val="14"/>
              <w:spacing w:before="71" w:line="219" w:lineRule="auto"/>
              <w:ind w:left="84"/>
              <w:rPr>
                <w:sz w:val="22"/>
                <w:szCs w:val="22"/>
              </w:rPr>
            </w:pPr>
            <w:r>
              <w:rPr>
                <w:spacing w:val="2"/>
                <w:sz w:val="22"/>
                <w:szCs w:val="22"/>
              </w:rPr>
              <w:t>致</w:t>
            </w:r>
            <w:r>
              <w:rPr>
                <w:spacing w:val="2"/>
                <w:sz w:val="22"/>
                <w:szCs w:val="22"/>
                <w:u w:val="single" w:color="auto"/>
              </w:rPr>
              <w:t xml:space="preserve"> </w:t>
            </w:r>
            <w:r>
              <w:rPr>
                <w:rFonts w:hint="eastAsia"/>
                <w:spacing w:val="2"/>
                <w:sz w:val="22"/>
                <w:szCs w:val="22"/>
                <w:u w:val="single" w:color="auto"/>
                <w:lang w:val="en-US" w:eastAsia="zh-CN"/>
              </w:rPr>
              <w:t xml:space="preserve">  </w:t>
            </w:r>
            <w:r>
              <w:rPr>
                <w:rFonts w:hint="eastAsia" w:ascii="Calibri" w:hAnsi="Calibri" w:eastAsia="宋体" w:cs="Times New Roman"/>
                <w:kern w:val="2"/>
                <w:sz w:val="24"/>
                <w:szCs w:val="24"/>
                <w:u w:val="single"/>
                <w:lang w:val="en-US" w:eastAsia="zh-CN" w:bidi="ar-SA"/>
              </w:rPr>
              <w:t>高邮市鑫辰新能源有限公司</w:t>
            </w:r>
            <w:r>
              <w:rPr>
                <w:rFonts w:hint="eastAsia"/>
                <w:spacing w:val="2"/>
                <w:sz w:val="22"/>
                <w:szCs w:val="22"/>
                <w:u w:val="single" w:color="auto"/>
                <w:lang w:val="en-US" w:eastAsia="zh-CN"/>
              </w:rPr>
              <w:t xml:space="preserve">  </w:t>
            </w:r>
            <w:r>
              <w:rPr>
                <w:spacing w:val="2"/>
                <w:sz w:val="22"/>
                <w:szCs w:val="22"/>
              </w:rPr>
              <w:t>(业</w:t>
            </w:r>
            <w:r>
              <w:rPr>
                <w:spacing w:val="2"/>
                <w:sz w:val="22"/>
                <w:szCs w:val="22"/>
                <w:u w:val="none" w:color="auto"/>
              </w:rPr>
              <w:t>主</w:t>
            </w:r>
            <w:r>
              <w:rPr>
                <w:spacing w:val="2"/>
                <w:sz w:val="22"/>
                <w:szCs w:val="22"/>
              </w:rPr>
              <w:t>项目</w:t>
            </w:r>
            <w:r>
              <w:rPr>
                <w:spacing w:val="1"/>
                <w:sz w:val="22"/>
                <w:szCs w:val="22"/>
              </w:rPr>
              <w:t>部):</w:t>
            </w:r>
          </w:p>
          <w:p>
            <w:pPr>
              <w:spacing w:line="292" w:lineRule="auto"/>
              <w:rPr>
                <w:rFonts w:ascii="Arial"/>
                <w:sz w:val="21"/>
              </w:rPr>
            </w:pPr>
          </w:p>
          <w:p>
            <w:pPr>
              <w:spacing w:line="292" w:lineRule="auto"/>
              <w:rPr>
                <w:rFonts w:ascii="Arial"/>
                <w:sz w:val="21"/>
              </w:rPr>
            </w:pPr>
          </w:p>
          <w:p>
            <w:pPr>
              <w:pStyle w:val="14"/>
              <w:spacing w:before="72" w:line="414" w:lineRule="auto"/>
              <w:ind w:left="324" w:right="394" w:firstLine="239"/>
              <w:rPr>
                <w:sz w:val="22"/>
                <w:szCs w:val="22"/>
              </w:rPr>
            </w:pPr>
            <w:r>
              <w:rPr>
                <w:sz w:val="22"/>
                <w:szCs w:val="22"/>
              </w:rPr>
              <w:t>我方已完成</w:t>
            </w:r>
            <w:r>
              <w:rPr>
                <w:sz w:val="22"/>
                <w:szCs w:val="22"/>
                <w:u w:val="single" w:color="auto"/>
              </w:rPr>
              <w:t xml:space="preserve"> 质量通病防治</w:t>
            </w:r>
            <w:r>
              <w:rPr>
                <w:rFonts w:hint="eastAsia"/>
                <w:sz w:val="22"/>
                <w:szCs w:val="22"/>
                <w:u w:val="single" w:color="auto"/>
                <w:lang w:val="en-US" w:eastAsia="zh-CN"/>
              </w:rPr>
              <w:t>监理细则</w:t>
            </w:r>
            <w:r>
              <w:rPr>
                <w:spacing w:val="108"/>
                <w:sz w:val="22"/>
                <w:szCs w:val="22"/>
                <w:u w:val="single" w:color="auto"/>
              </w:rPr>
              <w:t xml:space="preserve"> </w:t>
            </w:r>
            <w:r>
              <w:rPr>
                <w:sz w:val="22"/>
                <w:szCs w:val="22"/>
              </w:rPr>
              <w:t>的编制，并已履行我公司内部审批手续，请审批。</w:t>
            </w:r>
          </w:p>
          <w:p>
            <w:pPr>
              <w:pStyle w:val="14"/>
              <w:spacing w:before="72" w:line="414" w:lineRule="auto"/>
              <w:ind w:left="324" w:right="394" w:firstLine="239"/>
              <w:rPr>
                <w:rFonts w:hint="default" w:eastAsia="宋体"/>
                <w:sz w:val="22"/>
                <w:szCs w:val="22"/>
                <w:lang w:val="en-US" w:eastAsia="zh-CN"/>
              </w:rPr>
            </w:pPr>
            <w:r>
              <w:rPr>
                <w:sz w:val="22"/>
                <w:szCs w:val="22"/>
              </w:rPr>
              <w:t xml:space="preserve"> </w:t>
            </w:r>
            <w:r>
              <w:rPr>
                <w:spacing w:val="1"/>
                <w:sz w:val="22"/>
                <w:szCs w:val="22"/>
              </w:rPr>
              <w:t>附：</w:t>
            </w:r>
            <w:r>
              <w:rPr>
                <w:sz w:val="22"/>
                <w:szCs w:val="22"/>
                <w:u w:val="none" w:color="auto"/>
              </w:rPr>
              <w:t>质量通病防治</w:t>
            </w:r>
            <w:r>
              <w:rPr>
                <w:rFonts w:hint="eastAsia"/>
                <w:sz w:val="22"/>
                <w:szCs w:val="22"/>
                <w:u w:val="none" w:color="auto"/>
                <w:lang w:val="en-US" w:eastAsia="zh-CN"/>
              </w:rPr>
              <w:t>监理细则</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4"/>
              <w:spacing w:before="72" w:line="348" w:lineRule="auto"/>
              <w:ind w:right="2182" w:firstLine="5400" w:firstLineChars="2500"/>
              <w:jc w:val="both"/>
              <w:rPr>
                <w:rFonts w:hint="default" w:eastAsia="宋体"/>
                <w:sz w:val="22"/>
                <w:szCs w:val="22"/>
                <w:u w:val="single"/>
                <w:lang w:val="en-US" w:eastAsia="zh-CN"/>
              </w:rPr>
            </w:pPr>
            <w:r>
              <w:rPr>
                <w:spacing w:val="-2"/>
                <w:sz w:val="22"/>
                <w:szCs w:val="22"/>
              </w:rPr>
              <w:t>监理项目部</w:t>
            </w:r>
            <w:r>
              <w:rPr>
                <w:rFonts w:hint="eastAsia"/>
                <w:spacing w:val="-2"/>
                <w:sz w:val="22"/>
                <w:szCs w:val="22"/>
                <w:lang w:val="en-US" w:eastAsia="zh-CN"/>
              </w:rPr>
              <w:t>(章)</w:t>
            </w:r>
          </w:p>
          <w:p>
            <w:pPr>
              <w:pStyle w:val="14"/>
              <w:spacing w:before="72" w:line="348" w:lineRule="auto"/>
              <w:ind w:right="2182" w:firstLine="5328" w:firstLineChars="2400"/>
              <w:jc w:val="both"/>
              <w:rPr>
                <w:rFonts w:hint="eastAsia" w:eastAsia="宋体"/>
                <w:spacing w:val="4"/>
                <w:sz w:val="22"/>
                <w:szCs w:val="22"/>
                <w:lang w:val="en-US" w:eastAsia="zh-CN"/>
              </w:rPr>
            </w:pPr>
            <w:r>
              <w:rPr>
                <w:spacing w:val="1"/>
                <w:sz w:val="22"/>
                <w:szCs w:val="22"/>
              </w:rPr>
              <w:t>总监理工师</w:t>
            </w:r>
          </w:p>
          <w:p>
            <w:pPr>
              <w:pStyle w:val="14"/>
              <w:spacing w:before="72" w:line="348" w:lineRule="auto"/>
              <w:ind w:right="2182" w:firstLine="5400" w:firstLineChars="2700"/>
              <w:jc w:val="both"/>
              <w:rPr>
                <w:rFonts w:hint="default" w:eastAsia="宋体"/>
                <w:sz w:val="22"/>
                <w:szCs w:val="22"/>
                <w:u w:val="single"/>
                <w:lang w:val="en-US" w:eastAsia="zh-CN"/>
              </w:rPr>
            </w:pPr>
            <w:r>
              <w:rPr>
                <w:spacing w:val="-10"/>
                <w:sz w:val="22"/>
                <w:szCs w:val="22"/>
              </w:rPr>
              <w:t>日</w:t>
            </w:r>
            <w:r>
              <w:rPr>
                <w:spacing w:val="16"/>
                <w:sz w:val="22"/>
                <w:szCs w:val="22"/>
              </w:rPr>
              <w:t xml:space="preserve"> </w:t>
            </w:r>
            <w:r>
              <w:rPr>
                <w:spacing w:val="-10"/>
                <w:sz w:val="22"/>
                <w:szCs w:val="22"/>
              </w:rPr>
              <w:t>期</w:t>
            </w:r>
            <w:r>
              <w:rPr>
                <w:spacing w:val="3"/>
                <w:sz w:val="22"/>
                <w:szCs w:val="22"/>
              </w:rPr>
              <w:t xml:space="preserve"> </w:t>
            </w:r>
            <w:r>
              <w:rPr>
                <w:spacing w:val="-1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9219" w:type="dxa"/>
            <w:tcBorders>
              <w:bottom w:val="nil"/>
            </w:tcBorders>
            <w:noWrap w:val="0"/>
            <w:vAlign w:val="top"/>
          </w:tcPr>
          <w:p>
            <w:pPr>
              <w:pStyle w:val="14"/>
              <w:spacing w:before="25" w:line="219" w:lineRule="auto"/>
              <w:ind w:left="94"/>
              <w:rPr>
                <w:sz w:val="22"/>
                <w:szCs w:val="22"/>
              </w:rPr>
            </w:pPr>
            <w:r>
              <w:rPr>
                <w:sz w:val="22"/>
                <w:szCs w:val="22"/>
              </w:rPr>
              <w:t>业主项目部审批意见：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9219" w:type="dxa"/>
            <w:tcBorders>
              <w:top w:val="nil"/>
            </w:tcBorders>
            <w:noWrap w:val="0"/>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4"/>
              <w:spacing w:before="72" w:line="219" w:lineRule="auto"/>
              <w:ind w:left="5734"/>
              <w:rPr>
                <w:sz w:val="22"/>
                <w:szCs w:val="22"/>
              </w:rPr>
            </w:pPr>
            <w:r>
              <w:rPr>
                <w:spacing w:val="6"/>
                <w:sz w:val="22"/>
                <w:szCs w:val="22"/>
              </w:rPr>
              <w:t>业主项目部(章)</w:t>
            </w:r>
          </w:p>
          <w:p>
            <w:pPr>
              <w:pStyle w:val="14"/>
              <w:spacing w:before="171" w:line="331" w:lineRule="auto"/>
              <w:ind w:left="5694" w:right="514" w:firstLine="9"/>
              <w:rPr>
                <w:spacing w:val="-100"/>
                <w:sz w:val="22"/>
                <w:szCs w:val="22"/>
              </w:rPr>
            </w:pPr>
            <w:r>
              <w:rPr>
                <w:spacing w:val="-2"/>
                <w:sz w:val="22"/>
                <w:szCs w:val="22"/>
              </w:rPr>
              <w:t>业主项目经理</w:t>
            </w:r>
            <w:r>
              <w:rPr>
                <w:spacing w:val="-100"/>
                <w:sz w:val="22"/>
                <w:szCs w:val="22"/>
              </w:rPr>
              <w:t xml:space="preserve"> </w:t>
            </w:r>
          </w:p>
          <w:p>
            <w:pPr>
              <w:pStyle w:val="14"/>
              <w:spacing w:before="171" w:line="331" w:lineRule="auto"/>
              <w:ind w:left="5694" w:right="514" w:firstLine="9"/>
              <w:rPr>
                <w:sz w:val="22"/>
                <w:szCs w:val="22"/>
              </w:rPr>
            </w:pPr>
            <w:r>
              <w:rPr>
                <w:spacing w:val="-2"/>
                <w:sz w:val="22"/>
                <w:szCs w:val="22"/>
              </w:rPr>
              <w:t>日 期 ：</w:t>
            </w:r>
          </w:p>
        </w:tc>
      </w:tr>
    </w:tbl>
    <w:p>
      <w:pPr>
        <w:rPr>
          <w:spacing w:val="-1"/>
          <w:sz w:val="22"/>
          <w:szCs w:val="22"/>
        </w:rPr>
      </w:pPr>
      <w:r>
        <w:rPr>
          <w:sz w:val="22"/>
          <w:szCs w:val="22"/>
        </w:rPr>
        <w:t>本表一式_</w:t>
      </w:r>
      <w:r>
        <w:rPr>
          <w:sz w:val="22"/>
          <w:szCs w:val="22"/>
          <w:u w:val="single" w:color="auto"/>
        </w:rPr>
        <w:t xml:space="preserve"> </w:t>
      </w:r>
      <w:r>
        <w:rPr>
          <w:sz w:val="22"/>
          <w:szCs w:val="22"/>
        </w:rPr>
        <w:t>份，由监理项目部填写，业主项目部存一</w:t>
      </w:r>
      <w:r>
        <w:rPr>
          <w:spacing w:val="-1"/>
          <w:sz w:val="22"/>
          <w:szCs w:val="22"/>
        </w:rPr>
        <w:t>份、监理项目部存_</w:t>
      </w:r>
      <w:r>
        <w:rPr>
          <w:spacing w:val="-102"/>
          <w:sz w:val="22"/>
          <w:szCs w:val="22"/>
        </w:rPr>
        <w:t xml:space="preserve"> </w:t>
      </w:r>
      <w:r>
        <w:rPr>
          <w:sz w:val="22"/>
          <w:szCs w:val="22"/>
          <w:u w:val="single" w:color="auto"/>
        </w:rPr>
        <w:t xml:space="preserve">  </w:t>
      </w:r>
      <w:r>
        <w:rPr>
          <w:spacing w:val="-110"/>
          <w:sz w:val="22"/>
          <w:szCs w:val="22"/>
        </w:rPr>
        <w:t xml:space="preserve"> </w:t>
      </w:r>
      <w:r>
        <w:rPr>
          <w:spacing w:val="-1"/>
          <w:sz w:val="22"/>
          <w:szCs w:val="22"/>
        </w:rPr>
        <w:t>份</w:t>
      </w:r>
    </w:p>
    <w:p/>
    <w:p>
      <w:pPr>
        <w:pStyle w:val="2"/>
      </w:pPr>
    </w:p>
    <w:p/>
    <w:p>
      <w:pPr>
        <w:pStyle w:val="2"/>
      </w:pPr>
    </w:p>
    <w:p/>
    <w:p>
      <w:pPr>
        <w:pStyle w:val="2"/>
      </w:pPr>
    </w:p>
    <w:p/>
    <w:p>
      <w:pPr>
        <w:pStyle w:val="2"/>
      </w:pPr>
    </w:p>
    <w:p/>
    <w:p>
      <w:pPr>
        <w:pStyle w:val="2"/>
      </w:pPr>
    </w:p>
    <w:p/>
    <w:p/>
    <w:p>
      <w:pPr>
        <w:bidi w:val="0"/>
        <w:rPr>
          <w:rFonts w:hint="default"/>
          <w:lang w:val="en-US" w:eastAsia="zh-CN"/>
        </w:rPr>
      </w:pPr>
    </w:p>
    <w:p>
      <w:pPr>
        <w:spacing w:line="243" w:lineRule="auto"/>
        <w:rPr>
          <w:sz w:val="22"/>
          <w:szCs w:val="22"/>
        </w:rPr>
        <w:sectPr>
          <w:headerReference r:id="rId3" w:type="default"/>
          <w:footerReference r:id="rId4" w:type="default"/>
          <w:pgSz w:w="11900" w:h="16840"/>
          <w:pgMar w:top="400" w:right="494" w:bottom="343" w:left="1355" w:header="0" w:footer="80" w:gutter="0"/>
          <w:pgNumType w:fmt="decimal"/>
          <w:cols w:space="720" w:num="1"/>
        </w:sectPr>
      </w:pPr>
    </w:p>
    <w:p>
      <w:pPr>
        <w:spacing w:line="259" w:lineRule="auto"/>
        <w:rPr>
          <w:rFonts w:ascii="Arial"/>
          <w:sz w:val="21"/>
        </w:rPr>
      </w:pPr>
    </w:p>
    <w:p>
      <w:pPr>
        <w:spacing w:line="253" w:lineRule="auto"/>
        <w:rPr>
          <w:rFonts w:hint="eastAsia" w:asciiTheme="minorHAnsi" w:hAnsiTheme="minorHAnsi" w:eastAsiaTheme="minorEastAsia" w:cstheme="minorBidi"/>
          <w:b/>
          <w:bCs/>
          <w:snapToGrid w:val="0"/>
          <w:color w:val="000000"/>
          <w:spacing w:val="-28"/>
          <w:kern w:val="2"/>
          <w:sz w:val="36"/>
          <w:szCs w:val="36"/>
          <w:u w:val="none"/>
          <w:lang w:val="en-US" w:eastAsia="zh-CN" w:bidi="ar-SA"/>
        </w:rPr>
      </w:pPr>
    </w:p>
    <w:p>
      <w:pPr>
        <w:spacing w:line="253" w:lineRule="auto"/>
        <w:rPr>
          <w:rFonts w:hint="eastAsia" w:asciiTheme="minorHAnsi" w:hAnsiTheme="minorHAnsi" w:eastAsiaTheme="minorEastAsia" w:cstheme="minorBidi"/>
          <w:b/>
          <w:bCs/>
          <w:snapToGrid w:val="0"/>
          <w:color w:val="000000"/>
          <w:spacing w:val="-28"/>
          <w:kern w:val="2"/>
          <w:sz w:val="36"/>
          <w:szCs w:val="36"/>
          <w:u w:val="none"/>
          <w:lang w:val="en-US" w:eastAsia="zh-CN" w:bidi="ar-SA"/>
        </w:rPr>
      </w:pPr>
    </w:p>
    <w:p>
      <w:pPr>
        <w:spacing w:line="253" w:lineRule="auto"/>
        <w:rPr>
          <w:rFonts w:ascii="Arial"/>
          <w:b/>
          <w:bCs/>
          <w:spacing w:val="-28"/>
          <w:sz w:val="28"/>
          <w:szCs w:val="28"/>
        </w:rPr>
      </w:pPr>
      <w:r>
        <w:rPr>
          <w:rFonts w:hint="eastAsia" w:asciiTheme="minorHAnsi" w:hAnsiTheme="minorHAnsi" w:eastAsiaTheme="minorEastAsia" w:cstheme="minorBidi"/>
          <w:b/>
          <w:bCs/>
          <w:snapToGrid w:val="0"/>
          <w:color w:val="000000"/>
          <w:spacing w:val="-28"/>
          <w:kern w:val="2"/>
          <w:sz w:val="36"/>
          <w:szCs w:val="36"/>
          <w:u w:val="none"/>
          <w:lang w:val="en-US" w:eastAsia="zh-CN" w:bidi="ar-SA"/>
        </w:rPr>
        <w:t>高邮市鑫辰新能源有限公司汤庄镇61MW渔光互补光伏发电项目</w:t>
      </w: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pacing w:val="-2"/>
          <w:sz w:val="44"/>
          <w:szCs w:val="44"/>
        </w:rPr>
      </w:pPr>
    </w:p>
    <w:p>
      <w:pPr>
        <w:spacing w:before="143" w:line="221" w:lineRule="auto"/>
        <w:ind w:left="2154"/>
        <w:rPr>
          <w:rFonts w:ascii="黑体" w:hAnsi="黑体" w:eastAsia="黑体" w:cs="黑体"/>
          <w:sz w:val="44"/>
          <w:szCs w:val="44"/>
        </w:rPr>
      </w:pPr>
      <w:r>
        <w:rPr>
          <w:rFonts w:ascii="黑体" w:hAnsi="黑体" w:eastAsia="黑体" w:cs="黑体"/>
          <w:spacing w:val="-2"/>
          <w:sz w:val="44"/>
          <w:szCs w:val="44"/>
        </w:rPr>
        <w:t>质量通病防治控制措施</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5"/>
        <w:spacing w:before="91" w:line="221" w:lineRule="auto"/>
        <w:ind w:left="1055" w:firstLine="2040" w:firstLineChars="600"/>
        <w:rPr>
          <w:rFonts w:hint="default" w:eastAsia="宋体"/>
          <w:sz w:val="28"/>
          <w:szCs w:val="28"/>
          <w:lang w:val="en-US" w:eastAsia="zh-CN"/>
        </w:rPr>
      </w:pPr>
      <w:r>
        <w:drawing>
          <wp:anchor distT="0" distB="0" distL="0" distR="0" simplePos="0" relativeHeight="251665408" behindDoc="0" locked="0" layoutInCell="1" allowOverlap="1">
            <wp:simplePos x="0" y="0"/>
            <wp:positionH relativeFrom="column">
              <wp:posOffset>2299970</wp:posOffset>
            </wp:positionH>
            <wp:positionV relativeFrom="paragraph">
              <wp:posOffset>255905</wp:posOffset>
            </wp:positionV>
            <wp:extent cx="1543050" cy="8890"/>
            <wp:effectExtent l="0" t="0" r="0" b="0"/>
            <wp:wrapNone/>
            <wp:docPr id="636" name="IM 636"/>
            <wp:cNvGraphicFramePr/>
            <a:graphic xmlns:a="http://schemas.openxmlformats.org/drawingml/2006/main">
              <a:graphicData uri="http://schemas.openxmlformats.org/drawingml/2006/picture">
                <pic:pic xmlns:pic="http://schemas.openxmlformats.org/drawingml/2006/picture">
                  <pic:nvPicPr>
                    <pic:cNvPr id="636" name="IM 636"/>
                    <pic:cNvPicPr/>
                  </pic:nvPicPr>
                  <pic:blipFill>
                    <a:blip r:embed="rId10"/>
                    <a:stretch>
                      <a:fillRect/>
                    </a:stretch>
                  </pic:blipFill>
                  <pic:spPr>
                    <a:xfrm>
                      <a:off x="0" y="0"/>
                      <a:ext cx="1543112" cy="8890"/>
                    </a:xfrm>
                    <a:prstGeom prst="rect">
                      <a:avLst/>
                    </a:prstGeom>
                  </pic:spPr>
                </pic:pic>
              </a:graphicData>
            </a:graphic>
          </wp:anchor>
        </w:drawing>
      </w:r>
      <w:r>
        <w:rPr>
          <w:spacing w:val="-3"/>
          <w:sz w:val="28"/>
          <w:szCs w:val="28"/>
        </w:rPr>
        <w:t>批准</w:t>
      </w:r>
      <w:r>
        <w:rPr>
          <w:rFonts w:hint="eastAsia"/>
          <w:spacing w:val="-3"/>
          <w:sz w:val="28"/>
          <w:szCs w:val="28"/>
          <w:lang w:val="en-US" w:eastAsia="zh-CN"/>
        </w:rPr>
        <w:t xml:space="preserve">             </w:t>
      </w:r>
    </w:p>
    <w:p>
      <w:pPr>
        <w:spacing w:line="266" w:lineRule="auto"/>
        <w:rPr>
          <w:rFonts w:ascii="Arial"/>
          <w:sz w:val="21"/>
        </w:rPr>
      </w:pPr>
    </w:p>
    <w:p>
      <w:pPr>
        <w:pStyle w:val="5"/>
        <w:spacing w:before="91" w:line="220" w:lineRule="auto"/>
        <w:ind w:firstLine="3060" w:firstLineChars="900"/>
        <w:rPr>
          <w:sz w:val="28"/>
          <w:szCs w:val="28"/>
        </w:rPr>
      </w:pPr>
      <w:r>
        <w:drawing>
          <wp:anchor distT="0" distB="0" distL="0" distR="0" simplePos="0" relativeHeight="251664384" behindDoc="0" locked="0" layoutInCell="1" allowOverlap="1">
            <wp:simplePos x="0" y="0"/>
            <wp:positionH relativeFrom="column">
              <wp:posOffset>2268220</wp:posOffset>
            </wp:positionH>
            <wp:positionV relativeFrom="paragraph">
              <wp:posOffset>222885</wp:posOffset>
            </wp:positionV>
            <wp:extent cx="1593850" cy="8890"/>
            <wp:effectExtent l="0" t="0" r="0" b="0"/>
            <wp:wrapNone/>
            <wp:docPr id="642" name="IM 642"/>
            <wp:cNvGraphicFramePr/>
            <a:graphic xmlns:a="http://schemas.openxmlformats.org/drawingml/2006/main">
              <a:graphicData uri="http://schemas.openxmlformats.org/drawingml/2006/picture">
                <pic:pic xmlns:pic="http://schemas.openxmlformats.org/drawingml/2006/picture">
                  <pic:nvPicPr>
                    <pic:cNvPr id="642" name="IM 642"/>
                    <pic:cNvPicPr/>
                  </pic:nvPicPr>
                  <pic:blipFill>
                    <a:blip r:embed="rId11"/>
                    <a:stretch>
                      <a:fillRect/>
                    </a:stretch>
                  </pic:blipFill>
                  <pic:spPr>
                    <a:xfrm>
                      <a:off x="0" y="0"/>
                      <a:ext cx="1593892" cy="8890"/>
                    </a:xfrm>
                    <a:prstGeom prst="rect">
                      <a:avLst/>
                    </a:prstGeom>
                  </pic:spPr>
                </pic:pic>
              </a:graphicData>
            </a:graphic>
          </wp:anchor>
        </w:drawing>
      </w:r>
      <w:r>
        <w:rPr>
          <w:spacing w:val="-7"/>
          <w:sz w:val="28"/>
          <w:szCs w:val="28"/>
        </w:rPr>
        <w:t>审核</w:t>
      </w:r>
    </w:p>
    <w:p>
      <w:pPr>
        <w:spacing w:line="266" w:lineRule="auto"/>
        <w:rPr>
          <w:rFonts w:ascii="Arial"/>
          <w:sz w:val="21"/>
        </w:rPr>
      </w:pPr>
    </w:p>
    <w:p>
      <w:pPr>
        <w:spacing w:line="266" w:lineRule="auto"/>
        <w:ind w:firstLine="2926" w:firstLineChars="1100"/>
        <w:rPr>
          <w:spacing w:val="-7"/>
          <w:sz w:val="28"/>
          <w:szCs w:val="28"/>
        </w:rPr>
      </w:pPr>
    </w:p>
    <w:p>
      <w:pPr>
        <w:spacing w:line="266" w:lineRule="auto"/>
        <w:ind w:firstLine="3150" w:firstLineChars="1500"/>
        <w:rPr>
          <w:rFonts w:ascii="Arial"/>
          <w:sz w:val="21"/>
        </w:rPr>
      </w:pPr>
      <w:r>
        <w:drawing>
          <wp:anchor distT="0" distB="0" distL="0" distR="0" simplePos="0" relativeHeight="251666432" behindDoc="0" locked="0" layoutInCell="1" allowOverlap="1">
            <wp:simplePos x="0" y="0"/>
            <wp:positionH relativeFrom="column">
              <wp:posOffset>2277110</wp:posOffset>
            </wp:positionH>
            <wp:positionV relativeFrom="paragraph">
              <wp:posOffset>203200</wp:posOffset>
            </wp:positionV>
            <wp:extent cx="1543050" cy="8890"/>
            <wp:effectExtent l="0" t="0" r="0" b="0"/>
            <wp:wrapNone/>
            <wp:docPr id="644" name="IM 644"/>
            <wp:cNvGraphicFramePr/>
            <a:graphic xmlns:a="http://schemas.openxmlformats.org/drawingml/2006/main">
              <a:graphicData uri="http://schemas.openxmlformats.org/drawingml/2006/picture">
                <pic:pic xmlns:pic="http://schemas.openxmlformats.org/drawingml/2006/picture">
                  <pic:nvPicPr>
                    <pic:cNvPr id="644" name="IM 644"/>
                    <pic:cNvPicPr/>
                  </pic:nvPicPr>
                  <pic:blipFill>
                    <a:blip r:embed="rId10"/>
                    <a:stretch>
                      <a:fillRect/>
                    </a:stretch>
                  </pic:blipFill>
                  <pic:spPr>
                    <a:xfrm>
                      <a:off x="0" y="0"/>
                      <a:ext cx="1543113" cy="8890"/>
                    </a:xfrm>
                    <a:prstGeom prst="rect">
                      <a:avLst/>
                    </a:prstGeom>
                  </pic:spPr>
                </pic:pic>
              </a:graphicData>
            </a:graphic>
          </wp:anchor>
        </w:drawing>
      </w:r>
      <w:r>
        <w:rPr>
          <w:spacing w:val="-7"/>
          <w:sz w:val="28"/>
          <w:szCs w:val="28"/>
        </w:rPr>
        <w:t>编制</w:t>
      </w:r>
    </w:p>
    <w:p>
      <w:pPr>
        <w:spacing w:before="6"/>
      </w:pPr>
    </w:p>
    <w:p>
      <w:pPr>
        <w:spacing w:before="5"/>
      </w:pPr>
    </w:p>
    <w:p>
      <w:pPr>
        <w:sectPr>
          <w:footerReference r:id="rId5" w:type="default"/>
          <w:pgSz w:w="11900" w:h="16840"/>
          <w:pgMar w:top="400" w:right="418" w:bottom="148" w:left="1785" w:header="0" w:footer="0" w:gutter="0"/>
          <w:pgNumType w:fmt="decimal"/>
          <w:cols w:equalWidth="0" w:num="1">
            <w:col w:w="9697"/>
          </w:cols>
        </w:sectPr>
      </w:pPr>
    </w:p>
    <w:p>
      <w:pPr>
        <w:pStyle w:val="5"/>
        <w:spacing w:before="91" w:line="216" w:lineRule="auto"/>
        <w:ind w:firstLine="2380" w:firstLineChars="700"/>
        <w:jc w:val="both"/>
        <w:sectPr>
          <w:type w:val="continuous"/>
          <w:pgSz w:w="11900" w:h="16840"/>
          <w:pgMar w:top="400" w:right="418" w:bottom="148" w:left="1785" w:header="0" w:footer="0" w:gutter="0"/>
          <w:pgNumType w:fmt="decimal"/>
          <w:cols w:equalWidth="0" w:num="1">
            <w:col w:w="9697"/>
          </w:cols>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spacing w:before="130" w:line="221" w:lineRule="auto"/>
        <w:ind w:left="4156"/>
        <w:rPr>
          <w:sz w:val="40"/>
          <w:szCs w:val="40"/>
        </w:rPr>
      </w:pPr>
      <w:r>
        <w:rPr>
          <w:b/>
          <w:bCs/>
          <w:spacing w:val="-51"/>
          <w:sz w:val="40"/>
          <w:szCs w:val="40"/>
        </w:rPr>
        <w:t>目</w:t>
      </w:r>
      <w:r>
        <w:rPr>
          <w:spacing w:val="117"/>
          <w:sz w:val="40"/>
          <w:szCs w:val="40"/>
        </w:rPr>
        <w:t xml:space="preserve"> </w:t>
      </w:r>
      <w:r>
        <w:rPr>
          <w:b/>
          <w:bCs/>
          <w:spacing w:val="-51"/>
          <w:sz w:val="40"/>
          <w:szCs w:val="40"/>
        </w:rPr>
        <w:t>录</w:t>
      </w:r>
    </w:p>
    <w:p>
      <w:pPr>
        <w:spacing w:line="320" w:lineRule="auto"/>
        <w:rPr>
          <w:rFonts w:ascii="Arial"/>
          <w:sz w:val="21"/>
        </w:rPr>
      </w:pPr>
    </w:p>
    <w:p>
      <w:pPr>
        <w:spacing w:line="320" w:lineRule="auto"/>
        <w:rPr>
          <w:rFonts w:ascii="Arial"/>
          <w:sz w:val="21"/>
        </w:rPr>
      </w:pPr>
    </w:p>
    <w:p>
      <w:pPr>
        <w:pStyle w:val="5"/>
        <w:spacing w:before="82" w:line="213" w:lineRule="auto"/>
        <w:ind w:left="90"/>
        <w:rPr>
          <w:sz w:val="24"/>
          <w:szCs w:val="24"/>
        </w:rPr>
      </w:pPr>
      <w:r>
        <w:rPr>
          <w:i/>
          <w:iCs/>
          <w:spacing w:val="-18"/>
          <w:w w:val="67"/>
          <w:sz w:val="25"/>
          <w:szCs w:val="25"/>
        </w:rPr>
        <w:t>一</w:t>
      </w:r>
      <w:r>
        <w:rPr>
          <w:i/>
          <w:iCs/>
          <w:spacing w:val="-22"/>
          <w:sz w:val="25"/>
          <w:szCs w:val="25"/>
        </w:rPr>
        <w:t>、</w:t>
      </w:r>
      <w:r>
        <w:rPr>
          <w:spacing w:val="4"/>
          <w:sz w:val="25"/>
          <w:szCs w:val="25"/>
        </w:rPr>
        <w:t xml:space="preserve">   </w:t>
      </w:r>
      <w:r>
        <w:rPr>
          <w:spacing w:val="-22"/>
          <w:sz w:val="24"/>
          <w:szCs w:val="24"/>
        </w:rPr>
        <w:t>总则</w:t>
      </w:r>
    </w:p>
    <w:p>
      <w:pPr>
        <w:pStyle w:val="5"/>
        <w:spacing w:before="259" w:line="212" w:lineRule="auto"/>
        <w:rPr>
          <w:sz w:val="24"/>
          <w:szCs w:val="24"/>
        </w:rPr>
      </w:pPr>
      <w:r>
        <w:rPr>
          <w:i/>
          <w:iCs/>
          <w:spacing w:val="-10"/>
          <w:sz w:val="25"/>
          <w:szCs w:val="25"/>
        </w:rPr>
        <w:t>二、</w:t>
      </w:r>
      <w:r>
        <w:rPr>
          <w:spacing w:val="-10"/>
          <w:sz w:val="25"/>
          <w:szCs w:val="25"/>
        </w:rPr>
        <w:t xml:space="preserve">   </w:t>
      </w:r>
      <w:r>
        <w:rPr>
          <w:spacing w:val="-10"/>
          <w:sz w:val="24"/>
          <w:szCs w:val="24"/>
        </w:rPr>
        <w:t>基本规定</w:t>
      </w:r>
    </w:p>
    <w:p>
      <w:pPr>
        <w:pStyle w:val="5"/>
        <w:spacing w:before="224" w:line="219" w:lineRule="auto"/>
        <w:rPr>
          <w:sz w:val="24"/>
          <w:szCs w:val="24"/>
        </w:rPr>
      </w:pPr>
      <w:r>
        <w:rPr>
          <w:spacing w:val="-3"/>
          <w:sz w:val="24"/>
          <w:szCs w:val="24"/>
        </w:rPr>
        <w:t>三、</w:t>
      </w:r>
      <w:r>
        <w:rPr>
          <w:spacing w:val="58"/>
          <w:sz w:val="24"/>
          <w:szCs w:val="24"/>
        </w:rPr>
        <w:t xml:space="preserve">  </w:t>
      </w:r>
      <w:r>
        <w:rPr>
          <w:spacing w:val="-3"/>
          <w:sz w:val="24"/>
          <w:szCs w:val="24"/>
        </w:rPr>
        <w:t>监理部控制措施</w:t>
      </w:r>
    </w:p>
    <w:p>
      <w:pPr>
        <w:pStyle w:val="5"/>
        <w:spacing w:before="235" w:line="220" w:lineRule="auto"/>
        <w:rPr>
          <w:sz w:val="24"/>
          <w:szCs w:val="24"/>
        </w:rPr>
      </w:pPr>
      <w:r>
        <w:rPr>
          <w:spacing w:val="-7"/>
          <w:sz w:val="24"/>
          <w:szCs w:val="24"/>
        </w:rPr>
        <w:t>四、</w:t>
      </w:r>
      <w:r>
        <w:rPr>
          <w:spacing w:val="4"/>
          <w:sz w:val="24"/>
          <w:szCs w:val="24"/>
        </w:rPr>
        <w:t xml:space="preserve">   </w:t>
      </w:r>
      <w:r>
        <w:rPr>
          <w:spacing w:val="-7"/>
          <w:sz w:val="24"/>
          <w:szCs w:val="24"/>
        </w:rPr>
        <w:t>控制措施</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 w:line="273" w:lineRule="exact"/>
        <w:ind w:firstLine="9625"/>
      </w:pPr>
      <w:r>
        <w:rPr>
          <w:position w:val="-5"/>
        </w:rPr>
        <w:drawing>
          <wp:inline distT="0" distB="0" distL="0" distR="0">
            <wp:extent cx="220980" cy="173355"/>
            <wp:effectExtent l="0" t="0" r="7620" b="17145"/>
            <wp:docPr id="652" name="IM 652"/>
            <wp:cNvGraphicFramePr/>
            <a:graphic xmlns:a="http://schemas.openxmlformats.org/drawingml/2006/main">
              <a:graphicData uri="http://schemas.openxmlformats.org/drawingml/2006/picture">
                <pic:pic xmlns:pic="http://schemas.openxmlformats.org/drawingml/2006/picture">
                  <pic:nvPicPr>
                    <pic:cNvPr id="652" name="IM 652"/>
                    <pic:cNvPicPr/>
                  </pic:nvPicPr>
                  <pic:blipFill>
                    <a:blip r:embed="rId12"/>
                    <a:stretch>
                      <a:fillRect/>
                    </a:stretch>
                  </pic:blipFill>
                  <pic:spPr>
                    <a:xfrm>
                      <a:off x="0" y="0"/>
                      <a:ext cx="221222" cy="173566"/>
                    </a:xfrm>
                    <a:prstGeom prst="rect">
                      <a:avLst/>
                    </a:prstGeom>
                  </pic:spPr>
                </pic:pic>
              </a:graphicData>
            </a:graphic>
          </wp:inline>
        </w:drawing>
      </w:r>
    </w:p>
    <w:p>
      <w:pPr>
        <w:spacing w:line="273" w:lineRule="exact"/>
        <w:sectPr>
          <w:pgSz w:w="11900" w:h="16840"/>
          <w:pgMar w:top="400" w:right="436" w:bottom="258" w:left="1489" w:header="0" w:footer="0" w:gutter="0"/>
          <w:pgNumType w:fmt="decimal"/>
          <w:cols w:space="720" w:num="1"/>
        </w:sect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5"/>
        <w:spacing w:before="81" w:line="220" w:lineRule="auto"/>
        <w:ind w:left="5"/>
        <w:rPr>
          <w:sz w:val="25"/>
          <w:szCs w:val="25"/>
        </w:rPr>
      </w:pPr>
      <w:r>
        <w:rPr>
          <w:spacing w:val="-13"/>
          <w:sz w:val="25"/>
          <w:szCs w:val="25"/>
        </w:rPr>
        <w:t>一、总则</w:t>
      </w:r>
    </w:p>
    <w:p>
      <w:pPr>
        <w:spacing w:line="315" w:lineRule="auto"/>
        <w:rPr>
          <w:rFonts w:ascii="Arial"/>
          <w:sz w:val="21"/>
        </w:rPr>
      </w:pPr>
    </w:p>
    <w:p>
      <w:pPr>
        <w:pStyle w:val="5"/>
        <w:spacing w:before="81" w:line="343" w:lineRule="auto"/>
        <w:ind w:right="814" w:firstLine="515"/>
        <w:jc w:val="both"/>
        <w:rPr>
          <w:sz w:val="25"/>
          <w:szCs w:val="25"/>
        </w:rPr>
      </w:pPr>
      <w:r>
        <w:rPr>
          <w:spacing w:val="-6"/>
          <w:sz w:val="25"/>
          <w:szCs w:val="25"/>
        </w:rPr>
        <w:t>为进一步提高</w:t>
      </w:r>
      <w:r>
        <w:rPr>
          <w:rFonts w:hint="eastAsia" w:ascii="宋体" w:hAnsi="宋体" w:eastAsia="宋体" w:cs="宋体"/>
          <w:spacing w:val="-9"/>
          <w:kern w:val="2"/>
          <w:sz w:val="25"/>
          <w:szCs w:val="25"/>
          <w:lang w:val="en-US" w:eastAsia="zh-CN" w:bidi="ar-SA"/>
        </w:rPr>
        <w:t>高邮市鑫辰新能源有限公司汤庄镇</w:t>
      </w:r>
      <w:r>
        <w:rPr>
          <w:rFonts w:hint="eastAsia" w:cs="宋体"/>
          <w:spacing w:val="-9"/>
          <w:kern w:val="2"/>
          <w:sz w:val="25"/>
          <w:szCs w:val="25"/>
          <w:lang w:val="en-US" w:eastAsia="zh-CN" w:bidi="ar-SA"/>
        </w:rPr>
        <w:t>61</w:t>
      </w:r>
      <w:r>
        <w:rPr>
          <w:rFonts w:hint="eastAsia" w:ascii="宋体" w:hAnsi="宋体" w:eastAsia="宋体" w:cs="宋体"/>
          <w:spacing w:val="-9"/>
          <w:kern w:val="2"/>
          <w:sz w:val="25"/>
          <w:szCs w:val="25"/>
          <w:lang w:val="en-US" w:eastAsia="zh-CN" w:bidi="ar-SA"/>
        </w:rPr>
        <w:t>MW渔光互补光伏发电项目</w:t>
      </w:r>
      <w:r>
        <w:rPr>
          <w:spacing w:val="-6"/>
          <w:sz w:val="25"/>
          <w:szCs w:val="25"/>
        </w:rPr>
        <w:t>施工质量，杜绝施</w:t>
      </w:r>
      <w:r>
        <w:rPr>
          <w:spacing w:val="12"/>
          <w:sz w:val="25"/>
          <w:szCs w:val="25"/>
        </w:rPr>
        <w:t xml:space="preserve"> </w:t>
      </w:r>
      <w:r>
        <w:rPr>
          <w:spacing w:val="-12"/>
          <w:sz w:val="25"/>
          <w:szCs w:val="25"/>
        </w:rPr>
        <w:t>工过程中质量通病的发生，全面开展质量通病治理活动逐步消除对电网安全稳定运行有较</w:t>
      </w:r>
      <w:r>
        <w:rPr>
          <w:spacing w:val="2"/>
          <w:sz w:val="25"/>
          <w:szCs w:val="25"/>
        </w:rPr>
        <w:t xml:space="preserve"> </w:t>
      </w:r>
      <w:r>
        <w:rPr>
          <w:spacing w:val="-12"/>
          <w:sz w:val="25"/>
          <w:szCs w:val="25"/>
        </w:rPr>
        <w:t>大影响和影响观感质量的质量通病，促进工程项目整体质量管理水平不断提升，最终实现</w:t>
      </w:r>
      <w:r>
        <w:rPr>
          <w:spacing w:val="1"/>
          <w:sz w:val="25"/>
          <w:szCs w:val="25"/>
        </w:rPr>
        <w:t xml:space="preserve"> </w:t>
      </w:r>
      <w:r>
        <w:rPr>
          <w:spacing w:val="-11"/>
          <w:sz w:val="25"/>
          <w:szCs w:val="25"/>
        </w:rPr>
        <w:t>工程顺利达标投产和工程创优的质量目标，根据国家有关法律</w:t>
      </w:r>
      <w:r>
        <w:rPr>
          <w:spacing w:val="-12"/>
          <w:sz w:val="25"/>
          <w:szCs w:val="25"/>
        </w:rPr>
        <w:t>、法规及相关规定，特制定</w:t>
      </w:r>
      <w:r>
        <w:rPr>
          <w:sz w:val="25"/>
          <w:szCs w:val="25"/>
        </w:rPr>
        <w:t xml:space="preserve"> </w:t>
      </w:r>
      <w:r>
        <w:rPr>
          <w:spacing w:val="-2"/>
          <w:sz w:val="25"/>
          <w:szCs w:val="25"/>
        </w:rPr>
        <w:t>《钦州康熙岭渔光一体光伏电站(三期)光伏发电项目质量通病防治控制措施》,要求监</w:t>
      </w:r>
      <w:r>
        <w:rPr>
          <w:spacing w:val="7"/>
          <w:sz w:val="25"/>
          <w:szCs w:val="25"/>
        </w:rPr>
        <w:t xml:space="preserve"> </w:t>
      </w:r>
      <w:r>
        <w:rPr>
          <w:spacing w:val="-11"/>
          <w:sz w:val="25"/>
          <w:szCs w:val="25"/>
        </w:rPr>
        <w:t>理项目部全体管理人员、各参建队伍在施工生产过</w:t>
      </w:r>
      <w:r>
        <w:rPr>
          <w:spacing w:val="-12"/>
          <w:sz w:val="25"/>
          <w:szCs w:val="25"/>
        </w:rPr>
        <w:t>程中严格遵照执行。</w:t>
      </w:r>
    </w:p>
    <w:p>
      <w:pPr>
        <w:pStyle w:val="5"/>
        <w:spacing w:before="24" w:line="342" w:lineRule="auto"/>
        <w:ind w:left="515" w:right="1385"/>
        <w:rPr>
          <w:sz w:val="25"/>
          <w:szCs w:val="25"/>
        </w:rPr>
      </w:pPr>
      <w:r>
        <w:rPr>
          <w:spacing w:val="-4"/>
          <w:sz w:val="25"/>
          <w:szCs w:val="25"/>
        </w:rPr>
        <w:t>1.1本规定适用于</w:t>
      </w:r>
      <w:r>
        <w:rPr>
          <w:rFonts w:hint="eastAsia" w:ascii="宋体" w:hAnsi="宋体" w:eastAsia="宋体" w:cs="宋体"/>
          <w:spacing w:val="-9"/>
          <w:kern w:val="2"/>
          <w:sz w:val="25"/>
          <w:szCs w:val="25"/>
          <w:lang w:val="en-US" w:eastAsia="zh-CN" w:bidi="ar-SA"/>
        </w:rPr>
        <w:t>高邮市鑫辰新能源有限公司汤庄镇</w:t>
      </w:r>
      <w:r>
        <w:rPr>
          <w:rFonts w:hint="eastAsia" w:cs="宋体"/>
          <w:spacing w:val="-9"/>
          <w:kern w:val="2"/>
          <w:sz w:val="25"/>
          <w:szCs w:val="25"/>
          <w:lang w:val="en-US" w:eastAsia="zh-CN" w:bidi="ar-SA"/>
        </w:rPr>
        <w:t>61</w:t>
      </w:r>
      <w:r>
        <w:rPr>
          <w:rFonts w:hint="eastAsia" w:ascii="宋体" w:hAnsi="宋体" w:eastAsia="宋体" w:cs="宋体"/>
          <w:spacing w:val="-9"/>
          <w:kern w:val="2"/>
          <w:sz w:val="25"/>
          <w:szCs w:val="25"/>
          <w:lang w:val="en-US" w:eastAsia="zh-CN" w:bidi="ar-SA"/>
        </w:rPr>
        <w:t>MW渔光互补光伏发电项目</w:t>
      </w:r>
      <w:r>
        <w:rPr>
          <w:spacing w:val="-5"/>
          <w:sz w:val="25"/>
          <w:szCs w:val="25"/>
        </w:rPr>
        <w:t>全过程。</w:t>
      </w:r>
      <w:r>
        <w:rPr>
          <w:sz w:val="25"/>
          <w:szCs w:val="25"/>
        </w:rPr>
        <w:t xml:space="preserve"> </w:t>
      </w:r>
      <w:r>
        <w:rPr>
          <w:spacing w:val="-10"/>
          <w:sz w:val="25"/>
          <w:szCs w:val="25"/>
        </w:rPr>
        <w:t>1.2引用标准及参考文献：</w:t>
      </w:r>
    </w:p>
    <w:p>
      <w:pPr>
        <w:pStyle w:val="5"/>
        <w:spacing w:before="25" w:line="219" w:lineRule="auto"/>
        <w:ind w:left="515"/>
        <w:rPr>
          <w:sz w:val="25"/>
          <w:szCs w:val="25"/>
        </w:rPr>
      </w:pPr>
      <w:r>
        <w:rPr>
          <w:spacing w:val="-7"/>
          <w:sz w:val="25"/>
          <w:szCs w:val="25"/>
        </w:rPr>
        <w:t>1)《电力建设工程质量问题通病防治手册》</w:t>
      </w:r>
    </w:p>
    <w:p>
      <w:pPr>
        <w:pStyle w:val="5"/>
        <w:spacing w:before="172" w:line="539" w:lineRule="auto"/>
        <w:ind w:left="5" w:right="6655" w:firstLine="510"/>
        <w:rPr>
          <w:sz w:val="25"/>
          <w:szCs w:val="25"/>
        </w:rPr>
      </w:pPr>
      <w:r>
        <w:rPr>
          <w:spacing w:val="-4"/>
          <w:sz w:val="25"/>
          <w:szCs w:val="25"/>
        </w:rPr>
        <w:t>2)现行设计及施工验收规范</w:t>
      </w:r>
      <w:r>
        <w:rPr>
          <w:spacing w:val="5"/>
          <w:sz w:val="25"/>
          <w:szCs w:val="25"/>
        </w:rPr>
        <w:t xml:space="preserve"> </w:t>
      </w:r>
      <w:bookmarkStart w:id="0" w:name="_GoBack"/>
      <w:bookmarkEnd w:id="0"/>
      <w:r>
        <w:rPr>
          <w:spacing w:val="-14"/>
          <w:sz w:val="25"/>
          <w:szCs w:val="25"/>
        </w:rPr>
        <w:t>二、基本规定</w:t>
      </w:r>
    </w:p>
    <w:p>
      <w:pPr>
        <w:pStyle w:val="5"/>
        <w:spacing w:before="2" w:line="338" w:lineRule="auto"/>
        <w:ind w:left="5" w:right="816" w:firstLine="510"/>
        <w:jc w:val="both"/>
        <w:rPr>
          <w:sz w:val="25"/>
          <w:szCs w:val="25"/>
        </w:rPr>
      </w:pPr>
      <w:r>
        <w:rPr>
          <w:spacing w:val="-9"/>
          <w:sz w:val="25"/>
          <w:szCs w:val="25"/>
        </w:rPr>
        <w:t>2.1施工图审查机构、监理单位，应重视审查通病防治的设计措施</w:t>
      </w:r>
      <w:r>
        <w:rPr>
          <w:spacing w:val="-10"/>
          <w:sz w:val="25"/>
          <w:szCs w:val="25"/>
        </w:rPr>
        <w:t>，并将其质量通病</w:t>
      </w:r>
      <w:r>
        <w:rPr>
          <w:sz w:val="25"/>
          <w:szCs w:val="25"/>
        </w:rPr>
        <w:t xml:space="preserve"> </w:t>
      </w:r>
      <w:r>
        <w:rPr>
          <w:spacing w:val="-11"/>
          <w:sz w:val="25"/>
          <w:szCs w:val="25"/>
        </w:rPr>
        <w:t>审查内容。电力建设工程质量监督机构应将通</w:t>
      </w:r>
      <w:r>
        <w:rPr>
          <w:spacing w:val="-12"/>
          <w:sz w:val="25"/>
          <w:szCs w:val="25"/>
        </w:rPr>
        <w:t>病防治工作列入监督重点内容。施工项目部</w:t>
      </w:r>
      <w:r>
        <w:rPr>
          <w:sz w:val="25"/>
          <w:szCs w:val="25"/>
        </w:rPr>
        <w:t xml:space="preserve"> </w:t>
      </w:r>
      <w:r>
        <w:rPr>
          <w:spacing w:val="-11"/>
          <w:sz w:val="25"/>
          <w:szCs w:val="25"/>
        </w:rPr>
        <w:t>质量通病防治及控制措施应报监理审查、批准，报建</w:t>
      </w:r>
      <w:r>
        <w:rPr>
          <w:spacing w:val="-12"/>
          <w:sz w:val="25"/>
          <w:szCs w:val="25"/>
        </w:rPr>
        <w:t>设单位备案后予以实施。</w:t>
      </w:r>
    </w:p>
    <w:p>
      <w:pPr>
        <w:pStyle w:val="5"/>
        <w:spacing w:before="34" w:line="219" w:lineRule="auto"/>
        <w:ind w:left="515"/>
        <w:rPr>
          <w:sz w:val="25"/>
          <w:szCs w:val="25"/>
        </w:rPr>
      </w:pPr>
      <w:r>
        <w:rPr>
          <w:spacing w:val="-11"/>
          <w:sz w:val="25"/>
          <w:szCs w:val="25"/>
        </w:rPr>
        <w:t>2.2根据工程特点，将下列质量通病将作为本工程的控制重点，并制定相应措施：</w:t>
      </w:r>
    </w:p>
    <w:p>
      <w:pPr>
        <w:pStyle w:val="5"/>
        <w:spacing w:before="195" w:line="219" w:lineRule="auto"/>
        <w:ind w:left="515"/>
        <w:rPr>
          <w:sz w:val="25"/>
          <w:szCs w:val="25"/>
        </w:rPr>
      </w:pPr>
      <w:r>
        <w:rPr>
          <w:spacing w:val="-15"/>
          <w:sz w:val="25"/>
          <w:szCs w:val="25"/>
        </w:rPr>
        <w:t>1、电气一次设备安装质量通病防治；</w:t>
      </w:r>
    </w:p>
    <w:p>
      <w:pPr>
        <w:pStyle w:val="5"/>
        <w:spacing w:before="164" w:line="219" w:lineRule="auto"/>
        <w:ind w:left="515"/>
        <w:rPr>
          <w:sz w:val="25"/>
          <w:szCs w:val="25"/>
        </w:rPr>
      </w:pPr>
      <w:r>
        <w:rPr>
          <w:spacing w:val="-15"/>
          <w:sz w:val="25"/>
          <w:szCs w:val="25"/>
        </w:rPr>
        <w:t>2、电气二次设备安装质量通病防治；</w:t>
      </w:r>
    </w:p>
    <w:p>
      <w:pPr>
        <w:pStyle w:val="5"/>
        <w:spacing w:before="154" w:line="220" w:lineRule="auto"/>
        <w:ind w:left="515"/>
        <w:rPr>
          <w:sz w:val="25"/>
          <w:szCs w:val="25"/>
        </w:rPr>
      </w:pPr>
      <w:r>
        <w:rPr>
          <w:spacing w:val="-15"/>
          <w:sz w:val="25"/>
          <w:szCs w:val="25"/>
        </w:rPr>
        <w:t>3、屏、柜安装质量通病防治；</w:t>
      </w:r>
    </w:p>
    <w:p>
      <w:pPr>
        <w:pStyle w:val="5"/>
        <w:spacing w:before="181" w:line="219" w:lineRule="auto"/>
        <w:ind w:left="515"/>
        <w:rPr>
          <w:sz w:val="25"/>
          <w:szCs w:val="25"/>
        </w:rPr>
      </w:pPr>
      <w:r>
        <w:rPr>
          <w:spacing w:val="-14"/>
          <w:sz w:val="25"/>
          <w:szCs w:val="25"/>
        </w:rPr>
        <w:t>4、电缆敷设、接线与防火封堵质量通病防治；</w:t>
      </w:r>
    </w:p>
    <w:p>
      <w:pPr>
        <w:pStyle w:val="5"/>
        <w:spacing w:before="174" w:line="220" w:lineRule="auto"/>
        <w:ind w:left="515"/>
        <w:rPr>
          <w:sz w:val="25"/>
          <w:szCs w:val="25"/>
        </w:rPr>
      </w:pPr>
      <w:r>
        <w:rPr>
          <w:spacing w:val="-15"/>
          <w:sz w:val="25"/>
          <w:szCs w:val="25"/>
        </w:rPr>
        <w:t>5、接地装置安装质量通病防治；</w:t>
      </w:r>
    </w:p>
    <w:p>
      <w:pPr>
        <w:pStyle w:val="5"/>
        <w:spacing w:before="152" w:line="220" w:lineRule="auto"/>
        <w:ind w:left="515"/>
        <w:rPr>
          <w:sz w:val="25"/>
          <w:szCs w:val="25"/>
        </w:rPr>
      </w:pPr>
      <w:r>
        <w:rPr>
          <w:spacing w:val="-11"/>
          <w:sz w:val="25"/>
          <w:szCs w:val="25"/>
        </w:rPr>
        <w:t>6、母线施工质量通病防治</w:t>
      </w:r>
    </w:p>
    <w:p>
      <w:pPr>
        <w:spacing w:line="377" w:lineRule="auto"/>
        <w:rPr>
          <w:rFonts w:ascii="Arial"/>
          <w:sz w:val="21"/>
        </w:rPr>
      </w:pPr>
    </w:p>
    <w:p>
      <w:pPr>
        <w:pStyle w:val="5"/>
        <w:spacing w:before="82" w:line="219" w:lineRule="auto"/>
        <w:ind w:left="5"/>
        <w:rPr>
          <w:sz w:val="25"/>
          <w:szCs w:val="25"/>
        </w:rPr>
      </w:pPr>
      <w:r>
        <w:rPr>
          <w:spacing w:val="-15"/>
          <w:sz w:val="25"/>
          <w:szCs w:val="25"/>
        </w:rPr>
        <w:t>三</w:t>
      </w:r>
      <w:r>
        <w:rPr>
          <w:spacing w:val="-62"/>
          <w:sz w:val="25"/>
          <w:szCs w:val="25"/>
        </w:rPr>
        <w:t xml:space="preserve"> </w:t>
      </w:r>
      <w:r>
        <w:rPr>
          <w:spacing w:val="-15"/>
          <w:sz w:val="25"/>
          <w:szCs w:val="25"/>
        </w:rPr>
        <w:t>、监理部控制措施</w:t>
      </w:r>
    </w:p>
    <w:p>
      <w:pPr>
        <w:spacing w:line="340" w:lineRule="auto"/>
        <w:rPr>
          <w:rFonts w:ascii="Arial"/>
          <w:sz w:val="21"/>
        </w:rPr>
      </w:pPr>
    </w:p>
    <w:p>
      <w:pPr>
        <w:pStyle w:val="5"/>
        <w:spacing w:before="82" w:line="340" w:lineRule="auto"/>
        <w:ind w:left="5" w:right="705" w:firstLine="510"/>
        <w:rPr>
          <w:sz w:val="25"/>
          <w:szCs w:val="25"/>
        </w:rPr>
      </w:pPr>
      <w:r>
        <w:rPr>
          <w:spacing w:val="-12"/>
          <w:sz w:val="25"/>
          <w:szCs w:val="25"/>
        </w:rPr>
        <w:t>3.1监理部利用每月安全、质量检查活动，把质量通病整治作为一项重要内容</w:t>
      </w:r>
      <w:r>
        <w:rPr>
          <w:spacing w:val="-13"/>
          <w:sz w:val="25"/>
          <w:szCs w:val="25"/>
        </w:rPr>
        <w:t>来计划、</w:t>
      </w:r>
      <w:r>
        <w:rPr>
          <w:sz w:val="25"/>
          <w:szCs w:val="25"/>
        </w:rPr>
        <w:t xml:space="preserve"> </w:t>
      </w:r>
      <w:r>
        <w:rPr>
          <w:spacing w:val="-11"/>
          <w:sz w:val="25"/>
          <w:szCs w:val="25"/>
        </w:rPr>
        <w:t>实施、检查、整改。对已暴露出的质量通病按“四不放过”的</w:t>
      </w:r>
      <w:r>
        <w:rPr>
          <w:spacing w:val="-12"/>
          <w:sz w:val="25"/>
          <w:szCs w:val="25"/>
        </w:rPr>
        <w:t>原则进行分析，总结经验教</w:t>
      </w: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4" w:lineRule="exact"/>
        <w:ind w:firstLine="9749"/>
      </w:pPr>
      <w:r>
        <w:rPr>
          <w:position w:val="-5"/>
        </w:rPr>
        <w:drawing>
          <wp:inline distT="0" distB="0" distL="0" distR="0">
            <wp:extent cx="238125" cy="186055"/>
            <wp:effectExtent l="0" t="0" r="9525" b="4445"/>
            <wp:docPr id="654" name="IM 654"/>
            <wp:cNvGraphicFramePr/>
            <a:graphic xmlns:a="http://schemas.openxmlformats.org/drawingml/2006/main">
              <a:graphicData uri="http://schemas.openxmlformats.org/drawingml/2006/picture">
                <pic:pic xmlns:pic="http://schemas.openxmlformats.org/drawingml/2006/picture">
                  <pic:nvPicPr>
                    <pic:cNvPr id="654" name="IM 654"/>
                    <pic:cNvPicPr/>
                  </pic:nvPicPr>
                  <pic:blipFill>
                    <a:blip r:embed="rId13"/>
                    <a:stretch>
                      <a:fillRect/>
                    </a:stretch>
                  </pic:blipFill>
                  <pic:spPr>
                    <a:xfrm>
                      <a:off x="0" y="0"/>
                      <a:ext cx="238156" cy="186644"/>
                    </a:xfrm>
                    <a:prstGeom prst="rect">
                      <a:avLst/>
                    </a:prstGeom>
                  </pic:spPr>
                </pic:pic>
              </a:graphicData>
            </a:graphic>
          </wp:inline>
        </w:drawing>
      </w:r>
    </w:p>
    <w:p>
      <w:pPr>
        <w:spacing w:line="294" w:lineRule="exact"/>
        <w:sectPr>
          <w:pgSz w:w="11900" w:h="16840"/>
          <w:pgMar w:top="400" w:right="329" w:bottom="249" w:left="1444" w:header="0" w:footer="0" w:gutter="0"/>
          <w:pgNumType w:fmt="decimal"/>
          <w:cols w:space="720" w:num="1"/>
        </w:sect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5"/>
        <w:spacing w:before="78" w:line="219" w:lineRule="auto"/>
        <w:ind w:left="4"/>
        <w:rPr>
          <w:sz w:val="24"/>
          <w:szCs w:val="24"/>
        </w:rPr>
      </w:pPr>
      <w:r>
        <w:rPr>
          <w:spacing w:val="-5"/>
          <w:sz w:val="24"/>
          <w:szCs w:val="24"/>
        </w:rPr>
        <w:t>训，提出防治措施，不断提高通病防止的实效性。</w:t>
      </w:r>
    </w:p>
    <w:p>
      <w:pPr>
        <w:pStyle w:val="5"/>
        <w:spacing w:before="183" w:line="345" w:lineRule="auto"/>
        <w:ind w:left="4" w:right="763" w:firstLine="459"/>
        <w:rPr>
          <w:sz w:val="24"/>
          <w:szCs w:val="24"/>
        </w:rPr>
      </w:pPr>
      <w:r>
        <w:rPr>
          <w:sz w:val="24"/>
          <w:szCs w:val="24"/>
        </w:rPr>
        <w:t>3.2做好进场材料和构配件的审批工作，为经审</w:t>
      </w:r>
      <w:r>
        <w:rPr>
          <w:spacing w:val="-1"/>
          <w:sz w:val="24"/>
          <w:szCs w:val="24"/>
        </w:rPr>
        <w:t>批或审批不合格的原材料不得在工程</w:t>
      </w:r>
      <w:r>
        <w:rPr>
          <w:sz w:val="24"/>
          <w:szCs w:val="24"/>
        </w:rPr>
        <w:t xml:space="preserve"> </w:t>
      </w:r>
      <w:r>
        <w:rPr>
          <w:spacing w:val="-3"/>
          <w:sz w:val="24"/>
          <w:szCs w:val="24"/>
        </w:rPr>
        <w:t>施工。在采用新材料时，除应有产品合格证和有效的鉴定证书外，还应进行必要的检测。</w:t>
      </w:r>
      <w:r>
        <w:rPr>
          <w:spacing w:val="6"/>
          <w:sz w:val="24"/>
          <w:szCs w:val="24"/>
        </w:rPr>
        <w:t xml:space="preserve"> </w:t>
      </w:r>
      <w:r>
        <w:rPr>
          <w:spacing w:val="-4"/>
          <w:sz w:val="24"/>
          <w:szCs w:val="24"/>
        </w:rPr>
        <w:t>原材料、构配件的试验检测必须坚持见证取样制度。</w:t>
      </w:r>
    </w:p>
    <w:p>
      <w:pPr>
        <w:pStyle w:val="5"/>
        <w:spacing w:before="43" w:line="344" w:lineRule="auto"/>
        <w:ind w:left="4" w:right="745" w:firstLine="459"/>
        <w:rPr>
          <w:sz w:val="24"/>
          <w:szCs w:val="24"/>
        </w:rPr>
      </w:pPr>
      <w:r>
        <w:rPr>
          <w:spacing w:val="-2"/>
          <w:sz w:val="24"/>
          <w:szCs w:val="24"/>
        </w:rPr>
        <w:t>3.3认真审查施工单位编写的《工程质量通病防治控制措施》,提出要求并编写《工程</w:t>
      </w:r>
      <w:r>
        <w:rPr>
          <w:spacing w:val="5"/>
          <w:sz w:val="24"/>
          <w:szCs w:val="24"/>
        </w:rPr>
        <w:t xml:space="preserve"> </w:t>
      </w:r>
      <w:r>
        <w:rPr>
          <w:spacing w:val="-13"/>
          <w:sz w:val="24"/>
          <w:szCs w:val="24"/>
        </w:rPr>
        <w:t>质量通病防治控制措施》。</w:t>
      </w:r>
    </w:p>
    <w:p>
      <w:pPr>
        <w:pStyle w:val="5"/>
        <w:spacing w:before="48" w:line="219" w:lineRule="auto"/>
        <w:ind w:left="464"/>
        <w:rPr>
          <w:sz w:val="24"/>
          <w:szCs w:val="24"/>
        </w:rPr>
      </w:pPr>
      <w:r>
        <w:rPr>
          <w:sz w:val="24"/>
          <w:szCs w:val="24"/>
        </w:rPr>
        <w:t>3.4认真做好隐蔽工程和工序质量的验收签证，</w:t>
      </w:r>
      <w:r>
        <w:rPr>
          <w:spacing w:val="-1"/>
          <w:sz w:val="24"/>
          <w:szCs w:val="24"/>
        </w:rPr>
        <w:t>上道工序不合格不允许进入下一道工</w:t>
      </w:r>
    </w:p>
    <w:p>
      <w:pPr>
        <w:pStyle w:val="5"/>
        <w:spacing w:before="187" w:line="213" w:lineRule="auto"/>
        <w:rPr>
          <w:sz w:val="25"/>
          <w:szCs w:val="25"/>
        </w:rPr>
      </w:pPr>
      <w:r>
        <w:rPr>
          <w:i/>
          <w:iCs/>
          <w:spacing w:val="-8"/>
          <w:sz w:val="25"/>
          <w:szCs w:val="25"/>
        </w:rPr>
        <w:t>序。</w:t>
      </w:r>
    </w:p>
    <w:p>
      <w:pPr>
        <w:pStyle w:val="5"/>
        <w:spacing w:before="169" w:line="336" w:lineRule="auto"/>
        <w:ind w:left="4" w:right="807" w:firstLine="459"/>
        <w:rPr>
          <w:sz w:val="24"/>
          <w:szCs w:val="24"/>
        </w:rPr>
      </w:pPr>
      <w:r>
        <w:rPr>
          <w:sz w:val="24"/>
          <w:szCs w:val="24"/>
        </w:rPr>
        <w:t>3.5对变电站土建工程施工的重要工序和关键部</w:t>
      </w:r>
      <w:r>
        <w:rPr>
          <w:spacing w:val="-1"/>
          <w:sz w:val="24"/>
          <w:szCs w:val="24"/>
        </w:rPr>
        <w:t>位旁站监理，质量的平行检验，发现</w:t>
      </w:r>
      <w:r>
        <w:rPr>
          <w:sz w:val="24"/>
          <w:szCs w:val="24"/>
        </w:rPr>
        <w:t xml:space="preserve"> </w:t>
      </w:r>
      <w:r>
        <w:rPr>
          <w:spacing w:val="-9"/>
          <w:sz w:val="24"/>
          <w:szCs w:val="24"/>
        </w:rPr>
        <w:t>问题及时处理。</w:t>
      </w:r>
    </w:p>
    <w:p>
      <w:pPr>
        <w:pStyle w:val="5"/>
        <w:spacing w:before="63" w:line="216" w:lineRule="auto"/>
        <w:ind w:left="464"/>
        <w:rPr>
          <w:sz w:val="24"/>
          <w:szCs w:val="24"/>
        </w:rPr>
      </w:pPr>
      <w:r>
        <w:rPr>
          <w:spacing w:val="-1"/>
          <w:sz w:val="24"/>
          <w:szCs w:val="24"/>
        </w:rPr>
        <w:t>3.6工程完工后，认真填写《工程质量通病防治工作评估报</w:t>
      </w:r>
      <w:r>
        <w:rPr>
          <w:spacing w:val="-2"/>
          <w:sz w:val="24"/>
          <w:szCs w:val="24"/>
        </w:rPr>
        <w:t>告》,以利于持续改进。</w:t>
      </w:r>
    </w:p>
    <w:p>
      <w:pPr>
        <w:spacing w:line="382" w:lineRule="auto"/>
        <w:rPr>
          <w:rFonts w:ascii="Arial"/>
          <w:sz w:val="21"/>
        </w:rPr>
      </w:pPr>
    </w:p>
    <w:p>
      <w:pPr>
        <w:pStyle w:val="5"/>
        <w:spacing w:before="79" w:line="220" w:lineRule="auto"/>
        <w:ind w:left="4"/>
        <w:rPr>
          <w:sz w:val="24"/>
          <w:szCs w:val="24"/>
        </w:rPr>
      </w:pPr>
      <w:r>
        <w:rPr>
          <w:spacing w:val="-5"/>
          <w:sz w:val="24"/>
          <w:szCs w:val="24"/>
        </w:rPr>
        <w:t>四、控制措施</w:t>
      </w:r>
    </w:p>
    <w:p>
      <w:pPr>
        <w:spacing w:line="383" w:lineRule="auto"/>
        <w:rPr>
          <w:rFonts w:ascii="Arial"/>
          <w:sz w:val="21"/>
        </w:rPr>
      </w:pPr>
    </w:p>
    <w:p>
      <w:pPr>
        <w:pStyle w:val="5"/>
        <w:spacing w:before="78" w:line="220" w:lineRule="auto"/>
        <w:ind w:left="464"/>
        <w:rPr>
          <w:sz w:val="24"/>
          <w:szCs w:val="24"/>
        </w:rPr>
      </w:pPr>
      <w:r>
        <w:rPr>
          <w:spacing w:val="-5"/>
          <w:sz w:val="24"/>
          <w:szCs w:val="24"/>
        </w:rPr>
        <w:t>电气安装调试工程施工质量通病防治控制措施；</w:t>
      </w:r>
    </w:p>
    <w:p>
      <w:pPr>
        <w:pStyle w:val="5"/>
        <w:spacing w:before="183" w:line="342" w:lineRule="auto"/>
        <w:ind w:left="464" w:right="5553"/>
        <w:rPr>
          <w:sz w:val="24"/>
          <w:szCs w:val="24"/>
        </w:rPr>
      </w:pPr>
      <w:r>
        <w:rPr>
          <w:spacing w:val="2"/>
          <w:sz w:val="24"/>
          <w:szCs w:val="24"/>
        </w:rPr>
        <w:t>一)电气一次设备安装质量通病防治：</w:t>
      </w:r>
      <w:r>
        <w:rPr>
          <w:spacing w:val="5"/>
          <w:sz w:val="24"/>
          <w:szCs w:val="24"/>
        </w:rPr>
        <w:t xml:space="preserve"> </w:t>
      </w:r>
      <w:r>
        <w:rPr>
          <w:spacing w:val="-9"/>
          <w:sz w:val="24"/>
          <w:szCs w:val="24"/>
        </w:rPr>
        <w:t>设计控制措施；</w:t>
      </w:r>
    </w:p>
    <w:p>
      <w:pPr>
        <w:pStyle w:val="5"/>
        <w:spacing w:before="52" w:line="219" w:lineRule="auto"/>
        <w:ind w:left="464"/>
        <w:rPr>
          <w:sz w:val="24"/>
          <w:szCs w:val="24"/>
        </w:rPr>
      </w:pPr>
      <w:r>
        <w:rPr>
          <w:spacing w:val="-4"/>
          <w:sz w:val="24"/>
          <w:szCs w:val="24"/>
        </w:rPr>
        <w:t>1、对主变压器接地部位应按绝缘等级增强防护措施。</w:t>
      </w:r>
    </w:p>
    <w:p>
      <w:pPr>
        <w:pStyle w:val="5"/>
        <w:spacing w:before="165" w:line="219" w:lineRule="auto"/>
        <w:ind w:left="464"/>
        <w:rPr>
          <w:sz w:val="24"/>
          <w:szCs w:val="24"/>
        </w:rPr>
      </w:pPr>
      <w:r>
        <w:rPr>
          <w:spacing w:val="-2"/>
          <w:sz w:val="24"/>
          <w:szCs w:val="24"/>
        </w:rPr>
        <w:t>2、设备预埋件及构支预留螺栓孔应与设备固定螺栓规格相匹配。</w:t>
      </w:r>
    </w:p>
    <w:p>
      <w:pPr>
        <w:pStyle w:val="5"/>
        <w:spacing w:before="165" w:line="298" w:lineRule="auto"/>
        <w:ind w:left="4" w:right="853" w:firstLine="459"/>
        <w:rPr>
          <w:sz w:val="24"/>
          <w:szCs w:val="24"/>
        </w:rPr>
      </w:pPr>
      <w:r>
        <w:rPr>
          <w:spacing w:val="-2"/>
          <w:sz w:val="24"/>
          <w:szCs w:val="24"/>
        </w:rPr>
        <w:t>3、对随设备支柱一体加工的隔离开关机构箱固定基座误差提出要求，以保证隔离开</w:t>
      </w:r>
      <w:r>
        <w:rPr>
          <w:spacing w:val="13"/>
          <w:sz w:val="24"/>
          <w:szCs w:val="24"/>
        </w:rPr>
        <w:t xml:space="preserve"> </w:t>
      </w:r>
      <w:r>
        <w:rPr>
          <w:spacing w:val="-5"/>
          <w:sz w:val="24"/>
          <w:szCs w:val="24"/>
        </w:rPr>
        <w:t>关垂直拉杆的垂直度。</w:t>
      </w:r>
    </w:p>
    <w:p>
      <w:pPr>
        <w:pStyle w:val="5"/>
        <w:spacing w:before="175" w:line="284" w:lineRule="auto"/>
        <w:ind w:left="4" w:right="854" w:firstLine="459"/>
        <w:rPr>
          <w:sz w:val="24"/>
          <w:szCs w:val="24"/>
        </w:rPr>
      </w:pPr>
      <w:r>
        <w:rPr>
          <w:spacing w:val="5"/>
          <w:sz w:val="24"/>
          <w:szCs w:val="24"/>
        </w:rPr>
        <w:t>4、设备支架柱(杆)头板的几何形状与尺寸，不得影响电缆穿管与</w:t>
      </w:r>
      <w:r>
        <w:rPr>
          <w:spacing w:val="4"/>
          <w:sz w:val="24"/>
          <w:szCs w:val="24"/>
        </w:rPr>
        <w:t>设备接线盒的连</w:t>
      </w:r>
      <w:r>
        <w:rPr>
          <w:sz w:val="24"/>
          <w:szCs w:val="24"/>
        </w:rPr>
        <w:t xml:space="preserve"> </w:t>
      </w:r>
      <w:r>
        <w:rPr>
          <w:spacing w:val="-11"/>
          <w:sz w:val="24"/>
          <w:szCs w:val="24"/>
        </w:rPr>
        <w:t>接。</w:t>
      </w:r>
    </w:p>
    <w:p>
      <w:pPr>
        <w:pStyle w:val="5"/>
        <w:spacing w:before="200" w:line="219" w:lineRule="auto"/>
        <w:ind w:left="464"/>
        <w:rPr>
          <w:sz w:val="24"/>
          <w:szCs w:val="24"/>
        </w:rPr>
      </w:pPr>
      <w:r>
        <w:rPr>
          <w:spacing w:val="6"/>
          <w:sz w:val="24"/>
          <w:szCs w:val="24"/>
        </w:rPr>
        <w:t>5、设备支架柱(杆)的基础应不影响操作机构箱电缆穿管的顺</w:t>
      </w:r>
      <w:r>
        <w:rPr>
          <w:spacing w:val="5"/>
          <w:sz w:val="24"/>
          <w:szCs w:val="24"/>
        </w:rPr>
        <w:t>畅传入。</w:t>
      </w:r>
    </w:p>
    <w:p>
      <w:pPr>
        <w:pStyle w:val="5"/>
        <w:spacing w:before="165" w:line="284" w:lineRule="auto"/>
        <w:ind w:left="4" w:right="844" w:firstLine="459"/>
        <w:rPr>
          <w:sz w:val="24"/>
          <w:szCs w:val="24"/>
        </w:rPr>
      </w:pPr>
      <w:r>
        <w:rPr>
          <w:spacing w:val="-1"/>
          <w:sz w:val="24"/>
          <w:szCs w:val="24"/>
        </w:rPr>
        <w:t>7、在技术协议中，应明确随设备成套供货的支</w:t>
      </w:r>
      <w:r>
        <w:rPr>
          <w:spacing w:val="-2"/>
          <w:sz w:val="24"/>
          <w:szCs w:val="24"/>
        </w:rPr>
        <w:t>架加工误差标准，防治现场暗转增加</w:t>
      </w:r>
      <w:r>
        <w:rPr>
          <w:sz w:val="24"/>
          <w:szCs w:val="24"/>
        </w:rPr>
        <w:t xml:space="preserve"> </w:t>
      </w:r>
      <w:r>
        <w:rPr>
          <w:spacing w:val="-11"/>
          <w:sz w:val="24"/>
          <w:szCs w:val="24"/>
        </w:rPr>
        <w:t>垫片。</w:t>
      </w:r>
    </w:p>
    <w:p>
      <w:pPr>
        <w:pStyle w:val="5"/>
        <w:spacing w:before="193" w:line="286" w:lineRule="auto"/>
        <w:ind w:left="4" w:right="873" w:firstLine="459"/>
        <w:rPr>
          <w:sz w:val="24"/>
          <w:szCs w:val="24"/>
        </w:rPr>
      </w:pPr>
      <w:r>
        <w:rPr>
          <w:spacing w:val="1"/>
          <w:sz w:val="24"/>
          <w:szCs w:val="24"/>
        </w:rPr>
        <w:t>8、在技术协议中，明确设备本体、机构箱门把手、螺栓等附件的防锈蚀(如烤漆、</w:t>
      </w:r>
      <w:r>
        <w:rPr>
          <w:spacing w:val="2"/>
          <w:sz w:val="24"/>
          <w:szCs w:val="24"/>
        </w:rPr>
        <w:t xml:space="preserve"> </w:t>
      </w:r>
      <w:r>
        <w:rPr>
          <w:spacing w:val="7"/>
          <w:sz w:val="24"/>
          <w:szCs w:val="24"/>
        </w:rPr>
        <w:t>热镀锌、镀铬等)工艺。</w:t>
      </w:r>
    </w:p>
    <w:p>
      <w:pPr>
        <w:pStyle w:val="5"/>
        <w:spacing w:before="187" w:line="288" w:lineRule="auto"/>
        <w:ind w:left="4" w:right="811" w:firstLine="459"/>
        <w:rPr>
          <w:sz w:val="24"/>
          <w:szCs w:val="24"/>
        </w:rPr>
      </w:pPr>
      <w:r>
        <w:rPr>
          <w:spacing w:val="-1"/>
          <w:sz w:val="24"/>
          <w:szCs w:val="24"/>
        </w:rPr>
        <w:t>9、对设备厂家设计的本提接线端子，设计应提出满足变电站设备接地引线搭接面积</w:t>
      </w:r>
      <w:r>
        <w:rPr>
          <w:spacing w:val="17"/>
          <w:sz w:val="24"/>
          <w:szCs w:val="24"/>
        </w:rPr>
        <w:t xml:space="preserve"> </w:t>
      </w:r>
      <w:r>
        <w:rPr>
          <w:spacing w:val="-8"/>
          <w:sz w:val="24"/>
          <w:szCs w:val="24"/>
        </w:rPr>
        <w:t>的要求。</w:t>
      </w:r>
    </w:p>
    <w:p>
      <w:pPr>
        <w:pStyle w:val="5"/>
        <w:spacing w:before="201" w:line="219" w:lineRule="auto"/>
        <w:ind w:left="464"/>
        <w:rPr>
          <w:sz w:val="24"/>
          <w:szCs w:val="24"/>
        </w:rPr>
      </w:pPr>
      <w:r>
        <w:rPr>
          <w:rFonts w:ascii="Times New Roman" w:hAnsi="Times New Roman" w:eastAsia="Times New Roman" w:cs="Times New Roman"/>
          <w:spacing w:val="-6"/>
          <w:sz w:val="24"/>
          <w:szCs w:val="24"/>
        </w:rPr>
        <w:t>10</w:t>
      </w:r>
      <w:r>
        <w:rPr>
          <w:spacing w:val="-6"/>
          <w:sz w:val="24"/>
          <w:szCs w:val="24"/>
        </w:rPr>
        <w:t>、主变、</w:t>
      </w:r>
      <w:r>
        <w:rPr>
          <w:rFonts w:ascii="Times New Roman" w:hAnsi="Times New Roman" w:eastAsia="Times New Roman" w:cs="Times New Roman"/>
          <w:spacing w:val="-6"/>
          <w:sz w:val="24"/>
          <w:szCs w:val="24"/>
        </w:rPr>
        <w:t>GIS</w:t>
      </w:r>
      <w:r>
        <w:rPr>
          <w:rFonts w:ascii="Times New Roman" w:hAnsi="Times New Roman" w:eastAsia="Times New Roman" w:cs="Times New Roman"/>
          <w:spacing w:val="59"/>
          <w:sz w:val="24"/>
          <w:szCs w:val="24"/>
        </w:rPr>
        <w:t xml:space="preserve"> </w:t>
      </w:r>
      <w:r>
        <w:rPr>
          <w:spacing w:val="-6"/>
          <w:sz w:val="24"/>
          <w:szCs w:val="24"/>
        </w:rPr>
        <w:t>等大型设备至少应有两个固定接地点。</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 w:line="296" w:lineRule="exact"/>
        <w:ind w:firstLine="9669"/>
      </w:pPr>
      <w:r>
        <w:rPr>
          <w:position w:val="-5"/>
        </w:rPr>
        <w:drawing>
          <wp:inline distT="0" distB="0" distL="0" distR="0">
            <wp:extent cx="220980" cy="187960"/>
            <wp:effectExtent l="0" t="0" r="7620" b="2540"/>
            <wp:docPr id="656" name="IM 656"/>
            <wp:cNvGraphicFramePr/>
            <a:graphic xmlns:a="http://schemas.openxmlformats.org/drawingml/2006/main">
              <a:graphicData uri="http://schemas.openxmlformats.org/drawingml/2006/picture">
                <pic:pic xmlns:pic="http://schemas.openxmlformats.org/drawingml/2006/picture">
                  <pic:nvPicPr>
                    <pic:cNvPr id="656" name="IM 656"/>
                    <pic:cNvPicPr/>
                  </pic:nvPicPr>
                  <pic:blipFill>
                    <a:blip r:embed="rId14"/>
                    <a:stretch>
                      <a:fillRect/>
                    </a:stretch>
                  </pic:blipFill>
                  <pic:spPr>
                    <a:xfrm>
                      <a:off x="0" y="0"/>
                      <a:ext cx="221222" cy="187981"/>
                    </a:xfrm>
                    <a:prstGeom prst="rect">
                      <a:avLst/>
                    </a:prstGeom>
                  </pic:spPr>
                </pic:pic>
              </a:graphicData>
            </a:graphic>
          </wp:inline>
        </w:drawing>
      </w:r>
    </w:p>
    <w:p>
      <w:pPr>
        <w:spacing w:line="296" w:lineRule="exact"/>
        <w:sectPr>
          <w:pgSz w:w="11900" w:h="16840"/>
          <w:pgMar w:top="400" w:right="436" w:bottom="239" w:left="1445" w:header="0" w:footer="0" w:gutter="0"/>
          <w:pgNumType w:fmt="decimal"/>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5"/>
        <w:spacing w:before="81" w:line="347" w:lineRule="auto"/>
        <w:ind w:left="490" w:right="846"/>
        <w:rPr>
          <w:sz w:val="25"/>
          <w:szCs w:val="25"/>
        </w:rPr>
      </w:pPr>
      <w:r>
        <w:rPr>
          <w:spacing w:val="-13"/>
          <w:sz w:val="25"/>
          <w:szCs w:val="25"/>
        </w:rPr>
        <w:t>11、对设备厂家现场配置的主变压器排油充氮灭火装置连接管道应提出防渗漏措施。</w:t>
      </w:r>
      <w:r>
        <w:rPr>
          <w:spacing w:val="17"/>
          <w:sz w:val="25"/>
          <w:szCs w:val="25"/>
        </w:rPr>
        <w:t xml:space="preserve"> </w:t>
      </w:r>
      <w:r>
        <w:rPr>
          <w:spacing w:val="-13"/>
          <w:sz w:val="25"/>
          <w:szCs w:val="25"/>
        </w:rPr>
        <w:t>监理控制措施</w:t>
      </w:r>
    </w:p>
    <w:p>
      <w:pPr>
        <w:pStyle w:val="5"/>
        <w:spacing w:before="4" w:line="315" w:lineRule="auto"/>
        <w:ind w:right="810" w:firstLine="490"/>
        <w:rPr>
          <w:sz w:val="25"/>
          <w:szCs w:val="25"/>
        </w:rPr>
      </w:pPr>
      <w:r>
        <w:rPr>
          <w:spacing w:val="-5"/>
          <w:sz w:val="25"/>
          <w:szCs w:val="25"/>
        </w:rPr>
        <w:t>1、充油(气)设备渗漏主要发生在法兰连接处。安装前应详细检查密封圈材</w:t>
      </w:r>
      <w:r>
        <w:rPr>
          <w:spacing w:val="-6"/>
          <w:sz w:val="25"/>
          <w:szCs w:val="25"/>
        </w:rPr>
        <w:t>质及法</w:t>
      </w:r>
      <w:r>
        <w:rPr>
          <w:sz w:val="25"/>
          <w:szCs w:val="25"/>
        </w:rPr>
        <w:t xml:space="preserve">  </w:t>
      </w:r>
      <w:r>
        <w:rPr>
          <w:spacing w:val="-13"/>
          <w:sz w:val="25"/>
          <w:szCs w:val="25"/>
        </w:rPr>
        <w:t>兰面平直度是否满足标准要求；螺栓紧固力矩应满足厂家说明书要求。主变压器充氮灭火</w:t>
      </w:r>
      <w:r>
        <w:rPr>
          <w:spacing w:val="15"/>
          <w:sz w:val="25"/>
          <w:szCs w:val="25"/>
        </w:rPr>
        <w:t xml:space="preserve"> </w:t>
      </w:r>
      <w:r>
        <w:rPr>
          <w:spacing w:val="-8"/>
          <w:sz w:val="25"/>
          <w:szCs w:val="25"/>
        </w:rPr>
        <w:t>装置连接管道安装完毕，必须进行压力试验(可以单独</w:t>
      </w:r>
      <w:r>
        <w:rPr>
          <w:spacing w:val="-9"/>
          <w:sz w:val="25"/>
          <w:szCs w:val="25"/>
        </w:rPr>
        <w:t>对该部分管路在连接部位密封后进</w:t>
      </w:r>
      <w:r>
        <w:rPr>
          <w:sz w:val="25"/>
          <w:szCs w:val="25"/>
        </w:rPr>
        <w:t xml:space="preserve"> </w:t>
      </w:r>
      <w:r>
        <w:rPr>
          <w:spacing w:val="-12"/>
          <w:sz w:val="25"/>
          <w:szCs w:val="25"/>
        </w:rPr>
        <w:t>行试验；也可以与主变压器同时进行试验。参考试验方法：主变压器注油后打开连接充氮</w:t>
      </w:r>
      <w:r>
        <w:rPr>
          <w:spacing w:val="17"/>
          <w:sz w:val="25"/>
          <w:szCs w:val="25"/>
        </w:rPr>
        <w:t xml:space="preserve"> </w:t>
      </w:r>
      <w:r>
        <w:rPr>
          <w:spacing w:val="-8"/>
          <w:sz w:val="25"/>
          <w:szCs w:val="25"/>
        </w:rPr>
        <w:t>灭火装置管道阀门，从储油柜内施加0.03—0.05</w:t>
      </w:r>
      <w:r>
        <w:rPr>
          <w:rFonts w:ascii="Times New Roman" w:hAnsi="Times New Roman" w:eastAsia="Times New Roman" w:cs="Times New Roman"/>
          <w:spacing w:val="-8"/>
          <w:sz w:val="25"/>
          <w:szCs w:val="25"/>
        </w:rPr>
        <w:t>MPa</w:t>
      </w:r>
      <w:r>
        <w:rPr>
          <w:spacing w:val="-8"/>
          <w:sz w:val="25"/>
          <w:szCs w:val="25"/>
        </w:rPr>
        <w:t>压力</w:t>
      </w:r>
      <w:r>
        <w:rPr>
          <w:spacing w:val="-9"/>
          <w:sz w:val="25"/>
          <w:szCs w:val="25"/>
        </w:rPr>
        <w:t>，24小时不应渗漏)。</w:t>
      </w:r>
    </w:p>
    <w:p>
      <w:pPr>
        <w:pStyle w:val="5"/>
        <w:spacing w:before="181" w:line="291" w:lineRule="auto"/>
        <w:ind w:right="924" w:firstLine="490"/>
        <w:rPr>
          <w:sz w:val="25"/>
          <w:szCs w:val="25"/>
        </w:rPr>
      </w:pPr>
      <w:r>
        <w:rPr>
          <w:spacing w:val="-5"/>
          <w:sz w:val="25"/>
          <w:szCs w:val="25"/>
        </w:rPr>
        <w:t>2、在设备支柱上配置隔离开关机构箱支架时，电(气)焊不得造成设备支柱及机构</w:t>
      </w:r>
      <w:r>
        <w:rPr>
          <w:spacing w:val="5"/>
          <w:sz w:val="25"/>
          <w:szCs w:val="25"/>
        </w:rPr>
        <w:t xml:space="preserve"> </w:t>
      </w:r>
      <w:r>
        <w:rPr>
          <w:spacing w:val="-12"/>
          <w:sz w:val="25"/>
          <w:szCs w:val="25"/>
        </w:rPr>
        <w:t>箱污染。为防止垂直拉杆脱扣，隔离开关垂直及水平拉杆连接处夹紧部位应可靠紧固。</w:t>
      </w:r>
    </w:p>
    <w:p>
      <w:pPr>
        <w:pStyle w:val="5"/>
        <w:spacing w:before="173" w:line="276" w:lineRule="auto"/>
        <w:ind w:right="922" w:firstLine="490"/>
        <w:rPr>
          <w:sz w:val="25"/>
          <w:szCs w:val="25"/>
        </w:rPr>
      </w:pPr>
      <w:r>
        <w:rPr>
          <w:spacing w:val="-12"/>
          <w:sz w:val="25"/>
          <w:szCs w:val="25"/>
        </w:rPr>
        <w:t>3、在槽钢或角钢上采用螺栓固定设备时，槽钢及角钢内侧应穿入与螺栓规格相同的</w:t>
      </w:r>
      <w:r>
        <w:rPr>
          <w:spacing w:val="16"/>
          <w:sz w:val="25"/>
          <w:szCs w:val="25"/>
        </w:rPr>
        <w:t xml:space="preserve"> </w:t>
      </w:r>
      <w:r>
        <w:rPr>
          <w:spacing w:val="-12"/>
          <w:sz w:val="25"/>
          <w:szCs w:val="25"/>
        </w:rPr>
        <w:t>楔形方平垫，不得使用圆平垫。</w:t>
      </w:r>
    </w:p>
    <w:p>
      <w:pPr>
        <w:pStyle w:val="5"/>
        <w:spacing w:before="155" w:line="212" w:lineRule="auto"/>
        <w:ind w:left="490"/>
        <w:rPr>
          <w:sz w:val="25"/>
          <w:szCs w:val="25"/>
        </w:rPr>
      </w:pPr>
      <w:r>
        <w:rPr>
          <w:rFonts w:ascii="Times New Roman" w:hAnsi="Times New Roman" w:eastAsia="Times New Roman" w:cs="Times New Roman"/>
          <w:spacing w:val="-7"/>
          <w:sz w:val="25"/>
          <w:szCs w:val="25"/>
        </w:rPr>
        <w:t>4</w:t>
      </w:r>
      <w:r>
        <w:rPr>
          <w:spacing w:val="-7"/>
          <w:sz w:val="25"/>
          <w:szCs w:val="25"/>
        </w:rPr>
        <w:t>、结合滤波器到电压互感器</w:t>
      </w:r>
      <w:r>
        <w:rPr>
          <w:spacing w:val="-40"/>
          <w:sz w:val="25"/>
          <w:szCs w:val="25"/>
        </w:rPr>
        <w:t xml:space="preserve"> </w:t>
      </w:r>
      <w:r>
        <w:rPr>
          <w:rFonts w:ascii="Times New Roman" w:hAnsi="Times New Roman" w:eastAsia="Times New Roman" w:cs="Times New Roman"/>
          <w:spacing w:val="-7"/>
          <w:sz w:val="25"/>
          <w:szCs w:val="25"/>
        </w:rPr>
        <w:t>(CVT)</w:t>
      </w:r>
      <w:r>
        <w:rPr>
          <w:spacing w:val="-7"/>
          <w:sz w:val="25"/>
          <w:szCs w:val="25"/>
        </w:rPr>
        <w:t>的连</w:t>
      </w:r>
      <w:r>
        <w:rPr>
          <w:spacing w:val="-8"/>
          <w:sz w:val="25"/>
          <w:szCs w:val="25"/>
        </w:rPr>
        <w:t>接应采用绝缘导线连接。</w:t>
      </w:r>
    </w:p>
    <w:p>
      <w:pPr>
        <w:pStyle w:val="5"/>
        <w:spacing w:before="201" w:line="219" w:lineRule="auto"/>
        <w:ind w:left="490"/>
        <w:rPr>
          <w:sz w:val="25"/>
          <w:szCs w:val="25"/>
        </w:rPr>
      </w:pPr>
      <w:r>
        <w:rPr>
          <w:spacing w:val="-12"/>
          <w:sz w:val="25"/>
          <w:szCs w:val="25"/>
        </w:rPr>
        <w:t>5、充油设备套管使用硬导线连接时，套管端子不得受力。</w:t>
      </w:r>
    </w:p>
    <w:p>
      <w:pPr>
        <w:pStyle w:val="5"/>
        <w:spacing w:before="182" w:line="276" w:lineRule="auto"/>
        <w:ind w:right="946" w:firstLine="490"/>
        <w:rPr>
          <w:sz w:val="25"/>
          <w:szCs w:val="25"/>
        </w:rPr>
      </w:pPr>
      <w:r>
        <w:rPr>
          <w:spacing w:val="-12"/>
          <w:sz w:val="25"/>
          <w:szCs w:val="25"/>
        </w:rPr>
        <w:t>6、加强母线桥支架、槽钢、角钢、钢管等焊接项目验收，以保证</w:t>
      </w:r>
      <w:r>
        <w:rPr>
          <w:spacing w:val="-13"/>
          <w:sz w:val="25"/>
          <w:szCs w:val="25"/>
        </w:rPr>
        <w:t>几何尺寸的正确、</w:t>
      </w:r>
      <w:r>
        <w:rPr>
          <w:sz w:val="25"/>
          <w:szCs w:val="25"/>
        </w:rPr>
        <w:t xml:space="preserve"> </w:t>
      </w:r>
      <w:r>
        <w:rPr>
          <w:spacing w:val="-11"/>
          <w:sz w:val="25"/>
          <w:szCs w:val="25"/>
        </w:rPr>
        <w:t>焊缝工艺美观。</w:t>
      </w:r>
    </w:p>
    <w:p>
      <w:pPr>
        <w:pStyle w:val="5"/>
        <w:spacing w:before="169" w:line="282" w:lineRule="auto"/>
        <w:ind w:right="806" w:firstLine="490"/>
        <w:rPr>
          <w:sz w:val="25"/>
          <w:szCs w:val="25"/>
        </w:rPr>
      </w:pPr>
      <w:r>
        <w:rPr>
          <w:spacing w:val="-5"/>
          <w:sz w:val="25"/>
          <w:szCs w:val="25"/>
        </w:rPr>
        <w:t>7、对设备安装中的穿芯螺栓(如避雷器、主变散热器等),要保证两侧螺栓露出长度</w:t>
      </w:r>
      <w:r>
        <w:rPr>
          <w:spacing w:val="3"/>
          <w:sz w:val="25"/>
          <w:szCs w:val="25"/>
        </w:rPr>
        <w:t xml:space="preserve"> </w:t>
      </w:r>
      <w:r>
        <w:rPr>
          <w:spacing w:val="-11"/>
          <w:sz w:val="25"/>
          <w:szCs w:val="25"/>
        </w:rPr>
        <w:t>一致。</w:t>
      </w:r>
    </w:p>
    <w:p>
      <w:pPr>
        <w:pStyle w:val="5"/>
        <w:spacing w:before="181" w:line="283" w:lineRule="auto"/>
        <w:ind w:left="490" w:right="3746"/>
        <w:rPr>
          <w:sz w:val="25"/>
          <w:szCs w:val="25"/>
        </w:rPr>
      </w:pPr>
      <w:r>
        <w:rPr>
          <w:spacing w:val="-10"/>
          <w:sz w:val="25"/>
          <w:szCs w:val="25"/>
        </w:rPr>
        <w:t>8、电气设备联接部件间销针的开口角度不得小于60°。</w:t>
      </w:r>
      <w:r>
        <w:rPr>
          <w:spacing w:val="8"/>
          <w:sz w:val="25"/>
          <w:szCs w:val="25"/>
        </w:rPr>
        <w:t xml:space="preserve"> </w:t>
      </w:r>
      <w:r>
        <w:rPr>
          <w:spacing w:val="-8"/>
          <w:sz w:val="25"/>
          <w:szCs w:val="25"/>
        </w:rPr>
        <w:t>二)电气二次设备安装质量通病防治：</w:t>
      </w:r>
    </w:p>
    <w:p>
      <w:pPr>
        <w:pStyle w:val="5"/>
        <w:spacing w:before="154" w:line="219" w:lineRule="auto"/>
        <w:ind w:left="490"/>
        <w:rPr>
          <w:sz w:val="25"/>
          <w:szCs w:val="25"/>
        </w:rPr>
      </w:pPr>
      <w:r>
        <w:rPr>
          <w:spacing w:val="-14"/>
          <w:sz w:val="25"/>
          <w:szCs w:val="25"/>
        </w:rPr>
        <w:t>通信、继电器保护等施工质量通病防治；</w:t>
      </w:r>
    </w:p>
    <w:p>
      <w:pPr>
        <w:pStyle w:val="5"/>
        <w:spacing w:before="171" w:line="219" w:lineRule="auto"/>
        <w:ind w:left="490"/>
        <w:rPr>
          <w:sz w:val="25"/>
          <w:szCs w:val="25"/>
        </w:rPr>
      </w:pPr>
      <w:r>
        <w:rPr>
          <w:spacing w:val="-17"/>
          <w:sz w:val="25"/>
          <w:szCs w:val="25"/>
        </w:rPr>
        <w:t>1、要求上传监控。</w:t>
      </w:r>
    </w:p>
    <w:p>
      <w:pPr>
        <w:pStyle w:val="5"/>
        <w:spacing w:before="147" w:line="212" w:lineRule="auto"/>
        <w:ind w:left="490"/>
        <w:rPr>
          <w:sz w:val="25"/>
          <w:szCs w:val="25"/>
        </w:rPr>
      </w:pPr>
      <w:r>
        <w:rPr>
          <w:rFonts w:ascii="Times New Roman" w:hAnsi="Times New Roman" w:eastAsia="Times New Roman" w:cs="Times New Roman"/>
          <w:spacing w:val="-9"/>
          <w:sz w:val="25"/>
          <w:szCs w:val="25"/>
        </w:rPr>
        <w:t xml:space="preserve">a)  </w:t>
      </w:r>
      <w:r>
        <w:rPr>
          <w:spacing w:val="-9"/>
          <w:sz w:val="25"/>
          <w:szCs w:val="25"/>
        </w:rPr>
        <w:t>对于非南瑞继保器的线路保护，要求接入分相跳</w:t>
      </w:r>
      <w:r>
        <w:rPr>
          <w:spacing w:val="-10"/>
          <w:sz w:val="25"/>
          <w:szCs w:val="25"/>
        </w:rPr>
        <w:t>闸及三跳动作录波。</w:t>
      </w:r>
    </w:p>
    <w:p>
      <w:pPr>
        <w:pStyle w:val="5"/>
        <w:spacing w:before="211" w:line="219" w:lineRule="auto"/>
        <w:ind w:left="490"/>
        <w:rPr>
          <w:sz w:val="25"/>
          <w:szCs w:val="25"/>
        </w:rPr>
      </w:pPr>
      <w:r>
        <w:rPr>
          <w:spacing w:val="-10"/>
          <w:sz w:val="25"/>
          <w:szCs w:val="25"/>
        </w:rPr>
        <w:t>b)</w:t>
      </w:r>
      <w:r>
        <w:rPr>
          <w:spacing w:val="-50"/>
          <w:sz w:val="25"/>
          <w:szCs w:val="25"/>
        </w:rPr>
        <w:t xml:space="preserve"> </w:t>
      </w:r>
      <w:r>
        <w:rPr>
          <w:spacing w:val="-10"/>
          <w:sz w:val="25"/>
          <w:szCs w:val="25"/>
        </w:rPr>
        <w:t>对于南瑞继保器的线路保护，要求接入分相跳闸三跳动作录波。</w:t>
      </w:r>
    </w:p>
    <w:p>
      <w:pPr>
        <w:pStyle w:val="5"/>
        <w:spacing w:before="145" w:line="212" w:lineRule="auto"/>
        <w:ind w:left="490"/>
        <w:rPr>
          <w:sz w:val="25"/>
          <w:szCs w:val="25"/>
        </w:rPr>
      </w:pPr>
      <w:r>
        <w:rPr>
          <w:rFonts w:ascii="Times New Roman" w:hAnsi="Times New Roman" w:eastAsia="Times New Roman" w:cs="Times New Roman"/>
          <w:spacing w:val="-9"/>
          <w:sz w:val="25"/>
          <w:szCs w:val="25"/>
        </w:rPr>
        <w:t xml:space="preserve">c)  </w:t>
      </w:r>
      <w:r>
        <w:rPr>
          <w:spacing w:val="-9"/>
          <w:sz w:val="25"/>
          <w:szCs w:val="25"/>
        </w:rPr>
        <w:t>对于测控单元，要求接入三相不一致保护动作录波</w:t>
      </w:r>
      <w:r>
        <w:rPr>
          <w:spacing w:val="-10"/>
          <w:sz w:val="25"/>
          <w:szCs w:val="25"/>
        </w:rPr>
        <w:t>。按反措要求。</w:t>
      </w:r>
    </w:p>
    <w:p>
      <w:pPr>
        <w:pStyle w:val="5"/>
        <w:spacing w:before="202" w:line="283" w:lineRule="auto"/>
        <w:ind w:right="900" w:firstLine="490"/>
        <w:rPr>
          <w:sz w:val="25"/>
          <w:szCs w:val="25"/>
        </w:rPr>
      </w:pPr>
      <w:r>
        <w:rPr>
          <w:spacing w:val="-11"/>
          <w:sz w:val="25"/>
          <w:szCs w:val="25"/>
        </w:rPr>
        <w:t>2、一条线路的两套保护的光电转换装置的应组不同柜，同时其相应的通信电源也应</w:t>
      </w:r>
      <w:r>
        <w:rPr>
          <w:spacing w:val="1"/>
          <w:sz w:val="25"/>
          <w:szCs w:val="25"/>
        </w:rPr>
        <w:t xml:space="preserve"> </w:t>
      </w:r>
      <w:r>
        <w:rPr>
          <w:spacing w:val="-14"/>
          <w:sz w:val="25"/>
          <w:szCs w:val="25"/>
        </w:rPr>
        <w:t>从不同的母线段取得。</w:t>
      </w:r>
    </w:p>
    <w:p>
      <w:pPr>
        <w:pStyle w:val="5"/>
        <w:spacing w:before="153" w:line="284" w:lineRule="auto"/>
        <w:ind w:left="490" w:right="4516"/>
        <w:rPr>
          <w:sz w:val="25"/>
          <w:szCs w:val="25"/>
        </w:rPr>
      </w:pPr>
      <w:r>
        <w:rPr>
          <w:spacing w:val="-13"/>
          <w:sz w:val="25"/>
          <w:szCs w:val="25"/>
        </w:rPr>
        <w:t>3、按国网公司反措要求实现间隔单元电气闭锁。</w:t>
      </w:r>
      <w:r>
        <w:rPr>
          <w:spacing w:val="14"/>
          <w:sz w:val="25"/>
          <w:szCs w:val="25"/>
        </w:rPr>
        <w:t xml:space="preserve"> </w:t>
      </w:r>
      <w:r>
        <w:rPr>
          <w:spacing w:val="-16"/>
          <w:sz w:val="25"/>
          <w:szCs w:val="25"/>
        </w:rPr>
        <w:t>三)、屏、柜安装质量通病防治：</w:t>
      </w:r>
    </w:p>
    <w:p>
      <w:pPr>
        <w:pStyle w:val="5"/>
        <w:spacing w:before="182" w:line="220" w:lineRule="auto"/>
        <w:ind w:left="490"/>
        <w:rPr>
          <w:sz w:val="25"/>
          <w:szCs w:val="25"/>
        </w:rPr>
      </w:pPr>
      <w:r>
        <w:rPr>
          <w:spacing w:val="-18"/>
          <w:sz w:val="25"/>
          <w:szCs w:val="25"/>
        </w:rPr>
        <w:t>设计控制措施；</w:t>
      </w:r>
    </w:p>
    <w:p>
      <w:pPr>
        <w:pStyle w:val="5"/>
        <w:spacing w:before="159" w:line="219" w:lineRule="auto"/>
        <w:ind w:left="490"/>
        <w:rPr>
          <w:sz w:val="25"/>
          <w:szCs w:val="25"/>
        </w:rPr>
      </w:pPr>
      <w:r>
        <w:rPr>
          <w:spacing w:val="-12"/>
          <w:sz w:val="25"/>
          <w:szCs w:val="25"/>
        </w:rPr>
        <w:t>1、设计应在设备招标文件中明确所有屏柜的色标号以及外形尺寸，明确厂家屏内接</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1" w:line="352" w:lineRule="exact"/>
        <w:ind w:firstLine="9736"/>
      </w:pPr>
      <w:r>
        <w:rPr>
          <w:position w:val="-7"/>
        </w:rPr>
        <w:drawing>
          <wp:inline distT="0" distB="0" distL="0" distR="0">
            <wp:extent cx="238125" cy="223520"/>
            <wp:effectExtent l="0" t="0" r="9525" b="5080"/>
            <wp:docPr id="658" name="IM 658"/>
            <wp:cNvGraphicFramePr/>
            <a:graphic xmlns:a="http://schemas.openxmlformats.org/drawingml/2006/main">
              <a:graphicData uri="http://schemas.openxmlformats.org/drawingml/2006/picture">
                <pic:pic xmlns:pic="http://schemas.openxmlformats.org/drawingml/2006/picture">
                  <pic:nvPicPr>
                    <pic:cNvPr id="658" name="IM 658"/>
                    <pic:cNvPicPr/>
                  </pic:nvPicPr>
                  <pic:blipFill>
                    <a:blip r:embed="rId15"/>
                    <a:stretch>
                      <a:fillRect/>
                    </a:stretch>
                  </pic:blipFill>
                  <pic:spPr>
                    <a:xfrm>
                      <a:off x="0" y="0"/>
                      <a:ext cx="238155" cy="223976"/>
                    </a:xfrm>
                    <a:prstGeom prst="rect">
                      <a:avLst/>
                    </a:prstGeom>
                  </pic:spPr>
                </pic:pic>
              </a:graphicData>
            </a:graphic>
          </wp:inline>
        </w:drawing>
      </w:r>
    </w:p>
    <w:p>
      <w:pPr>
        <w:spacing w:line="352" w:lineRule="exact"/>
        <w:sectPr>
          <w:pgSz w:w="11900" w:h="16840"/>
          <w:pgMar w:top="400" w:right="338" w:bottom="259" w:left="1450" w:header="0" w:footer="0" w:gutter="0"/>
          <w:pgNumType w:fmt="decimal"/>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5"/>
        <w:spacing w:before="82" w:line="220" w:lineRule="auto"/>
        <w:ind w:left="15"/>
        <w:rPr>
          <w:sz w:val="25"/>
          <w:szCs w:val="25"/>
        </w:rPr>
      </w:pPr>
      <w:r>
        <w:rPr>
          <w:spacing w:val="-7"/>
          <w:sz w:val="25"/>
          <w:szCs w:val="25"/>
        </w:rPr>
        <w:t>线工艺标准。</w:t>
      </w:r>
    </w:p>
    <w:p>
      <w:pPr>
        <w:pStyle w:val="5"/>
        <w:spacing w:before="168" w:line="276" w:lineRule="auto"/>
        <w:ind w:left="15" w:right="895" w:firstLine="459"/>
        <w:rPr>
          <w:sz w:val="25"/>
          <w:szCs w:val="25"/>
        </w:rPr>
      </w:pPr>
      <w:r>
        <w:rPr>
          <w:spacing w:val="-11"/>
          <w:sz w:val="25"/>
          <w:szCs w:val="25"/>
        </w:rPr>
        <w:t>2、设计单位应规范端子箱、动力箱、机构箱及汇控柜等箱体底座框架与其基础及预</w:t>
      </w:r>
      <w:r>
        <w:rPr>
          <w:spacing w:val="1"/>
          <w:sz w:val="25"/>
          <w:szCs w:val="25"/>
        </w:rPr>
        <w:t xml:space="preserve"> </w:t>
      </w:r>
      <w:r>
        <w:rPr>
          <w:spacing w:val="-11"/>
          <w:sz w:val="25"/>
          <w:szCs w:val="25"/>
        </w:rPr>
        <w:t>埋件的尺寸配合。</w:t>
      </w:r>
    </w:p>
    <w:p>
      <w:pPr>
        <w:pStyle w:val="5"/>
        <w:spacing w:before="164" w:line="304" w:lineRule="auto"/>
        <w:ind w:left="15" w:right="784" w:firstLine="459"/>
        <w:rPr>
          <w:sz w:val="25"/>
          <w:szCs w:val="25"/>
        </w:rPr>
      </w:pPr>
      <w:r>
        <w:rPr>
          <w:spacing w:val="-11"/>
          <w:sz w:val="25"/>
          <w:szCs w:val="25"/>
        </w:rPr>
        <w:t>3、端子箱箱体应有升高座，满足下有通风孔，上有排气孔的要求；动力电缆与控制</w:t>
      </w:r>
      <w:r>
        <w:rPr>
          <w:spacing w:val="11"/>
          <w:sz w:val="25"/>
          <w:szCs w:val="25"/>
        </w:rPr>
        <w:t xml:space="preserve"> </w:t>
      </w:r>
      <w:r>
        <w:rPr>
          <w:spacing w:val="-12"/>
          <w:sz w:val="25"/>
          <w:szCs w:val="25"/>
        </w:rPr>
        <w:t>电缆之间应有防护隔板。内部加热器的位置应与电缆保持一定距离，且加热器的连接端子</w:t>
      </w:r>
      <w:r>
        <w:rPr>
          <w:spacing w:val="8"/>
          <w:sz w:val="25"/>
          <w:szCs w:val="25"/>
        </w:rPr>
        <w:t xml:space="preserve"> </w:t>
      </w:r>
      <w:r>
        <w:rPr>
          <w:spacing w:val="-11"/>
          <w:sz w:val="25"/>
          <w:szCs w:val="25"/>
        </w:rPr>
        <w:t>应在加热器下方，避免运行时灼伤加热器电缆。端子箱内应用不锈</w:t>
      </w:r>
      <w:r>
        <w:rPr>
          <w:spacing w:val="-12"/>
          <w:sz w:val="25"/>
          <w:szCs w:val="25"/>
        </w:rPr>
        <w:t>钢或热镀锌螺栓。</w:t>
      </w:r>
    </w:p>
    <w:p>
      <w:pPr>
        <w:pStyle w:val="5"/>
        <w:spacing w:before="164" w:line="281" w:lineRule="auto"/>
        <w:ind w:left="15" w:right="892" w:firstLine="459"/>
        <w:rPr>
          <w:sz w:val="25"/>
          <w:szCs w:val="25"/>
        </w:rPr>
      </w:pPr>
      <w:r>
        <w:rPr>
          <w:spacing w:val="-11"/>
          <w:sz w:val="25"/>
          <w:szCs w:val="25"/>
        </w:rPr>
        <w:t>4、断路器机构箱、汇控柜下部基础预留孔大小和位置应合理，已满足电缆布排的工</w:t>
      </w:r>
      <w:r>
        <w:rPr>
          <w:spacing w:val="4"/>
          <w:sz w:val="25"/>
          <w:szCs w:val="25"/>
        </w:rPr>
        <w:t xml:space="preserve"> </w:t>
      </w:r>
      <w:r>
        <w:rPr>
          <w:spacing w:val="-10"/>
          <w:sz w:val="25"/>
          <w:szCs w:val="25"/>
        </w:rPr>
        <w:t>艺要求。</w:t>
      </w:r>
    </w:p>
    <w:p>
      <w:pPr>
        <w:pStyle w:val="5"/>
        <w:spacing w:before="180" w:line="219" w:lineRule="auto"/>
        <w:ind w:left="474"/>
        <w:rPr>
          <w:sz w:val="25"/>
          <w:szCs w:val="25"/>
        </w:rPr>
      </w:pPr>
      <w:r>
        <w:rPr>
          <w:spacing w:val="-11"/>
          <w:sz w:val="25"/>
          <w:szCs w:val="25"/>
        </w:rPr>
        <w:t>5、屏顶小母线应设置防护措施。</w:t>
      </w:r>
    </w:p>
    <w:p>
      <w:pPr>
        <w:pStyle w:val="5"/>
        <w:spacing w:before="162" w:line="284" w:lineRule="auto"/>
        <w:ind w:left="474" w:right="1380"/>
        <w:rPr>
          <w:sz w:val="25"/>
          <w:szCs w:val="25"/>
        </w:rPr>
      </w:pPr>
      <w:r>
        <w:rPr>
          <w:spacing w:val="-11"/>
          <w:sz w:val="25"/>
          <w:szCs w:val="25"/>
        </w:rPr>
        <w:t>6、屏、柜内应分别设置接地母线和等电位屏蔽母线，并由厂家制</w:t>
      </w:r>
      <w:r>
        <w:rPr>
          <w:spacing w:val="-12"/>
          <w:sz w:val="25"/>
          <w:szCs w:val="25"/>
        </w:rPr>
        <w:t>作接地标识。</w:t>
      </w:r>
      <w:r>
        <w:rPr>
          <w:sz w:val="25"/>
          <w:szCs w:val="25"/>
        </w:rPr>
        <w:t xml:space="preserve"> </w:t>
      </w:r>
      <w:r>
        <w:rPr>
          <w:spacing w:val="-7"/>
          <w:sz w:val="25"/>
          <w:szCs w:val="25"/>
        </w:rPr>
        <w:t>监理控制措施</w:t>
      </w:r>
    </w:p>
    <w:p>
      <w:pPr>
        <w:pStyle w:val="5"/>
        <w:spacing w:before="161" w:line="287" w:lineRule="auto"/>
        <w:ind w:left="15" w:right="710" w:firstLine="459"/>
        <w:rPr>
          <w:sz w:val="25"/>
          <w:szCs w:val="25"/>
        </w:rPr>
      </w:pPr>
      <w:r>
        <w:rPr>
          <w:spacing w:val="-12"/>
          <w:sz w:val="25"/>
          <w:szCs w:val="25"/>
        </w:rPr>
        <w:t>1、屏、柜安装要牢固可靠，主控制屏、继电保护屏</w:t>
      </w:r>
      <w:r>
        <w:rPr>
          <w:spacing w:val="-13"/>
          <w:sz w:val="25"/>
          <w:szCs w:val="25"/>
        </w:rPr>
        <w:t>和自动装置屏等应采用螺栓固定，</w:t>
      </w:r>
      <w:r>
        <w:rPr>
          <w:sz w:val="25"/>
          <w:szCs w:val="25"/>
        </w:rPr>
        <w:t xml:space="preserve"> </w:t>
      </w:r>
      <w:r>
        <w:rPr>
          <w:spacing w:val="-11"/>
          <w:sz w:val="25"/>
          <w:szCs w:val="25"/>
        </w:rPr>
        <w:t>不得与基础型钢焊死。安装后端子箱立面应保持在一条直线上。</w:t>
      </w:r>
    </w:p>
    <w:p>
      <w:pPr>
        <w:pStyle w:val="5"/>
        <w:spacing w:before="164" w:line="283" w:lineRule="auto"/>
        <w:ind w:left="15" w:right="894" w:firstLine="459"/>
        <w:rPr>
          <w:sz w:val="25"/>
          <w:szCs w:val="25"/>
        </w:rPr>
      </w:pPr>
      <w:r>
        <w:rPr>
          <w:spacing w:val="-11"/>
          <w:sz w:val="25"/>
          <w:szCs w:val="25"/>
        </w:rPr>
        <w:t>2、电缆较多的屏柜接地母线的长度及其接地螺孔宜适当增加，以保证一个接地螺栓</w:t>
      </w:r>
      <w:r>
        <w:rPr>
          <w:spacing w:val="2"/>
          <w:sz w:val="25"/>
          <w:szCs w:val="25"/>
        </w:rPr>
        <w:t xml:space="preserve"> </w:t>
      </w:r>
      <w:r>
        <w:rPr>
          <w:spacing w:val="-5"/>
          <w:sz w:val="25"/>
          <w:szCs w:val="25"/>
        </w:rPr>
        <w:t>上安装不超过2个接地线鼻的要求。</w:t>
      </w:r>
    </w:p>
    <w:p>
      <w:pPr>
        <w:pStyle w:val="5"/>
        <w:spacing w:before="174" w:line="279" w:lineRule="auto"/>
        <w:ind w:left="474" w:right="650"/>
        <w:rPr>
          <w:sz w:val="25"/>
          <w:szCs w:val="25"/>
        </w:rPr>
      </w:pPr>
      <w:r>
        <w:rPr>
          <w:spacing w:val="-4"/>
          <w:sz w:val="25"/>
          <w:szCs w:val="25"/>
        </w:rPr>
        <w:t>3、配电、控制、保护用的屏(柜、箱)及操作台等的金属框架和</w:t>
      </w:r>
      <w:r>
        <w:rPr>
          <w:spacing w:val="-5"/>
          <w:sz w:val="25"/>
          <w:szCs w:val="25"/>
        </w:rPr>
        <w:t>底座应接地或接零。</w:t>
      </w:r>
      <w:r>
        <w:rPr>
          <w:sz w:val="25"/>
          <w:szCs w:val="25"/>
        </w:rPr>
        <w:t xml:space="preserve"> </w:t>
      </w:r>
      <w:r>
        <w:rPr>
          <w:spacing w:val="-8"/>
          <w:sz w:val="25"/>
          <w:szCs w:val="25"/>
        </w:rPr>
        <w:t>四)电缆敷设、接地与防火封堵质量通病防治：</w:t>
      </w:r>
    </w:p>
    <w:p>
      <w:pPr>
        <w:pStyle w:val="5"/>
        <w:spacing w:before="154" w:line="220" w:lineRule="auto"/>
        <w:ind w:left="474"/>
        <w:rPr>
          <w:sz w:val="25"/>
          <w:szCs w:val="25"/>
        </w:rPr>
      </w:pPr>
      <w:r>
        <w:rPr>
          <w:spacing w:val="-7"/>
          <w:sz w:val="25"/>
          <w:szCs w:val="25"/>
        </w:rPr>
        <w:t>设计控制措施</w:t>
      </w:r>
    </w:p>
    <w:p>
      <w:pPr>
        <w:pStyle w:val="5"/>
        <w:spacing w:before="171" w:line="287" w:lineRule="auto"/>
        <w:ind w:right="895" w:firstLine="474"/>
        <w:rPr>
          <w:sz w:val="25"/>
          <w:szCs w:val="25"/>
        </w:rPr>
      </w:pPr>
      <w:r>
        <w:rPr>
          <w:spacing w:val="-8"/>
          <w:sz w:val="25"/>
          <w:szCs w:val="25"/>
        </w:rPr>
        <w:t>1、交流动力电缆在普通支架上敷设不宜超过1层且应布置在上层，单芯电力电缆应</w:t>
      </w:r>
      <w:r>
        <w:rPr>
          <w:spacing w:val="15"/>
          <w:sz w:val="25"/>
          <w:szCs w:val="25"/>
        </w:rPr>
        <w:t xml:space="preserve"> </w:t>
      </w:r>
      <w:r>
        <w:rPr>
          <w:spacing w:val="-8"/>
          <w:sz w:val="25"/>
          <w:szCs w:val="25"/>
        </w:rPr>
        <w:t>“品”字敷设。</w:t>
      </w:r>
    </w:p>
    <w:p>
      <w:pPr>
        <w:pStyle w:val="5"/>
        <w:spacing w:before="162" w:line="283" w:lineRule="auto"/>
        <w:ind w:left="15" w:right="864" w:firstLine="459"/>
        <w:rPr>
          <w:sz w:val="25"/>
          <w:szCs w:val="25"/>
        </w:rPr>
      </w:pPr>
      <w:r>
        <w:rPr>
          <w:spacing w:val="-10"/>
          <w:sz w:val="25"/>
          <w:szCs w:val="25"/>
        </w:rPr>
        <w:t>2、控制室、继电室内电缆较多，为便于施工、运行、维护、防静电地板</w:t>
      </w:r>
      <w:r>
        <w:rPr>
          <w:spacing w:val="-11"/>
          <w:sz w:val="25"/>
          <w:szCs w:val="25"/>
        </w:rPr>
        <w:t>支架与电缆</w:t>
      </w:r>
      <w:r>
        <w:rPr>
          <w:sz w:val="25"/>
          <w:szCs w:val="25"/>
        </w:rPr>
        <w:t xml:space="preserve"> </w:t>
      </w:r>
      <w:r>
        <w:rPr>
          <w:spacing w:val="-12"/>
          <w:sz w:val="25"/>
          <w:szCs w:val="25"/>
        </w:rPr>
        <w:t>支架设计要相互配合，宜直接采用带电缆托架的屏柜支架。</w:t>
      </w:r>
    </w:p>
    <w:p>
      <w:pPr>
        <w:pStyle w:val="5"/>
        <w:spacing w:before="173" w:line="219" w:lineRule="auto"/>
        <w:ind w:left="474"/>
        <w:rPr>
          <w:sz w:val="25"/>
          <w:szCs w:val="25"/>
        </w:rPr>
      </w:pPr>
      <w:r>
        <w:rPr>
          <w:spacing w:val="-11"/>
          <w:sz w:val="25"/>
          <w:szCs w:val="25"/>
        </w:rPr>
        <w:t>3、设在一层的控制室或继电保护小室宜取消防静电地板，采用电缆沟进线。</w:t>
      </w:r>
    </w:p>
    <w:p>
      <w:pPr>
        <w:pStyle w:val="5"/>
        <w:spacing w:before="175" w:line="219" w:lineRule="auto"/>
        <w:ind w:left="474"/>
        <w:rPr>
          <w:sz w:val="25"/>
          <w:szCs w:val="25"/>
        </w:rPr>
      </w:pPr>
      <w:r>
        <w:rPr>
          <w:spacing w:val="-10"/>
          <w:sz w:val="25"/>
          <w:szCs w:val="25"/>
        </w:rPr>
        <w:t>4、在电缆沟十字交叉口，丁字口处增加电缆托架，以防止</w:t>
      </w:r>
      <w:r>
        <w:rPr>
          <w:spacing w:val="-11"/>
          <w:sz w:val="25"/>
          <w:szCs w:val="25"/>
        </w:rPr>
        <w:t>电缆落地或过度下坠。</w:t>
      </w:r>
    </w:p>
    <w:p>
      <w:pPr>
        <w:pStyle w:val="5"/>
        <w:spacing w:before="154" w:line="300" w:lineRule="auto"/>
        <w:ind w:left="15" w:right="766" w:firstLine="459"/>
        <w:rPr>
          <w:sz w:val="25"/>
          <w:szCs w:val="25"/>
        </w:rPr>
      </w:pPr>
      <w:r>
        <w:rPr>
          <w:spacing w:val="-10"/>
          <w:sz w:val="25"/>
          <w:szCs w:val="25"/>
        </w:rPr>
        <w:t>5、监控系统、远动装置、电度表计费屏、故障信息管理子站等装置的工作电源不应</w:t>
      </w:r>
      <w:r>
        <w:rPr>
          <w:spacing w:val="14"/>
          <w:sz w:val="25"/>
          <w:szCs w:val="25"/>
        </w:rPr>
        <w:t xml:space="preserve"> </w:t>
      </w:r>
      <w:r>
        <w:rPr>
          <w:spacing w:val="-12"/>
          <w:sz w:val="25"/>
          <w:szCs w:val="25"/>
        </w:rPr>
        <w:t>接至屏顶交流小母线，应接至</w:t>
      </w:r>
      <w:r>
        <w:rPr>
          <w:rFonts w:ascii="Times New Roman" w:hAnsi="Times New Roman" w:eastAsia="Times New Roman" w:cs="Times New Roman"/>
          <w:spacing w:val="-12"/>
          <w:sz w:val="25"/>
          <w:szCs w:val="25"/>
        </w:rPr>
        <w:t>UPS</w:t>
      </w:r>
      <w:r>
        <w:rPr>
          <w:rFonts w:ascii="Times New Roman" w:hAnsi="Times New Roman" w:eastAsia="Times New Roman" w:cs="Times New Roman"/>
          <w:spacing w:val="26"/>
          <w:sz w:val="25"/>
          <w:szCs w:val="25"/>
        </w:rPr>
        <w:t xml:space="preserve"> </w:t>
      </w:r>
      <w:r>
        <w:rPr>
          <w:spacing w:val="-12"/>
          <w:sz w:val="25"/>
          <w:szCs w:val="25"/>
        </w:rPr>
        <w:t>交流电源。双路电源时，要对每路</w:t>
      </w:r>
      <w:r>
        <w:rPr>
          <w:spacing w:val="-13"/>
          <w:sz w:val="25"/>
          <w:szCs w:val="25"/>
        </w:rPr>
        <w:t>电源是否独立供电进</w:t>
      </w:r>
      <w:r>
        <w:rPr>
          <w:sz w:val="25"/>
          <w:szCs w:val="25"/>
        </w:rPr>
        <w:t xml:space="preserve"> </w:t>
      </w:r>
      <w:r>
        <w:rPr>
          <w:spacing w:val="-10"/>
          <w:sz w:val="25"/>
          <w:szCs w:val="25"/>
        </w:rPr>
        <w:t>行核对。</w:t>
      </w:r>
    </w:p>
    <w:p>
      <w:pPr>
        <w:pStyle w:val="5"/>
        <w:spacing w:before="191" w:line="219" w:lineRule="auto"/>
        <w:ind w:left="474"/>
        <w:rPr>
          <w:sz w:val="25"/>
          <w:szCs w:val="25"/>
        </w:rPr>
      </w:pPr>
      <w:r>
        <w:rPr>
          <w:spacing w:val="-11"/>
          <w:sz w:val="25"/>
          <w:szCs w:val="25"/>
        </w:rPr>
        <w:t>6、双通道保护复出接口柜的两路直流电源应分别取自不同段直流电源。</w:t>
      </w:r>
    </w:p>
    <w:p>
      <w:pPr>
        <w:pStyle w:val="5"/>
        <w:spacing w:before="163" w:line="290" w:lineRule="auto"/>
        <w:ind w:left="15" w:right="650" w:firstLine="459"/>
        <w:rPr>
          <w:sz w:val="25"/>
          <w:szCs w:val="25"/>
        </w:rPr>
      </w:pPr>
      <w:r>
        <w:rPr>
          <w:rFonts w:ascii="Times New Roman" w:hAnsi="Times New Roman" w:eastAsia="Times New Roman" w:cs="Times New Roman"/>
          <w:spacing w:val="-12"/>
          <w:sz w:val="25"/>
          <w:szCs w:val="25"/>
        </w:rPr>
        <w:t>7</w:t>
      </w:r>
      <w:r>
        <w:rPr>
          <w:spacing w:val="-12"/>
          <w:sz w:val="25"/>
          <w:szCs w:val="25"/>
        </w:rPr>
        <w:t>、在设备招标文件和工艺设计中，应明确主变压器、油侵电抗器、</w:t>
      </w:r>
      <w:r>
        <w:rPr>
          <w:rFonts w:ascii="Times New Roman" w:hAnsi="Times New Roman" w:eastAsia="Times New Roman" w:cs="Times New Roman"/>
          <w:spacing w:val="-12"/>
          <w:sz w:val="25"/>
          <w:szCs w:val="25"/>
        </w:rPr>
        <w:t xml:space="preserve">GIS </w:t>
      </w:r>
      <w:r>
        <w:rPr>
          <w:spacing w:val="-12"/>
          <w:sz w:val="25"/>
          <w:szCs w:val="25"/>
        </w:rPr>
        <w:t>和罐式断路器</w:t>
      </w:r>
      <w:r>
        <w:rPr>
          <w:spacing w:val="9"/>
          <w:sz w:val="25"/>
          <w:szCs w:val="25"/>
        </w:rPr>
        <w:t xml:space="preserve"> </w:t>
      </w:r>
      <w:r>
        <w:rPr>
          <w:spacing w:val="-14"/>
          <w:sz w:val="25"/>
          <w:szCs w:val="25"/>
        </w:rPr>
        <w:t>等设备电缆不外露。变压器、油侵电抗器身敷设的本</w:t>
      </w:r>
      <w:r>
        <w:rPr>
          <w:spacing w:val="-15"/>
          <w:sz w:val="25"/>
          <w:szCs w:val="25"/>
        </w:rPr>
        <w:t>体电缆、集气管、波纹管油位计电缆、</w:t>
      </w:r>
    </w:p>
    <w:p>
      <w:pPr>
        <w:spacing w:line="290" w:lineRule="auto"/>
        <w:rPr>
          <w:sz w:val="25"/>
          <w:szCs w:val="25"/>
        </w:rPr>
        <w:sectPr>
          <w:footerReference r:id="rId6" w:type="default"/>
          <w:pgSz w:w="11900" w:h="16840"/>
          <w:pgMar w:top="400" w:right="394" w:bottom="454" w:left="1414" w:header="0" w:footer="228" w:gutter="0"/>
          <w:pgNumType w:fmt="decimal"/>
          <w:cols w:space="720" w:num="1"/>
        </w:sect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5"/>
        <w:spacing w:before="81" w:line="219" w:lineRule="auto"/>
        <w:rPr>
          <w:sz w:val="25"/>
          <w:szCs w:val="25"/>
        </w:rPr>
      </w:pPr>
      <w:r>
        <w:rPr>
          <w:spacing w:val="-12"/>
          <w:sz w:val="25"/>
          <w:szCs w:val="25"/>
        </w:rPr>
        <w:t>温度表软管应保证工艺美观。</w:t>
      </w:r>
    </w:p>
    <w:p>
      <w:pPr>
        <w:pStyle w:val="5"/>
        <w:spacing w:before="181" w:line="219" w:lineRule="auto"/>
        <w:ind w:left="490"/>
        <w:rPr>
          <w:sz w:val="25"/>
          <w:szCs w:val="25"/>
        </w:rPr>
      </w:pPr>
      <w:r>
        <w:rPr>
          <w:spacing w:val="-11"/>
          <w:sz w:val="25"/>
          <w:szCs w:val="25"/>
        </w:rPr>
        <w:t>8、电缆敷设应绘制电缆走向图和转角断面图</w:t>
      </w:r>
      <w:r>
        <w:rPr>
          <w:spacing w:val="-12"/>
          <w:sz w:val="25"/>
          <w:szCs w:val="25"/>
        </w:rPr>
        <w:t>。所有屏柜门接地跨线应统一工艺要求。</w:t>
      </w:r>
    </w:p>
    <w:p>
      <w:pPr>
        <w:pStyle w:val="5"/>
        <w:spacing w:before="165" w:line="283" w:lineRule="auto"/>
        <w:ind w:right="853" w:firstLine="490"/>
        <w:rPr>
          <w:sz w:val="25"/>
          <w:szCs w:val="25"/>
        </w:rPr>
      </w:pPr>
      <w:r>
        <w:rPr>
          <w:spacing w:val="-12"/>
          <w:sz w:val="25"/>
          <w:szCs w:val="25"/>
        </w:rPr>
        <w:t>9、在电缆竖井中及防静电地板下应设计电缆槽盒，专门布置电源线、网络连线、视</w:t>
      </w:r>
      <w:r>
        <w:rPr>
          <w:spacing w:val="17"/>
          <w:sz w:val="25"/>
          <w:szCs w:val="25"/>
        </w:rPr>
        <w:t xml:space="preserve"> </w:t>
      </w:r>
      <w:r>
        <w:rPr>
          <w:spacing w:val="-12"/>
          <w:sz w:val="25"/>
          <w:szCs w:val="25"/>
        </w:rPr>
        <w:t>频线、电话线、数据线等不易敷设整齐的缆</w:t>
      </w:r>
      <w:r>
        <w:rPr>
          <w:spacing w:val="-13"/>
          <w:sz w:val="25"/>
          <w:szCs w:val="25"/>
        </w:rPr>
        <w:t>线。</w:t>
      </w:r>
    </w:p>
    <w:p>
      <w:pPr>
        <w:pStyle w:val="5"/>
        <w:spacing w:before="163" w:line="220" w:lineRule="auto"/>
        <w:ind w:left="490"/>
        <w:rPr>
          <w:sz w:val="25"/>
          <w:szCs w:val="25"/>
        </w:rPr>
      </w:pPr>
      <w:r>
        <w:rPr>
          <w:spacing w:val="-11"/>
          <w:sz w:val="25"/>
          <w:szCs w:val="25"/>
        </w:rPr>
        <w:t>监理控制措施</w:t>
      </w:r>
    </w:p>
    <w:p>
      <w:pPr>
        <w:pStyle w:val="5"/>
        <w:spacing w:before="170" w:line="280" w:lineRule="auto"/>
        <w:ind w:right="881" w:firstLine="490"/>
        <w:rPr>
          <w:sz w:val="25"/>
          <w:szCs w:val="25"/>
        </w:rPr>
      </w:pPr>
      <w:r>
        <w:rPr>
          <w:spacing w:val="-12"/>
          <w:sz w:val="25"/>
          <w:szCs w:val="25"/>
        </w:rPr>
        <w:t>1、电缆管切割后，管口必须进行钝化处理，以防损伤电缆</w:t>
      </w:r>
      <w:r>
        <w:rPr>
          <w:spacing w:val="-13"/>
          <w:sz w:val="25"/>
          <w:szCs w:val="25"/>
        </w:rPr>
        <w:t>，也可在管口上加装软塑</w:t>
      </w:r>
      <w:r>
        <w:rPr>
          <w:sz w:val="25"/>
          <w:szCs w:val="25"/>
        </w:rPr>
        <w:t xml:space="preserve"> </w:t>
      </w:r>
      <w:r>
        <w:rPr>
          <w:spacing w:val="-11"/>
          <w:sz w:val="25"/>
          <w:szCs w:val="25"/>
        </w:rPr>
        <w:t>料套。电缆管的焊接要保证焊缝观感工艺，二次电缆</w:t>
      </w:r>
      <w:r>
        <w:rPr>
          <w:spacing w:val="-12"/>
          <w:sz w:val="25"/>
          <w:szCs w:val="25"/>
        </w:rPr>
        <w:t>穿管敷设时电缆不外露。</w:t>
      </w:r>
    </w:p>
    <w:p>
      <w:pPr>
        <w:pStyle w:val="5"/>
        <w:spacing w:before="162" w:line="283" w:lineRule="auto"/>
        <w:ind w:right="897" w:firstLine="490"/>
        <w:rPr>
          <w:sz w:val="25"/>
          <w:szCs w:val="25"/>
        </w:rPr>
      </w:pPr>
      <w:r>
        <w:rPr>
          <w:spacing w:val="-13"/>
          <w:sz w:val="25"/>
          <w:szCs w:val="25"/>
        </w:rPr>
        <w:t>2、敷设进入端子箱、汇控柜及机构箱电缆管时，应根据保护管实际尺寸进行开孔，</w:t>
      </w:r>
      <w:r>
        <w:rPr>
          <w:spacing w:val="9"/>
          <w:sz w:val="25"/>
          <w:szCs w:val="25"/>
        </w:rPr>
        <w:t xml:space="preserve"> </w:t>
      </w:r>
      <w:r>
        <w:rPr>
          <w:spacing w:val="-12"/>
          <w:sz w:val="25"/>
          <w:szCs w:val="25"/>
        </w:rPr>
        <w:t>不应开孔过大或拆除箱地板。</w:t>
      </w:r>
    </w:p>
    <w:p>
      <w:pPr>
        <w:pStyle w:val="5"/>
        <w:spacing w:before="184" w:line="279" w:lineRule="auto"/>
        <w:ind w:right="846" w:firstLine="490"/>
        <w:rPr>
          <w:sz w:val="25"/>
          <w:szCs w:val="25"/>
        </w:rPr>
      </w:pPr>
      <w:r>
        <w:rPr>
          <w:spacing w:val="-11"/>
          <w:sz w:val="25"/>
          <w:szCs w:val="25"/>
        </w:rPr>
        <w:t>3、进入机构箱的电缆管，其埋入地下水平段下方的</w:t>
      </w:r>
      <w:r>
        <w:rPr>
          <w:spacing w:val="-12"/>
          <w:sz w:val="25"/>
          <w:szCs w:val="25"/>
        </w:rPr>
        <w:t>回填土必须夯实，避免因地面下</w:t>
      </w:r>
      <w:r>
        <w:rPr>
          <w:sz w:val="25"/>
          <w:szCs w:val="25"/>
        </w:rPr>
        <w:t xml:space="preserve"> </w:t>
      </w:r>
      <w:r>
        <w:rPr>
          <w:spacing w:val="-12"/>
          <w:sz w:val="25"/>
          <w:szCs w:val="25"/>
        </w:rPr>
        <w:t>沉造成电缆管受力，带动机构箱下沉。</w:t>
      </w:r>
    </w:p>
    <w:p>
      <w:pPr>
        <w:pStyle w:val="5"/>
        <w:spacing w:before="174" w:line="219" w:lineRule="auto"/>
        <w:ind w:left="490"/>
        <w:rPr>
          <w:sz w:val="25"/>
          <w:szCs w:val="25"/>
        </w:rPr>
      </w:pPr>
      <w:r>
        <w:rPr>
          <w:spacing w:val="-12"/>
          <w:sz w:val="25"/>
          <w:szCs w:val="25"/>
        </w:rPr>
        <w:t>4、固定电缆桥架连接板的螺栓应由里向外穿，以免划伤电缆。</w:t>
      </w:r>
    </w:p>
    <w:p>
      <w:pPr>
        <w:pStyle w:val="5"/>
        <w:spacing w:before="162" w:line="300" w:lineRule="auto"/>
        <w:ind w:right="738" w:firstLine="490"/>
        <w:rPr>
          <w:sz w:val="25"/>
          <w:szCs w:val="25"/>
        </w:rPr>
      </w:pPr>
      <w:r>
        <w:rPr>
          <w:rFonts w:ascii="Times New Roman" w:hAnsi="Times New Roman" w:eastAsia="Times New Roman" w:cs="Times New Roman"/>
          <w:spacing w:val="-11"/>
          <w:sz w:val="25"/>
          <w:szCs w:val="25"/>
        </w:rPr>
        <w:t>5</w:t>
      </w:r>
      <w:r>
        <w:rPr>
          <w:spacing w:val="-11"/>
          <w:sz w:val="25"/>
          <w:szCs w:val="25"/>
        </w:rPr>
        <w:t>、电缆沟十字交叉口及拐弯处电缆支架间距大于800</w:t>
      </w:r>
      <w:r>
        <w:rPr>
          <w:rFonts w:ascii="Times New Roman" w:hAnsi="Times New Roman" w:eastAsia="Times New Roman" w:cs="Times New Roman"/>
          <w:spacing w:val="-11"/>
          <w:sz w:val="25"/>
          <w:szCs w:val="25"/>
        </w:rPr>
        <w:t>mm</w:t>
      </w:r>
      <w:r>
        <w:rPr>
          <w:spacing w:val="-11"/>
          <w:sz w:val="25"/>
          <w:szCs w:val="25"/>
        </w:rPr>
        <w:t>时增</w:t>
      </w:r>
      <w:r>
        <w:rPr>
          <w:spacing w:val="-12"/>
          <w:sz w:val="25"/>
          <w:szCs w:val="25"/>
        </w:rPr>
        <w:t>加电缆支架，防止电缆</w:t>
      </w:r>
      <w:r>
        <w:rPr>
          <w:sz w:val="25"/>
          <w:szCs w:val="25"/>
        </w:rPr>
        <w:t xml:space="preserve">  </w:t>
      </w:r>
      <w:r>
        <w:rPr>
          <w:spacing w:val="-11"/>
          <w:sz w:val="25"/>
          <w:szCs w:val="25"/>
        </w:rPr>
        <w:t>下坠。转角处应增加绑扎点，确保电缆平顺一致</w:t>
      </w:r>
      <w:r>
        <w:rPr>
          <w:spacing w:val="-12"/>
          <w:sz w:val="25"/>
          <w:szCs w:val="25"/>
        </w:rPr>
        <w:t>、美观、无交叉。电缆下部距离地面高度</w:t>
      </w:r>
      <w:r>
        <w:rPr>
          <w:sz w:val="25"/>
          <w:szCs w:val="25"/>
        </w:rPr>
        <w:t xml:space="preserve"> </w:t>
      </w:r>
      <w:r>
        <w:rPr>
          <w:spacing w:val="-11"/>
          <w:sz w:val="25"/>
          <w:szCs w:val="25"/>
        </w:rPr>
        <w:t>应在100</w:t>
      </w:r>
      <w:r>
        <w:rPr>
          <w:rFonts w:ascii="Times New Roman" w:hAnsi="Times New Roman" w:eastAsia="Times New Roman" w:cs="Times New Roman"/>
          <w:spacing w:val="-11"/>
          <w:sz w:val="25"/>
          <w:szCs w:val="25"/>
        </w:rPr>
        <w:t>mm</w:t>
      </w:r>
      <w:r>
        <w:rPr>
          <w:rFonts w:ascii="Times New Roman" w:hAnsi="Times New Roman" w:eastAsia="Times New Roman" w:cs="Times New Roman"/>
          <w:spacing w:val="-34"/>
          <w:sz w:val="25"/>
          <w:szCs w:val="25"/>
        </w:rPr>
        <w:t xml:space="preserve"> </w:t>
      </w:r>
      <w:r>
        <w:rPr>
          <w:spacing w:val="-11"/>
          <w:sz w:val="25"/>
          <w:szCs w:val="25"/>
        </w:rPr>
        <w:t>以下。电缆绑扎带间距和带头长度要规范、统一。</w:t>
      </w:r>
    </w:p>
    <w:p>
      <w:pPr>
        <w:pStyle w:val="5"/>
        <w:spacing w:before="181" w:line="310" w:lineRule="auto"/>
        <w:ind w:right="741" w:firstLine="490"/>
        <w:rPr>
          <w:sz w:val="25"/>
          <w:szCs w:val="25"/>
        </w:rPr>
      </w:pPr>
      <w:r>
        <w:rPr>
          <w:spacing w:val="-11"/>
          <w:sz w:val="25"/>
          <w:szCs w:val="25"/>
        </w:rPr>
        <w:t>6、不同截面线芯不得插接在同一端子内，相同</w:t>
      </w:r>
      <w:r>
        <w:rPr>
          <w:spacing w:val="-12"/>
          <w:sz w:val="25"/>
          <w:szCs w:val="25"/>
        </w:rPr>
        <w:t>截面线芯压接在同一端子内的数量不</w:t>
      </w:r>
      <w:r>
        <w:rPr>
          <w:sz w:val="25"/>
          <w:szCs w:val="25"/>
        </w:rPr>
        <w:t xml:space="preserve">  </w:t>
      </w:r>
      <w:r>
        <w:rPr>
          <w:spacing w:val="-12"/>
          <w:sz w:val="25"/>
          <w:szCs w:val="25"/>
        </w:rPr>
        <w:t>应超过两芯。插入式接线线芯割剥不应过长或过短，防止紧固后铜导线外裸或紧固在绝缘</w:t>
      </w:r>
      <w:r>
        <w:rPr>
          <w:spacing w:val="17"/>
          <w:sz w:val="25"/>
          <w:szCs w:val="25"/>
        </w:rPr>
        <w:t xml:space="preserve"> </w:t>
      </w:r>
      <w:r>
        <w:rPr>
          <w:spacing w:val="-12"/>
          <w:sz w:val="25"/>
          <w:szCs w:val="25"/>
        </w:rPr>
        <w:t>层上造成接触不良。线芯握圈连接时，线圈内径应与固定螺栓外径匹配，握圈方向与螺栓</w:t>
      </w:r>
      <w:r>
        <w:rPr>
          <w:spacing w:val="18"/>
          <w:sz w:val="25"/>
          <w:szCs w:val="25"/>
        </w:rPr>
        <w:t xml:space="preserve"> </w:t>
      </w:r>
      <w:r>
        <w:rPr>
          <w:spacing w:val="-12"/>
          <w:sz w:val="25"/>
          <w:szCs w:val="25"/>
        </w:rPr>
        <w:t>拧紧方向一致，两芯接在同一端子上时，两芯中间必须加装平垫片。</w:t>
      </w:r>
    </w:p>
    <w:p>
      <w:pPr>
        <w:pStyle w:val="5"/>
        <w:spacing w:before="184" w:line="219" w:lineRule="auto"/>
        <w:ind w:left="490"/>
        <w:rPr>
          <w:sz w:val="25"/>
          <w:szCs w:val="25"/>
        </w:rPr>
      </w:pPr>
      <w:r>
        <w:rPr>
          <w:rFonts w:ascii="Times New Roman" w:hAnsi="Times New Roman" w:eastAsia="Times New Roman" w:cs="Times New Roman"/>
          <w:spacing w:val="-3"/>
          <w:sz w:val="25"/>
          <w:szCs w:val="25"/>
        </w:rPr>
        <w:t>7</w:t>
      </w:r>
      <w:r>
        <w:rPr>
          <w:spacing w:val="-3"/>
          <w:sz w:val="25"/>
          <w:szCs w:val="25"/>
        </w:rPr>
        <w:t>、端子线内二次接线电缆头应高出屏(箱)底部100~150</w:t>
      </w:r>
      <w:r>
        <w:rPr>
          <w:rFonts w:ascii="Times New Roman" w:hAnsi="Times New Roman" w:eastAsia="Times New Roman" w:cs="Times New Roman"/>
          <w:spacing w:val="-3"/>
          <w:sz w:val="25"/>
          <w:szCs w:val="25"/>
        </w:rPr>
        <w:t>mm</w:t>
      </w:r>
      <w:r>
        <w:rPr>
          <w:spacing w:val="-3"/>
          <w:sz w:val="25"/>
          <w:szCs w:val="25"/>
        </w:rPr>
        <w:t>。</w:t>
      </w:r>
    </w:p>
    <w:p>
      <w:pPr>
        <w:pStyle w:val="5"/>
        <w:spacing w:before="172" w:line="283" w:lineRule="auto"/>
        <w:ind w:right="720" w:firstLine="490"/>
        <w:rPr>
          <w:sz w:val="25"/>
          <w:szCs w:val="25"/>
        </w:rPr>
      </w:pPr>
      <w:r>
        <w:rPr>
          <w:spacing w:val="-8"/>
          <w:sz w:val="25"/>
          <w:szCs w:val="25"/>
        </w:rPr>
        <w:t>8、电缆割剥时不得损伤电缆线芯绝缘层；屏蔽层与4mm2多股软铜线连接引出接地要</w:t>
      </w:r>
      <w:r>
        <w:rPr>
          <w:spacing w:val="18"/>
          <w:sz w:val="25"/>
          <w:szCs w:val="25"/>
        </w:rPr>
        <w:t xml:space="preserve"> </w:t>
      </w:r>
      <w:r>
        <w:rPr>
          <w:spacing w:val="-12"/>
          <w:sz w:val="25"/>
          <w:szCs w:val="25"/>
        </w:rPr>
        <w:t>牢固可靠，采用焊接时不得烫伤电缆线芯绝缘层。</w:t>
      </w:r>
    </w:p>
    <w:p>
      <w:pPr>
        <w:pStyle w:val="5"/>
        <w:spacing w:before="166" w:line="309" w:lineRule="auto"/>
        <w:ind w:right="850" w:firstLine="490"/>
        <w:rPr>
          <w:sz w:val="25"/>
          <w:szCs w:val="25"/>
        </w:rPr>
      </w:pPr>
      <w:r>
        <w:rPr>
          <w:spacing w:val="-10"/>
          <w:sz w:val="25"/>
          <w:szCs w:val="25"/>
        </w:rPr>
        <w:t>9、电流互感器的N</w:t>
      </w:r>
      <w:r>
        <w:rPr>
          <w:spacing w:val="-48"/>
          <w:sz w:val="25"/>
          <w:szCs w:val="25"/>
        </w:rPr>
        <w:t xml:space="preserve"> </w:t>
      </w:r>
      <w:r>
        <w:rPr>
          <w:spacing w:val="-10"/>
          <w:sz w:val="25"/>
          <w:szCs w:val="25"/>
        </w:rPr>
        <w:t>接地点应单独、直接接地，防止不接地或在端子</w:t>
      </w:r>
      <w:r>
        <w:rPr>
          <w:spacing w:val="-11"/>
          <w:sz w:val="25"/>
          <w:szCs w:val="25"/>
        </w:rPr>
        <w:t>线和保护屏处两</w:t>
      </w:r>
      <w:r>
        <w:rPr>
          <w:sz w:val="25"/>
          <w:szCs w:val="25"/>
        </w:rPr>
        <w:t xml:space="preserve"> </w:t>
      </w:r>
      <w:r>
        <w:rPr>
          <w:spacing w:val="-8"/>
          <w:sz w:val="25"/>
          <w:szCs w:val="25"/>
        </w:rPr>
        <w:t>点接地；防止差动保护多组</w:t>
      </w:r>
      <w:r>
        <w:rPr>
          <w:rFonts w:ascii="Times New Roman" w:hAnsi="Times New Roman" w:eastAsia="Times New Roman" w:cs="Times New Roman"/>
          <w:spacing w:val="-8"/>
          <w:sz w:val="25"/>
          <w:szCs w:val="25"/>
        </w:rPr>
        <w:t>CT</w:t>
      </w:r>
      <w:r>
        <w:rPr>
          <w:spacing w:val="-8"/>
          <w:sz w:val="25"/>
          <w:szCs w:val="25"/>
        </w:rPr>
        <w:t>的</w:t>
      </w:r>
      <w:r>
        <w:rPr>
          <w:rFonts w:ascii="Times New Roman" w:hAnsi="Times New Roman" w:eastAsia="Times New Roman" w:cs="Times New Roman"/>
          <w:spacing w:val="-8"/>
          <w:sz w:val="25"/>
          <w:szCs w:val="25"/>
        </w:rPr>
        <w:t>N</w:t>
      </w:r>
      <w:r>
        <w:rPr>
          <w:spacing w:val="-8"/>
          <w:sz w:val="25"/>
          <w:szCs w:val="25"/>
        </w:rPr>
        <w:t>串接后于一点接地。电流互感器二次绕组接地线应套</w:t>
      </w:r>
      <w:r>
        <w:rPr>
          <w:spacing w:val="3"/>
          <w:sz w:val="25"/>
          <w:szCs w:val="25"/>
        </w:rPr>
        <w:t xml:space="preserve"> </w:t>
      </w:r>
      <w:r>
        <w:rPr>
          <w:spacing w:val="-11"/>
          <w:sz w:val="25"/>
          <w:szCs w:val="25"/>
        </w:rPr>
        <w:t>端子头，标明绕组名称，不同绕组的接地线不得接在同一跌地点。</w:t>
      </w:r>
    </w:p>
    <w:p>
      <w:pPr>
        <w:pStyle w:val="5"/>
        <w:spacing w:before="144" w:line="283" w:lineRule="auto"/>
        <w:ind w:right="737" w:firstLine="490"/>
        <w:rPr>
          <w:sz w:val="25"/>
          <w:szCs w:val="25"/>
        </w:rPr>
      </w:pPr>
      <w:r>
        <w:rPr>
          <w:spacing w:val="-11"/>
          <w:sz w:val="25"/>
          <w:szCs w:val="25"/>
        </w:rPr>
        <w:t>10、监控、通讯自动化及计量屏柜内的电</w:t>
      </w:r>
      <w:r>
        <w:rPr>
          <w:spacing w:val="-12"/>
          <w:sz w:val="25"/>
          <w:szCs w:val="25"/>
        </w:rPr>
        <w:t>缆、电缆安装，应与保护控制屏柜接线工艺</w:t>
      </w:r>
      <w:r>
        <w:rPr>
          <w:sz w:val="25"/>
          <w:szCs w:val="25"/>
        </w:rPr>
        <w:t xml:space="preserve"> </w:t>
      </w:r>
      <w:r>
        <w:rPr>
          <w:spacing w:val="-12"/>
          <w:sz w:val="25"/>
          <w:szCs w:val="25"/>
        </w:rPr>
        <w:t>一致，排列整齐有序，电缆编号挂牌整齐美</w:t>
      </w:r>
      <w:r>
        <w:rPr>
          <w:spacing w:val="-13"/>
          <w:sz w:val="25"/>
          <w:szCs w:val="25"/>
        </w:rPr>
        <w:t>观。</w:t>
      </w:r>
    </w:p>
    <w:p>
      <w:pPr>
        <w:pStyle w:val="5"/>
        <w:spacing w:before="171" w:line="280" w:lineRule="auto"/>
        <w:ind w:right="743" w:firstLine="490"/>
        <w:rPr>
          <w:sz w:val="25"/>
          <w:szCs w:val="25"/>
        </w:rPr>
      </w:pPr>
      <w:r>
        <w:rPr>
          <w:spacing w:val="-12"/>
          <w:sz w:val="25"/>
          <w:szCs w:val="25"/>
        </w:rPr>
        <w:t>11、控制台内部的电源线、网络连接线、视频线、数据线等应使用电缆槽盒统一布放</w:t>
      </w:r>
      <w:r>
        <w:rPr>
          <w:spacing w:val="14"/>
          <w:sz w:val="25"/>
          <w:szCs w:val="25"/>
        </w:rPr>
        <w:t xml:space="preserve"> </w:t>
      </w:r>
      <w:r>
        <w:rPr>
          <w:spacing w:val="-13"/>
          <w:sz w:val="25"/>
          <w:szCs w:val="25"/>
        </w:rPr>
        <w:t>并规范整理，以保证工艺美观。</w:t>
      </w:r>
    </w:p>
    <w:p>
      <w:pPr>
        <w:pStyle w:val="5"/>
        <w:spacing w:before="174" w:line="220" w:lineRule="auto"/>
        <w:ind w:left="490"/>
        <w:rPr>
          <w:sz w:val="25"/>
          <w:szCs w:val="25"/>
        </w:rPr>
      </w:pPr>
      <w:r>
        <w:rPr>
          <w:spacing w:val="-1"/>
          <w:sz w:val="25"/>
          <w:szCs w:val="25"/>
        </w:rPr>
        <w:t>五)接地装置安装质量通病防治</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1" w:line="299" w:lineRule="exact"/>
        <w:ind w:firstLine="9704"/>
      </w:pPr>
      <w:r>
        <w:rPr>
          <w:position w:val="-5"/>
        </w:rPr>
        <w:drawing>
          <wp:inline distT="0" distB="0" distL="0" distR="0">
            <wp:extent cx="213995" cy="189865"/>
            <wp:effectExtent l="0" t="0" r="14605" b="635"/>
            <wp:docPr id="660" name="IM 660"/>
            <wp:cNvGraphicFramePr/>
            <a:graphic xmlns:a="http://schemas.openxmlformats.org/drawingml/2006/main">
              <a:graphicData uri="http://schemas.openxmlformats.org/drawingml/2006/picture">
                <pic:pic xmlns:pic="http://schemas.openxmlformats.org/drawingml/2006/picture">
                  <pic:nvPicPr>
                    <pic:cNvPr id="660" name="IM 660"/>
                    <pic:cNvPicPr/>
                  </pic:nvPicPr>
                  <pic:blipFill>
                    <a:blip r:embed="rId16"/>
                    <a:stretch>
                      <a:fillRect/>
                    </a:stretch>
                  </pic:blipFill>
                  <pic:spPr>
                    <a:xfrm>
                      <a:off x="0" y="0"/>
                      <a:ext cx="214340" cy="189980"/>
                    </a:xfrm>
                    <a:prstGeom prst="rect">
                      <a:avLst/>
                    </a:prstGeom>
                  </pic:spPr>
                </pic:pic>
              </a:graphicData>
            </a:graphic>
          </wp:inline>
        </w:drawing>
      </w:r>
    </w:p>
    <w:p>
      <w:pPr>
        <w:spacing w:line="299" w:lineRule="exact"/>
        <w:sectPr>
          <w:footerReference r:id="rId7" w:type="default"/>
          <w:pgSz w:w="11900" w:h="16840"/>
          <w:pgMar w:top="400" w:right="407" w:bottom="238" w:left="1450" w:header="0" w:footer="0" w:gutter="0"/>
          <w:pgNumType w:fmt="decimal"/>
          <w:cols w:space="720" w:num="1"/>
        </w:sect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5"/>
        <w:spacing w:before="81" w:line="280" w:lineRule="auto"/>
        <w:ind w:right="1140" w:firstLine="469"/>
        <w:rPr>
          <w:sz w:val="25"/>
          <w:szCs w:val="25"/>
        </w:rPr>
      </w:pPr>
      <w:r>
        <w:rPr>
          <w:rFonts w:ascii="Times New Roman" w:hAnsi="Times New Roman" w:eastAsia="Times New Roman" w:cs="Times New Roman"/>
          <w:spacing w:val="-14"/>
          <w:sz w:val="25"/>
          <w:szCs w:val="25"/>
        </w:rPr>
        <w:t>1</w:t>
      </w:r>
      <w:r>
        <w:rPr>
          <w:spacing w:val="-14"/>
          <w:sz w:val="25"/>
          <w:szCs w:val="25"/>
        </w:rPr>
        <w:t>、变电站构架及设备支柱接地端子底部与设备基础保护帽顶面的距离不小于2</w:t>
      </w:r>
      <w:r>
        <w:rPr>
          <w:spacing w:val="-15"/>
          <w:sz w:val="25"/>
          <w:szCs w:val="25"/>
        </w:rPr>
        <w:t>00</w:t>
      </w:r>
      <w:r>
        <w:rPr>
          <w:rFonts w:ascii="Times New Roman" w:hAnsi="Times New Roman" w:eastAsia="Times New Roman" w:cs="Times New Roman"/>
          <w:spacing w:val="-15"/>
          <w:sz w:val="25"/>
          <w:szCs w:val="25"/>
        </w:rPr>
        <w:t>mm</w:t>
      </w:r>
      <w:r>
        <w:rPr>
          <w:rFonts w:ascii="Times New Roman" w:hAnsi="Times New Roman" w:eastAsia="Times New Roman" w:cs="Times New Roman"/>
          <w:sz w:val="25"/>
          <w:szCs w:val="25"/>
        </w:rPr>
        <w:t xml:space="preserve"> </w:t>
      </w:r>
      <w:r>
        <w:rPr>
          <w:spacing w:val="-8"/>
          <w:sz w:val="25"/>
          <w:szCs w:val="25"/>
        </w:rPr>
        <w:t>为宜，便于涂刷接地标识漆(螺栓紧固部位不得涂刷)。</w:t>
      </w:r>
    </w:p>
    <w:p>
      <w:pPr>
        <w:pStyle w:val="5"/>
        <w:spacing w:before="182" w:line="273" w:lineRule="auto"/>
        <w:ind w:right="1037" w:firstLine="469"/>
        <w:rPr>
          <w:sz w:val="25"/>
          <w:szCs w:val="25"/>
        </w:rPr>
      </w:pPr>
      <w:r>
        <w:rPr>
          <w:spacing w:val="-12"/>
          <w:sz w:val="25"/>
          <w:szCs w:val="25"/>
        </w:rPr>
        <w:t>2、设备支柱上部接地端子的位置应便与接地体的安装，接地端子的数量应与设备双</w:t>
      </w:r>
      <w:r>
        <w:rPr>
          <w:spacing w:val="12"/>
          <w:sz w:val="25"/>
          <w:szCs w:val="25"/>
        </w:rPr>
        <w:t xml:space="preserve"> </w:t>
      </w:r>
      <w:r>
        <w:rPr>
          <w:spacing w:val="-13"/>
          <w:sz w:val="25"/>
          <w:szCs w:val="25"/>
        </w:rPr>
        <w:t>接地或单接地的要求一致。</w:t>
      </w:r>
    </w:p>
    <w:p>
      <w:pPr>
        <w:pStyle w:val="5"/>
        <w:spacing w:before="191" w:line="275" w:lineRule="auto"/>
        <w:ind w:right="1041" w:firstLine="469"/>
        <w:rPr>
          <w:sz w:val="25"/>
          <w:szCs w:val="25"/>
        </w:rPr>
      </w:pPr>
      <w:r>
        <w:rPr>
          <w:spacing w:val="-12"/>
          <w:sz w:val="25"/>
          <w:szCs w:val="25"/>
        </w:rPr>
        <w:t>3、设计单位应分别校核并确定各类设备接地引下线的截面尺寸，重要程度不同的接</w:t>
      </w:r>
      <w:r>
        <w:rPr>
          <w:spacing w:val="7"/>
          <w:sz w:val="25"/>
          <w:szCs w:val="25"/>
        </w:rPr>
        <w:t xml:space="preserve"> </w:t>
      </w:r>
      <w:r>
        <w:rPr>
          <w:spacing w:val="-13"/>
          <w:sz w:val="25"/>
          <w:szCs w:val="25"/>
        </w:rPr>
        <w:t>地要求，应采用截面尺寸不同的接地引下线。</w:t>
      </w:r>
    </w:p>
    <w:p>
      <w:pPr>
        <w:pStyle w:val="5"/>
        <w:spacing w:before="193" w:line="219" w:lineRule="auto"/>
        <w:ind w:left="469"/>
        <w:rPr>
          <w:sz w:val="25"/>
          <w:szCs w:val="25"/>
        </w:rPr>
      </w:pPr>
      <w:r>
        <w:rPr>
          <w:spacing w:val="-12"/>
          <w:sz w:val="25"/>
          <w:szCs w:val="25"/>
        </w:rPr>
        <w:t>4、混凝土电杆杆头板应设置供设备二次接地用的螺栓孔，或在钢箍上设置接地端子。</w:t>
      </w:r>
    </w:p>
    <w:p>
      <w:pPr>
        <w:pStyle w:val="5"/>
        <w:spacing w:before="149" w:line="212" w:lineRule="auto"/>
        <w:ind w:left="469"/>
        <w:rPr>
          <w:sz w:val="25"/>
          <w:szCs w:val="25"/>
        </w:rPr>
      </w:pPr>
      <w:r>
        <w:rPr>
          <w:rFonts w:ascii="Times New Roman" w:hAnsi="Times New Roman" w:eastAsia="Times New Roman" w:cs="Times New Roman"/>
          <w:spacing w:val="-10"/>
          <w:sz w:val="25"/>
          <w:szCs w:val="25"/>
        </w:rPr>
        <w:t>5</w:t>
      </w:r>
      <w:r>
        <w:rPr>
          <w:spacing w:val="-10"/>
          <w:sz w:val="25"/>
          <w:szCs w:val="25"/>
        </w:rPr>
        <w:t>、架构及设备支架下部接地端子螺栓孔的直径应不小于15</w:t>
      </w:r>
      <w:r>
        <w:rPr>
          <w:rFonts w:ascii="Times New Roman" w:hAnsi="Times New Roman" w:eastAsia="Times New Roman" w:cs="Times New Roman"/>
          <w:spacing w:val="-10"/>
          <w:sz w:val="25"/>
          <w:szCs w:val="25"/>
        </w:rPr>
        <w:t>mm,</w:t>
      </w:r>
      <w:r>
        <w:rPr>
          <w:spacing w:val="-10"/>
          <w:sz w:val="25"/>
          <w:szCs w:val="25"/>
        </w:rPr>
        <w:t>接地端子不小于</w:t>
      </w:r>
      <w:r>
        <w:rPr>
          <w:spacing w:val="-11"/>
          <w:sz w:val="25"/>
          <w:szCs w:val="25"/>
        </w:rPr>
        <w:t>两孔。</w:t>
      </w:r>
    </w:p>
    <w:p>
      <w:pPr>
        <w:pStyle w:val="5"/>
        <w:spacing w:before="189" w:line="219" w:lineRule="auto"/>
        <w:ind w:left="469"/>
        <w:rPr>
          <w:sz w:val="25"/>
          <w:szCs w:val="25"/>
        </w:rPr>
      </w:pPr>
      <w:r>
        <w:rPr>
          <w:spacing w:val="-11"/>
          <w:sz w:val="25"/>
          <w:szCs w:val="25"/>
        </w:rPr>
        <w:t>6、架空避雷线应与变电站接地装置相连，并</w:t>
      </w:r>
      <w:r>
        <w:rPr>
          <w:spacing w:val="-12"/>
          <w:sz w:val="25"/>
          <w:szCs w:val="25"/>
        </w:rPr>
        <w:t>设置便于地网电阻测试的断开点。</w:t>
      </w:r>
    </w:p>
    <w:p>
      <w:pPr>
        <w:pStyle w:val="5"/>
        <w:spacing w:before="161" w:line="287" w:lineRule="auto"/>
        <w:ind w:right="836" w:firstLine="469"/>
        <w:rPr>
          <w:sz w:val="25"/>
          <w:szCs w:val="25"/>
        </w:rPr>
      </w:pPr>
      <w:r>
        <w:rPr>
          <w:rFonts w:ascii="Times New Roman" w:hAnsi="Times New Roman" w:eastAsia="Times New Roman" w:cs="Times New Roman"/>
          <w:spacing w:val="-9"/>
          <w:sz w:val="25"/>
          <w:szCs w:val="25"/>
        </w:rPr>
        <w:t>7</w:t>
      </w:r>
      <w:r>
        <w:rPr>
          <w:spacing w:val="-9"/>
          <w:sz w:val="25"/>
          <w:szCs w:val="25"/>
        </w:rPr>
        <w:t>、主要电气设备(主变、高压电抗器、避雷器、断路器、</w:t>
      </w:r>
      <w:r>
        <w:rPr>
          <w:rFonts w:ascii="Times New Roman" w:hAnsi="Times New Roman" w:eastAsia="Times New Roman" w:cs="Times New Roman"/>
          <w:spacing w:val="-9"/>
          <w:sz w:val="25"/>
          <w:szCs w:val="25"/>
        </w:rPr>
        <w:t>PT</w:t>
      </w:r>
      <w:r>
        <w:rPr>
          <w:rFonts w:ascii="Times New Roman" w:hAnsi="Times New Roman" w:eastAsia="Times New Roman" w:cs="Times New Roman"/>
          <w:spacing w:val="-37"/>
          <w:sz w:val="25"/>
          <w:szCs w:val="25"/>
        </w:rPr>
        <w:t xml:space="preserve"> </w:t>
      </w:r>
      <w:r>
        <w:rPr>
          <w:spacing w:val="-9"/>
          <w:sz w:val="25"/>
          <w:szCs w:val="25"/>
        </w:rPr>
        <w:t>、</w:t>
      </w:r>
      <w:r>
        <w:rPr>
          <w:rFonts w:ascii="Times New Roman" w:hAnsi="Times New Roman" w:eastAsia="Times New Roman" w:cs="Times New Roman"/>
          <w:spacing w:val="-9"/>
          <w:sz w:val="25"/>
          <w:szCs w:val="25"/>
        </w:rPr>
        <w:t>CT</w:t>
      </w:r>
      <w:r>
        <w:rPr>
          <w:spacing w:val="-9"/>
          <w:sz w:val="25"/>
          <w:szCs w:val="25"/>
        </w:rPr>
        <w:t>等</w:t>
      </w:r>
      <w:r>
        <w:rPr>
          <w:spacing w:val="-10"/>
          <w:sz w:val="25"/>
          <w:szCs w:val="25"/>
        </w:rPr>
        <w:t>)需采用双接地，</w:t>
      </w:r>
      <w:r>
        <w:rPr>
          <w:sz w:val="25"/>
          <w:szCs w:val="25"/>
        </w:rPr>
        <w:t xml:space="preserve"> </w:t>
      </w:r>
      <w:r>
        <w:rPr>
          <w:spacing w:val="-12"/>
          <w:sz w:val="25"/>
          <w:szCs w:val="25"/>
        </w:rPr>
        <w:t>应用两根与主接地网不同干线连接的接地引下线，每根</w:t>
      </w:r>
      <w:r>
        <w:rPr>
          <w:spacing w:val="-13"/>
          <w:sz w:val="25"/>
          <w:szCs w:val="25"/>
        </w:rPr>
        <w:t>均应符合热稳定校核要求。</w:t>
      </w:r>
    </w:p>
    <w:p>
      <w:pPr>
        <w:pStyle w:val="5"/>
        <w:spacing w:before="175" w:line="219" w:lineRule="auto"/>
        <w:ind w:left="469"/>
        <w:rPr>
          <w:sz w:val="25"/>
          <w:szCs w:val="25"/>
        </w:rPr>
      </w:pPr>
      <w:r>
        <w:rPr>
          <w:spacing w:val="-12"/>
          <w:sz w:val="25"/>
          <w:szCs w:val="25"/>
        </w:rPr>
        <w:t>8、补偿电抗器的接地、网门和围栏不应形成电磁环路，防止产生涡流。</w:t>
      </w:r>
    </w:p>
    <w:p>
      <w:pPr>
        <w:pStyle w:val="5"/>
        <w:spacing w:before="163" w:line="273" w:lineRule="auto"/>
        <w:ind w:right="1010" w:firstLine="469"/>
        <w:rPr>
          <w:sz w:val="25"/>
          <w:szCs w:val="25"/>
        </w:rPr>
      </w:pPr>
      <w:r>
        <w:rPr>
          <w:spacing w:val="-11"/>
          <w:sz w:val="25"/>
          <w:szCs w:val="25"/>
        </w:rPr>
        <w:t>9、设备接地应又便于测量的断开点，接地黄绿标识应规范，黄绿色标间距为接地体</w:t>
      </w:r>
      <w:r>
        <w:rPr>
          <w:spacing w:val="1"/>
          <w:sz w:val="25"/>
          <w:szCs w:val="25"/>
        </w:rPr>
        <w:t xml:space="preserve"> </w:t>
      </w:r>
      <w:r>
        <w:rPr>
          <w:spacing w:val="2"/>
          <w:sz w:val="25"/>
          <w:szCs w:val="25"/>
        </w:rPr>
        <w:t>宽度的1.5倍。</w:t>
      </w:r>
    </w:p>
    <w:p>
      <w:pPr>
        <w:pStyle w:val="5"/>
        <w:spacing w:before="191" w:line="219" w:lineRule="auto"/>
        <w:ind w:left="469"/>
        <w:rPr>
          <w:sz w:val="25"/>
          <w:szCs w:val="25"/>
        </w:rPr>
      </w:pPr>
      <w:r>
        <w:rPr>
          <w:spacing w:val="-12"/>
          <w:sz w:val="25"/>
          <w:szCs w:val="25"/>
        </w:rPr>
        <w:t>10、施工图中应明确屏柜、屏柜门、低压配电柜及照明设备接地或接零的</w:t>
      </w:r>
      <w:r>
        <w:rPr>
          <w:spacing w:val="-13"/>
          <w:sz w:val="25"/>
          <w:szCs w:val="25"/>
        </w:rPr>
        <w:t>要求。</w:t>
      </w:r>
    </w:p>
    <w:p>
      <w:pPr>
        <w:pStyle w:val="5"/>
        <w:spacing w:before="173" w:line="219" w:lineRule="auto"/>
        <w:ind w:left="469"/>
        <w:rPr>
          <w:sz w:val="25"/>
          <w:szCs w:val="25"/>
        </w:rPr>
      </w:pPr>
      <w:r>
        <w:rPr>
          <w:spacing w:val="-12"/>
          <w:sz w:val="25"/>
          <w:szCs w:val="25"/>
        </w:rPr>
        <w:t>11、不得用金属体直接敲打扁钢进行调直，以免造成扁钢表面损伤、锈蚀。</w:t>
      </w:r>
    </w:p>
    <w:p>
      <w:pPr>
        <w:pStyle w:val="5"/>
        <w:spacing w:before="162" w:line="269" w:lineRule="auto"/>
        <w:ind w:right="929" w:firstLine="469"/>
        <w:rPr>
          <w:sz w:val="25"/>
          <w:szCs w:val="25"/>
        </w:rPr>
      </w:pPr>
      <w:r>
        <w:rPr>
          <w:spacing w:val="-12"/>
          <w:sz w:val="25"/>
          <w:szCs w:val="25"/>
        </w:rPr>
        <w:t>12、敷设在设备支柱上的扁钢应紧贴设备支柱，否则应采取加装不锈钢紧固带等措施</w:t>
      </w:r>
      <w:r>
        <w:rPr>
          <w:spacing w:val="6"/>
          <w:sz w:val="25"/>
          <w:szCs w:val="25"/>
        </w:rPr>
        <w:t xml:space="preserve"> </w:t>
      </w:r>
      <w:r>
        <w:rPr>
          <w:spacing w:val="-12"/>
          <w:sz w:val="25"/>
          <w:szCs w:val="25"/>
        </w:rPr>
        <w:t>使其贴合紧密。</w:t>
      </w:r>
    </w:p>
    <w:p>
      <w:pPr>
        <w:pStyle w:val="5"/>
        <w:spacing w:before="203" w:line="279" w:lineRule="auto"/>
        <w:ind w:right="932" w:firstLine="469"/>
        <w:rPr>
          <w:sz w:val="25"/>
          <w:szCs w:val="25"/>
        </w:rPr>
      </w:pPr>
      <w:r>
        <w:rPr>
          <w:spacing w:val="-12"/>
          <w:sz w:val="25"/>
          <w:szCs w:val="25"/>
        </w:rPr>
        <w:t>13、户外接地线采用多股软铜线连接时应压专用线鼻子，并加装热缩套，铜与其他材</w:t>
      </w:r>
      <w:r>
        <w:rPr>
          <w:spacing w:val="3"/>
          <w:sz w:val="25"/>
          <w:szCs w:val="25"/>
        </w:rPr>
        <w:t xml:space="preserve"> </w:t>
      </w:r>
      <w:r>
        <w:rPr>
          <w:spacing w:val="-13"/>
          <w:sz w:val="25"/>
          <w:szCs w:val="25"/>
        </w:rPr>
        <w:t>质导体连接时接触面应塘锡，防止氧化腐蚀。</w:t>
      </w:r>
    </w:p>
    <w:p>
      <w:pPr>
        <w:pStyle w:val="5"/>
        <w:spacing w:before="163" w:line="219" w:lineRule="auto"/>
        <w:ind w:left="469"/>
        <w:rPr>
          <w:sz w:val="25"/>
          <w:szCs w:val="25"/>
        </w:rPr>
      </w:pPr>
      <w:r>
        <w:rPr>
          <w:spacing w:val="-14"/>
          <w:sz w:val="25"/>
          <w:szCs w:val="25"/>
        </w:rPr>
        <w:t>14、镀锌扁钢弯曲时宜采用冷弯工艺。</w:t>
      </w:r>
    </w:p>
    <w:p>
      <w:pPr>
        <w:pStyle w:val="5"/>
        <w:spacing w:before="175" w:line="283" w:lineRule="auto"/>
        <w:ind w:right="931" w:firstLine="469"/>
        <w:rPr>
          <w:sz w:val="25"/>
          <w:szCs w:val="25"/>
        </w:rPr>
      </w:pPr>
      <w:r>
        <w:rPr>
          <w:spacing w:val="-12"/>
          <w:sz w:val="25"/>
          <w:szCs w:val="25"/>
        </w:rPr>
        <w:t>15、站内所有爬梯应与主接地网可靠连接。安装在钢构架上的爬梯应采用专用的接地</w:t>
      </w:r>
      <w:r>
        <w:rPr>
          <w:spacing w:val="4"/>
          <w:sz w:val="25"/>
          <w:szCs w:val="25"/>
        </w:rPr>
        <w:t xml:space="preserve"> </w:t>
      </w:r>
      <w:r>
        <w:rPr>
          <w:spacing w:val="-11"/>
          <w:sz w:val="25"/>
          <w:szCs w:val="25"/>
        </w:rPr>
        <w:t>线与主网可靠连接，混凝土环形杆架构可将爬梯底端抱箍与架</w:t>
      </w:r>
      <w:r>
        <w:rPr>
          <w:spacing w:val="-12"/>
          <w:sz w:val="25"/>
          <w:szCs w:val="25"/>
        </w:rPr>
        <w:t>构接地引下线焊接。</w:t>
      </w:r>
    </w:p>
    <w:p>
      <w:pPr>
        <w:pStyle w:val="5"/>
        <w:spacing w:before="184" w:line="275" w:lineRule="auto"/>
        <w:ind w:right="929" w:firstLine="469"/>
        <w:rPr>
          <w:sz w:val="25"/>
          <w:szCs w:val="25"/>
        </w:rPr>
      </w:pPr>
      <w:r>
        <w:rPr>
          <w:spacing w:val="-12"/>
          <w:sz w:val="25"/>
          <w:szCs w:val="25"/>
        </w:rPr>
        <w:t>16、混凝土环形杆架构上的地线支架、避雷针应采用栓接或法兰方式连接。与杆头板</w:t>
      </w:r>
      <w:r>
        <w:rPr>
          <w:spacing w:val="6"/>
          <w:sz w:val="25"/>
          <w:szCs w:val="25"/>
        </w:rPr>
        <w:t xml:space="preserve"> </w:t>
      </w:r>
      <w:r>
        <w:rPr>
          <w:spacing w:val="-12"/>
          <w:sz w:val="25"/>
          <w:szCs w:val="25"/>
        </w:rPr>
        <w:t>连接，并满足电气通流要求，尽量避免采用焊接方式连接。</w:t>
      </w:r>
    </w:p>
    <w:p>
      <w:pPr>
        <w:pStyle w:val="5"/>
        <w:spacing w:before="174" w:line="273" w:lineRule="auto"/>
        <w:ind w:left="469" w:right="4536"/>
        <w:rPr>
          <w:sz w:val="25"/>
          <w:szCs w:val="25"/>
        </w:rPr>
      </w:pPr>
      <w:r>
        <w:rPr>
          <w:spacing w:val="-14"/>
          <w:sz w:val="25"/>
          <w:szCs w:val="25"/>
        </w:rPr>
        <w:t>17、构支架接地引下线应设置便于测量的断开点。</w:t>
      </w:r>
      <w:r>
        <w:rPr>
          <w:spacing w:val="15"/>
          <w:sz w:val="25"/>
          <w:szCs w:val="25"/>
        </w:rPr>
        <w:t xml:space="preserve"> </w:t>
      </w:r>
      <w:r>
        <w:rPr>
          <w:spacing w:val="-5"/>
          <w:sz w:val="25"/>
          <w:szCs w:val="25"/>
        </w:rPr>
        <w:t>六)母线施工质量通病防治；</w:t>
      </w:r>
    </w:p>
    <w:p>
      <w:pPr>
        <w:pStyle w:val="5"/>
        <w:spacing w:before="201" w:line="273" w:lineRule="auto"/>
        <w:ind w:right="966" w:firstLine="469"/>
        <w:rPr>
          <w:sz w:val="25"/>
          <w:szCs w:val="25"/>
        </w:rPr>
      </w:pPr>
      <w:r>
        <w:rPr>
          <w:rFonts w:ascii="Times New Roman" w:hAnsi="Times New Roman" w:eastAsia="Times New Roman" w:cs="Times New Roman"/>
          <w:spacing w:val="-12"/>
          <w:sz w:val="25"/>
          <w:szCs w:val="25"/>
        </w:rPr>
        <w:t>1</w:t>
      </w:r>
      <w:r>
        <w:rPr>
          <w:spacing w:val="-12"/>
          <w:sz w:val="25"/>
          <w:szCs w:val="25"/>
        </w:rPr>
        <w:t>、</w:t>
      </w:r>
      <w:r>
        <w:rPr>
          <w:rFonts w:ascii="Times New Roman" w:hAnsi="Times New Roman" w:eastAsia="Times New Roman" w:cs="Times New Roman"/>
          <w:spacing w:val="-12"/>
          <w:sz w:val="25"/>
          <w:szCs w:val="25"/>
        </w:rPr>
        <w:t>35KV</w:t>
      </w:r>
      <w:r>
        <w:rPr>
          <w:spacing w:val="-12"/>
          <w:sz w:val="25"/>
          <w:szCs w:val="25"/>
        </w:rPr>
        <w:t>及以下硬母线需要加装绝缘套时，设计单位应按加装绝缘套管设</w:t>
      </w:r>
      <w:r>
        <w:rPr>
          <w:spacing w:val="-13"/>
          <w:sz w:val="25"/>
          <w:szCs w:val="25"/>
        </w:rPr>
        <w:t>计，避免安</w:t>
      </w:r>
      <w:r>
        <w:rPr>
          <w:sz w:val="25"/>
          <w:szCs w:val="25"/>
        </w:rPr>
        <w:t xml:space="preserve"> </w:t>
      </w:r>
      <w:r>
        <w:rPr>
          <w:spacing w:val="-13"/>
          <w:sz w:val="25"/>
          <w:szCs w:val="25"/>
        </w:rPr>
        <w:t>装时金具不配套影响安装工艺。</w:t>
      </w:r>
    </w:p>
    <w:p>
      <w:pPr>
        <w:pStyle w:val="5"/>
        <w:spacing w:before="201" w:line="219" w:lineRule="auto"/>
        <w:ind w:left="469"/>
        <w:rPr>
          <w:sz w:val="25"/>
          <w:szCs w:val="25"/>
        </w:rPr>
      </w:pPr>
      <w:r>
        <w:rPr>
          <w:spacing w:val="-12"/>
          <w:sz w:val="25"/>
          <w:szCs w:val="25"/>
        </w:rPr>
        <w:t>2、硬母线制作要求横平竖直，母线接头弯曲应满足规范要求，并尽量减少接头。</w:t>
      </w: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 w:line="230" w:lineRule="exact"/>
        <w:ind w:firstLine="9788"/>
      </w:pPr>
      <w:r>
        <w:rPr>
          <w:position w:val="-4"/>
        </w:rPr>
        <w:drawing>
          <wp:inline distT="0" distB="0" distL="0" distR="0">
            <wp:extent cx="261620" cy="145415"/>
            <wp:effectExtent l="0" t="0" r="5080" b="6985"/>
            <wp:docPr id="662" name="IM 662"/>
            <wp:cNvGraphicFramePr/>
            <a:graphic xmlns:a="http://schemas.openxmlformats.org/drawingml/2006/main">
              <a:graphicData uri="http://schemas.openxmlformats.org/drawingml/2006/picture">
                <pic:pic xmlns:pic="http://schemas.openxmlformats.org/drawingml/2006/picture">
                  <pic:nvPicPr>
                    <pic:cNvPr id="662" name="IM 662"/>
                    <pic:cNvPicPr/>
                  </pic:nvPicPr>
                  <pic:blipFill>
                    <a:blip r:embed="rId17"/>
                    <a:stretch>
                      <a:fillRect/>
                    </a:stretch>
                  </pic:blipFill>
                  <pic:spPr>
                    <a:xfrm>
                      <a:off x="0" y="0"/>
                      <a:ext cx="261946" cy="145995"/>
                    </a:xfrm>
                    <a:prstGeom prst="rect">
                      <a:avLst/>
                    </a:prstGeom>
                  </pic:spPr>
                </pic:pic>
              </a:graphicData>
            </a:graphic>
          </wp:inline>
        </w:drawing>
      </w:r>
    </w:p>
    <w:p>
      <w:pPr>
        <w:spacing w:line="230" w:lineRule="exact"/>
        <w:sectPr>
          <w:pgSz w:w="11900" w:h="16840"/>
          <w:pgMar w:top="400" w:right="338" w:bottom="320" w:left="1360" w:header="0" w:footer="0" w:gutter="0"/>
          <w:pgNumType w:fmt="decimal"/>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5"/>
        <w:spacing w:before="81" w:line="219" w:lineRule="auto"/>
        <w:ind w:left="459"/>
        <w:rPr>
          <w:sz w:val="25"/>
          <w:szCs w:val="25"/>
        </w:rPr>
      </w:pPr>
      <w:r>
        <w:rPr>
          <w:rFonts w:ascii="Times New Roman" w:hAnsi="Times New Roman" w:eastAsia="Times New Roman" w:cs="Times New Roman"/>
          <w:spacing w:val="-11"/>
          <w:sz w:val="25"/>
          <w:szCs w:val="25"/>
        </w:rPr>
        <w:t>3</w:t>
      </w:r>
      <w:r>
        <w:rPr>
          <w:spacing w:val="-11"/>
          <w:sz w:val="25"/>
          <w:szCs w:val="25"/>
        </w:rPr>
        <w:t>、支持瓷瓶不得固定在弯曲处，固定点应在</w:t>
      </w:r>
      <w:r>
        <w:rPr>
          <w:spacing w:val="-12"/>
          <w:sz w:val="25"/>
          <w:szCs w:val="25"/>
        </w:rPr>
        <w:t>弯曲处两侧直线段250</w:t>
      </w:r>
      <w:r>
        <w:rPr>
          <w:rFonts w:ascii="Times New Roman" w:hAnsi="Times New Roman" w:eastAsia="Times New Roman" w:cs="Times New Roman"/>
          <w:spacing w:val="-12"/>
          <w:sz w:val="25"/>
          <w:szCs w:val="25"/>
        </w:rPr>
        <w:t>mm</w:t>
      </w:r>
      <w:r>
        <w:rPr>
          <w:spacing w:val="-12"/>
          <w:sz w:val="25"/>
          <w:szCs w:val="25"/>
        </w:rPr>
        <w:t>处。</w:t>
      </w:r>
    </w:p>
    <w:p>
      <w:pPr>
        <w:pStyle w:val="5"/>
        <w:spacing w:before="163" w:line="219" w:lineRule="auto"/>
        <w:ind w:left="459"/>
        <w:rPr>
          <w:sz w:val="25"/>
          <w:szCs w:val="25"/>
        </w:rPr>
      </w:pPr>
      <w:r>
        <w:rPr>
          <w:spacing w:val="-12"/>
          <w:sz w:val="25"/>
          <w:szCs w:val="25"/>
        </w:rPr>
        <w:t>4、相邻母线接头不应固定在同一瓷瓶间隔内，因错开间隔安装。</w:t>
      </w:r>
    </w:p>
    <w:p>
      <w:pPr>
        <w:pStyle w:val="5"/>
        <w:spacing w:before="173" w:line="280" w:lineRule="auto"/>
        <w:ind w:right="1086" w:firstLine="459"/>
        <w:rPr>
          <w:sz w:val="25"/>
          <w:szCs w:val="25"/>
        </w:rPr>
      </w:pPr>
      <w:r>
        <w:rPr>
          <w:spacing w:val="-12"/>
          <w:sz w:val="25"/>
          <w:szCs w:val="25"/>
        </w:rPr>
        <w:t>5、母线平置安装时，贯穿螺栓应由下往上穿；母线立置安装时，</w:t>
      </w:r>
      <w:r>
        <w:rPr>
          <w:spacing w:val="-13"/>
          <w:sz w:val="25"/>
          <w:szCs w:val="25"/>
        </w:rPr>
        <w:t>贯穿螺栓应由左向</w:t>
      </w:r>
      <w:r>
        <w:rPr>
          <w:sz w:val="25"/>
          <w:szCs w:val="25"/>
        </w:rPr>
        <w:t xml:space="preserve"> </w:t>
      </w:r>
      <w:r>
        <w:rPr>
          <w:spacing w:val="-7"/>
          <w:sz w:val="25"/>
          <w:szCs w:val="25"/>
        </w:rPr>
        <w:t>右、由里向外穿，连接螺栓长度宜露出螺母2—3扣。</w:t>
      </w:r>
    </w:p>
    <w:p>
      <w:pPr>
        <w:pStyle w:val="5"/>
        <w:spacing w:before="169" w:line="280" w:lineRule="auto"/>
        <w:ind w:right="1056" w:firstLine="459"/>
        <w:rPr>
          <w:sz w:val="25"/>
          <w:szCs w:val="25"/>
        </w:rPr>
      </w:pPr>
      <w:r>
        <w:rPr>
          <w:spacing w:val="-11"/>
          <w:sz w:val="25"/>
          <w:szCs w:val="25"/>
        </w:rPr>
        <w:t>6、直流均衡汇流母线及交流中性汇流母线刷漆应</w:t>
      </w:r>
      <w:r>
        <w:rPr>
          <w:spacing w:val="-12"/>
          <w:sz w:val="25"/>
          <w:szCs w:val="25"/>
        </w:rPr>
        <w:t>规范，规定相色为“不接地者用紫</w:t>
      </w:r>
      <w:r>
        <w:rPr>
          <w:sz w:val="25"/>
          <w:szCs w:val="25"/>
        </w:rPr>
        <w:t xml:space="preserve"> </w:t>
      </w:r>
      <w:r>
        <w:rPr>
          <w:spacing w:val="-20"/>
          <w:sz w:val="25"/>
          <w:szCs w:val="25"/>
        </w:rPr>
        <w:t>色，接地者为紫色带黑色条纹”。</w:t>
      </w:r>
    </w:p>
    <w:p>
      <w:pPr>
        <w:pStyle w:val="5"/>
        <w:spacing w:before="161" w:line="280" w:lineRule="auto"/>
        <w:ind w:right="846" w:firstLine="459"/>
        <w:rPr>
          <w:sz w:val="25"/>
          <w:szCs w:val="25"/>
        </w:rPr>
      </w:pPr>
      <w:r>
        <w:rPr>
          <w:spacing w:val="-12"/>
          <w:sz w:val="25"/>
          <w:szCs w:val="25"/>
        </w:rPr>
        <w:t>7、硬母线接头加装绝缘套后，应在绝缘套下凹处打排水孔，防止绝缘套下</w:t>
      </w:r>
      <w:r>
        <w:rPr>
          <w:spacing w:val="-13"/>
          <w:sz w:val="25"/>
          <w:szCs w:val="25"/>
        </w:rPr>
        <w:t>凹处积水、</w:t>
      </w:r>
      <w:r>
        <w:rPr>
          <w:sz w:val="25"/>
          <w:szCs w:val="25"/>
        </w:rPr>
        <w:t xml:space="preserve"> </w:t>
      </w:r>
      <w:r>
        <w:rPr>
          <w:spacing w:val="-15"/>
          <w:sz w:val="25"/>
          <w:szCs w:val="25"/>
        </w:rPr>
        <w:t>冬季结冰冻裂。</w:t>
      </w:r>
    </w:p>
    <w:p>
      <w:pPr>
        <w:pStyle w:val="5"/>
        <w:spacing w:before="183" w:line="276" w:lineRule="auto"/>
        <w:ind w:right="867" w:firstLine="459"/>
        <w:rPr>
          <w:sz w:val="25"/>
          <w:szCs w:val="25"/>
        </w:rPr>
      </w:pPr>
      <w:r>
        <w:rPr>
          <w:rFonts w:ascii="Times New Roman" w:hAnsi="Times New Roman" w:eastAsia="Times New Roman" w:cs="Times New Roman"/>
          <w:spacing w:val="-9"/>
          <w:sz w:val="25"/>
          <w:szCs w:val="25"/>
        </w:rPr>
        <w:t>8</w:t>
      </w:r>
      <w:r>
        <w:rPr>
          <w:rFonts w:ascii="Times New Roman" w:hAnsi="Times New Roman" w:eastAsia="Times New Roman" w:cs="Times New Roman"/>
          <w:spacing w:val="-36"/>
          <w:sz w:val="25"/>
          <w:szCs w:val="25"/>
        </w:rPr>
        <w:t xml:space="preserve"> </w:t>
      </w:r>
      <w:r>
        <w:rPr>
          <w:spacing w:val="-9"/>
          <w:sz w:val="25"/>
          <w:szCs w:val="25"/>
        </w:rPr>
        <w:t>、户外软导线压接线夹口向上安装时，应在线夹底部打直径不超过</w:t>
      </w:r>
      <w:r>
        <w:rPr>
          <w:rFonts w:ascii="Times New Roman" w:hAnsi="Times New Roman" w:eastAsia="Times New Roman" w:cs="Times New Roman"/>
          <w:spacing w:val="-9"/>
          <w:sz w:val="25"/>
          <w:szCs w:val="25"/>
        </w:rPr>
        <w:t>f8m</w:t>
      </w:r>
      <w:r>
        <w:rPr>
          <w:rFonts w:ascii="Times New Roman" w:hAnsi="Times New Roman" w:eastAsia="Times New Roman" w:cs="Times New Roman"/>
          <w:spacing w:val="-10"/>
          <w:sz w:val="25"/>
          <w:szCs w:val="25"/>
        </w:rPr>
        <w:t>m</w:t>
      </w:r>
      <w:r>
        <w:rPr>
          <w:spacing w:val="-10"/>
          <w:sz w:val="25"/>
          <w:szCs w:val="25"/>
        </w:rPr>
        <w:t>的泄水孔。</w:t>
      </w:r>
      <w:r>
        <w:rPr>
          <w:sz w:val="25"/>
          <w:szCs w:val="25"/>
        </w:rPr>
        <w:t xml:space="preserve"> </w:t>
      </w:r>
      <w:r>
        <w:rPr>
          <w:spacing w:val="-14"/>
          <w:sz w:val="25"/>
          <w:szCs w:val="25"/>
        </w:rPr>
        <w:t>以防冬季寒冷地区积水结冰冻裂线夹。</w:t>
      </w:r>
    </w:p>
    <w:p>
      <w:pPr>
        <w:pStyle w:val="5"/>
        <w:spacing w:before="191" w:line="281" w:lineRule="auto"/>
        <w:ind w:right="1052" w:firstLine="459"/>
        <w:rPr>
          <w:sz w:val="25"/>
          <w:szCs w:val="25"/>
        </w:rPr>
      </w:pPr>
      <w:r>
        <w:rPr>
          <w:spacing w:val="-11"/>
          <w:sz w:val="25"/>
          <w:szCs w:val="25"/>
        </w:rPr>
        <w:t>9、母线和导线安装时，应精确测量挡距，并考虑挂线金具</w:t>
      </w:r>
      <w:r>
        <w:rPr>
          <w:spacing w:val="-12"/>
          <w:sz w:val="25"/>
          <w:szCs w:val="25"/>
        </w:rPr>
        <w:t>的长度和允许偏差，以确</w:t>
      </w:r>
      <w:r>
        <w:rPr>
          <w:sz w:val="25"/>
          <w:szCs w:val="25"/>
        </w:rPr>
        <w:t xml:space="preserve"> </w:t>
      </w:r>
      <w:r>
        <w:rPr>
          <w:spacing w:val="-12"/>
          <w:sz w:val="25"/>
          <w:szCs w:val="25"/>
        </w:rPr>
        <w:t>保其各相导线的弧度一致。</w:t>
      </w:r>
    </w:p>
    <w:p>
      <w:pPr>
        <w:pStyle w:val="5"/>
        <w:spacing w:before="156" w:line="285" w:lineRule="auto"/>
        <w:ind w:right="946" w:firstLine="459"/>
        <w:rPr>
          <w:sz w:val="25"/>
          <w:szCs w:val="25"/>
        </w:rPr>
      </w:pPr>
      <w:r>
        <w:rPr>
          <w:rFonts w:ascii="Times New Roman" w:hAnsi="Times New Roman" w:eastAsia="Times New Roman" w:cs="Times New Roman"/>
          <w:spacing w:val="-10"/>
          <w:sz w:val="25"/>
          <w:szCs w:val="25"/>
        </w:rPr>
        <w:t>10</w:t>
      </w:r>
      <w:r>
        <w:rPr>
          <w:spacing w:val="-10"/>
          <w:sz w:val="25"/>
          <w:szCs w:val="25"/>
        </w:rPr>
        <w:t>、短导线压接时，将导线插入线夹内距底部10</w:t>
      </w:r>
      <w:r>
        <w:rPr>
          <w:rFonts w:ascii="Times New Roman" w:hAnsi="Times New Roman" w:eastAsia="Times New Roman" w:cs="Times New Roman"/>
          <w:spacing w:val="-10"/>
          <w:sz w:val="25"/>
          <w:szCs w:val="25"/>
        </w:rPr>
        <w:t>mm,</w:t>
      </w:r>
      <w:r>
        <w:rPr>
          <w:spacing w:val="-10"/>
          <w:sz w:val="25"/>
          <w:szCs w:val="25"/>
        </w:rPr>
        <w:t>用夹具在线夹入口处导线夹紧，</w:t>
      </w:r>
      <w:r>
        <w:rPr>
          <w:spacing w:val="12"/>
          <w:sz w:val="25"/>
          <w:szCs w:val="25"/>
        </w:rPr>
        <w:t xml:space="preserve"> </w:t>
      </w:r>
      <w:r>
        <w:rPr>
          <w:spacing w:val="-12"/>
          <w:sz w:val="25"/>
          <w:szCs w:val="25"/>
        </w:rPr>
        <w:t>从管口处向线夹部顺序压接，以避免出现导线隆</w:t>
      </w:r>
      <w:r>
        <w:rPr>
          <w:spacing w:val="-13"/>
          <w:sz w:val="25"/>
          <w:szCs w:val="25"/>
        </w:rPr>
        <w:t>起现象。</w:t>
      </w:r>
    </w:p>
    <w:p>
      <w:pPr>
        <w:pStyle w:val="5"/>
        <w:spacing w:before="173" w:line="273" w:lineRule="auto"/>
        <w:ind w:right="961" w:firstLine="459"/>
        <w:rPr>
          <w:sz w:val="25"/>
          <w:szCs w:val="25"/>
        </w:rPr>
      </w:pPr>
      <w:r>
        <w:rPr>
          <w:spacing w:val="-12"/>
          <w:sz w:val="25"/>
          <w:szCs w:val="25"/>
        </w:rPr>
        <w:t>11、软母线线夹压接后，应检查线夹的弯曲程度，有明显弯曲时应校直，校直后不得</w:t>
      </w:r>
      <w:r>
        <w:rPr>
          <w:spacing w:val="4"/>
          <w:sz w:val="25"/>
          <w:szCs w:val="25"/>
        </w:rPr>
        <w:t xml:space="preserve"> </w:t>
      </w:r>
      <w:r>
        <w:rPr>
          <w:spacing w:val="-9"/>
          <w:sz w:val="25"/>
          <w:szCs w:val="25"/>
        </w:rPr>
        <w:t>有裂纹。</w:t>
      </w:r>
    </w:p>
    <w:p>
      <w:pPr>
        <w:rPr>
          <w:rFonts w:hint="eastAsia"/>
          <w:lang w:val="en-US" w:eastAsia="zh-CN"/>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142</w:t>
                    </w:r>
                    <w:r>
                      <w:fldChar w:fldCharType="end"/>
                    </w:r>
                  </w:p>
                </w:txbxContent>
              </v:textbox>
            </v:shape>
          </w:pict>
        </mc:Fallback>
      </mc:AlternateContent>
    </w:r>
    <w:r>
      <w:rPr>
        <w:rFonts w:ascii="Arial" w:hAnsi="Arial" w:eastAsia="Arial" w:cs="Arial"/>
        <w:spacing w:val="-20"/>
        <w:w w:val="99"/>
        <w:sz w:val="28"/>
        <w:szCs w:val="28"/>
      </w:rPr>
      <w:t>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5"/>
        <w:szCs w:val="25"/>
      </w:rPr>
    </w:pPr>
    <w:r>
      <w:rPr>
        <w:sz w:val="2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148</w:t>
                    </w:r>
                    <w:r>
                      <w:fldChar w:fldCharType="end"/>
                    </w:r>
                  </w:p>
                </w:txbxContent>
              </v:textbox>
            </v:shape>
          </w:pict>
        </mc:Fallback>
      </mc:AlternateContent>
    </w:r>
    <w:r>
      <w:rPr>
        <w:rFonts w:ascii="Times New Roman" w:hAnsi="Times New Roman" w:eastAsia="Times New Roman" w:cs="Times New Roman"/>
        <w:spacing w:val="-11"/>
        <w:sz w:val="25"/>
        <w:szCs w:val="25"/>
      </w:rPr>
      <w:t>1</w:t>
    </w:r>
    <w:r>
      <w:rPr>
        <w:rFonts w:ascii="Times New Roman" w:hAnsi="Times New Roman" w:eastAsia="Times New Roman" w:cs="Times New Roman"/>
        <w:spacing w:val="-10"/>
        <w:sz w:val="25"/>
        <w:szCs w:val="25"/>
      </w:rPr>
      <w:t>5</w:t>
    </w:r>
    <w:r>
      <w:rPr>
        <w:rFonts w:ascii="Times New Roman" w:hAnsi="Times New Roman" w:eastAsia="Times New Roman" w:cs="Times New Roman"/>
        <w:spacing w:val="-9"/>
        <w:sz w:val="25"/>
        <w:szCs w:val="25"/>
      </w:rP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yyZA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csmQNAIAAGUEAAAOAAAAAAAAAAEAIAAAAB8BAABkcnMvZTJvRG9jLnhtbFBL&#10;BQYAAAAABgAGAFkBAADF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jJmMDc0MjkyZjZmZmU5YTI2MzkyYzg1NzUwMWIifQ=="/>
  </w:docVars>
  <w:rsids>
    <w:rsidRoot w:val="15630FEB"/>
    <w:rsid w:val="06DD0594"/>
    <w:rsid w:val="15630FEB"/>
    <w:rsid w:val="18A23544"/>
    <w:rsid w:val="7F59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qFormat/>
    <w:uiPriority w:val="9"/>
    <w:pPr>
      <w:widowControl/>
      <w:spacing w:before="100" w:beforeAutospacing="1" w:after="100" w:afterAutospacing="1"/>
      <w:jc w:val="left"/>
      <w:outlineLvl w:val="0"/>
    </w:pPr>
    <w:rPr>
      <w:rFonts w:ascii="宋体" w:hAnsi="宋体"/>
      <w:snapToGrid/>
      <w:kern w:val="36"/>
      <w:sz w:val="48"/>
      <w:szCs w:val="48"/>
    </w:rPr>
  </w:style>
  <w:style w:type="paragraph" w:styleId="4">
    <w:name w:val="heading 2"/>
    <w:basedOn w:val="1"/>
    <w:next w:val="1"/>
    <w:unhideWhenUsed/>
    <w:qFormat/>
    <w:uiPriority w:val="9"/>
    <w:pPr>
      <w:keepNext/>
      <w:keepLines/>
      <w:ind w:firstLine="0" w:firstLineChars="0"/>
      <w:outlineLvl w:val="1"/>
    </w:pPr>
    <w:rPr>
      <w:rFonts w:hAnsi="Cambria" w:cs="Times New Roman"/>
      <w:b/>
      <w:bCs/>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cs="Arial"/>
    </w:rPr>
  </w:style>
  <w:style w:type="paragraph" w:styleId="5">
    <w:name w:val="Body Text"/>
    <w:basedOn w:val="1"/>
    <w:semiHidden/>
    <w:qFormat/>
    <w:uiPriority w:val="0"/>
    <w:rPr>
      <w:rFonts w:ascii="宋体" w:hAnsi="宋体" w:eastAsia="宋体" w:cs="宋体"/>
      <w:sz w:val="34"/>
      <w:szCs w:val="34"/>
      <w:lang w:val="en-US" w:eastAsia="en-US" w:bidi="ar-SA"/>
    </w:rPr>
  </w:style>
  <w:style w:type="paragraph" w:styleId="6">
    <w:name w:val="Body Text Indent"/>
    <w:basedOn w:val="1"/>
    <w:unhideWhenUsed/>
    <w:qFormat/>
    <w:uiPriority w:val="0"/>
    <w:pPr>
      <w:spacing w:after="120"/>
      <w:ind w:left="420" w:leftChars="200"/>
    </w:pPr>
  </w:style>
  <w:style w:type="paragraph" w:styleId="7">
    <w:name w:val="Plain Text"/>
    <w:basedOn w:val="1"/>
    <w:qFormat/>
    <w:uiPriority w:val="0"/>
    <w:pPr>
      <w:autoSpaceDE w:val="0"/>
      <w:autoSpaceDN w:val="0"/>
      <w:adjustRightInd w:val="0"/>
      <w:snapToGrid w:val="0"/>
      <w:spacing w:line="300" w:lineRule="auto"/>
    </w:pPr>
    <w:rPr>
      <w:rFonts w:ascii="宋体" w:hAnsi="Courier New"/>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qFormat/>
    <w:uiPriority w:val="0"/>
    <w:pPr>
      <w:adjustRightInd w:val="0"/>
      <w:spacing w:line="312" w:lineRule="atLeast"/>
      <w:ind w:left="0" w:leftChars="0" w:firstLine="420"/>
      <w:textAlignment w:val="baseline"/>
    </w:p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1"/>
      <w:szCs w:val="21"/>
      <w:lang w:val="en-US" w:eastAsia="en-US" w:bidi="ar-SA"/>
    </w:rPr>
  </w:style>
  <w:style w:type="paragraph" w:customStyle="1" w:styleId="15">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5300</Words>
  <Characters>5424</Characters>
  <Lines>0</Lines>
  <Paragraphs>0</Paragraphs>
  <TotalTime>1</TotalTime>
  <ScaleCrop>false</ScaleCrop>
  <LinksUpToDate>false</LinksUpToDate>
  <CharactersWithSpaces>5563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2024-12-13T01:35:00Z</dcterms:created>
  <dc:creator>孟祥浩</dc:creator>
  <cp:lastModifiedBy>秦邦学</cp:lastModifiedBy>
  <cp:lastPrinted>2024-12-13T02:23:00Z</cp:lastPrinted>
  <dcterms:modified xsi:type="dcterms:W3CDTF">2025-01-22T15:08:20Z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16C90BB22BB4465F8E76303B761B74B4_11</vt:lpwstr>
  </property>
  <property fmtid="{D5CDD505-2E9C-101B-9397-08002B2CF9AE}" pid="4" name="KSOTemplateDocerSaveRecord">
    <vt:lpwstr>eyJoZGlkIjoiMzUyYWM0MjVkN2UyMTA1NDYzODE2ZGU3OThmN2NiOGMiLCJ1c2VySWQiOiIyNDM2OTYxNDYifQ==</vt:lpwstr>
  </property>
</Properties>
</file>