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JLPJ-TYJY-001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 5#光伏区子阵预埋件安装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JLPJ-TYJY-002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 6#光伏区子阵预埋件安装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JLPJ-TYJY-003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混凝土灌注桩7#光伏区子阵预埋件安装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JLPJ-TYJY-004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 8#光伏区子阵预埋件安装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JLPJ-TYJY-005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 9#光伏区子阵预埋件安装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JLPJ-TYJY-006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 10#光伏区子阵预埋件安装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JLPJ-TYJY-007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混凝土灌注桩11#光伏区子阵预埋件安装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lang w:val="en-US" w:eastAsia="zh-CN"/>
        </w:rPr>
        <w:t>V</w:t>
      </w: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JLPJ-TYJY-008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混凝土灌注桩16#光伏区子阵预埋件安装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JLPJ-TYJY-009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混凝土灌注桩15#光伏区子阵预埋件安装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JLPJ-TYJY-010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混凝土灌注桩14#光伏区子阵预埋件安装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JLPJ-TYJY-011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混凝土灌注桩13#光伏区子阵预埋件安装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JLPJ-TYJY-012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混凝土灌注桩12#光伏区子阵预埋件安装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JLPJ-TYJY-013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混凝土灌注桩4#光伏区子阵预埋件安装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JLPJ-TYJY-014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混凝土灌注桩3#光伏区子阵预埋件安装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JLPJ-TYJY-015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混凝土灌注桩2#光伏区子阵预埋件安装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JLPJ-TYJY-016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混凝土灌注桩1#光伏区子阵预埋件安装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hint="eastAsia"/>
          <w:b/>
        </w:rPr>
        <w:t xml:space="preserve">                                       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编号：JLPJ-TYJY-017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1352"/>
        <w:gridCol w:w="1750"/>
        <w:gridCol w:w="376"/>
        <w:gridCol w:w="1402"/>
        <w:gridCol w:w="525"/>
        <w:gridCol w:w="625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left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光伏区1-4#箱变基础定位放线及高程控制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控制桩测设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根据建（构）筑物的主轴线设控制桩。桩深度应超过冰冻土层。各建（构）筑物不应少于4个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平面控制桩精度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应符合二级导线的精度要求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高程控制桩精度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应符合三等水准的精度要求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全站仪定位精度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应符合现行有关标准的规定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符合要求,验收合格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hint="eastAsia"/>
          <w:b/>
        </w:rPr>
        <w:t xml:space="preserve">                                       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编号：JLPJ-TYJY-018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1352"/>
        <w:gridCol w:w="1750"/>
        <w:gridCol w:w="376"/>
        <w:gridCol w:w="1402"/>
        <w:gridCol w:w="525"/>
        <w:gridCol w:w="625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left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光伏区5-8#箱变基础定位放线及高程控制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控制桩测设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根据建（构）筑物的主轴线设控制桩。桩深度应超过冰冻土层。各建（构）筑物不应少于4个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平面控制桩精度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应符合二级导线的精度要求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高程控制桩精度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应符合三等水准的精度要求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全站仪定位精度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应符合现行有关标准的规定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符合要求,验收合格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pacing w:val="30"/>
          <w:sz w:val="32"/>
          <w:szCs w:val="32"/>
        </w:rPr>
      </w:pPr>
    </w:p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hint="eastAsia"/>
          <w:b/>
        </w:rPr>
        <w:t xml:space="preserve">                                       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编号：JLPJ-TYJY-019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1352"/>
        <w:gridCol w:w="1750"/>
        <w:gridCol w:w="376"/>
        <w:gridCol w:w="1402"/>
        <w:gridCol w:w="525"/>
        <w:gridCol w:w="625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left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光伏区9-12#箱变基础定位放线及高程控制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控制桩测设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根据建（构）筑物的主轴线设控制桩。桩深度应超过冰冻土层。各建（构）筑物不应少于4个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平面控制桩精度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应符合二级导线的精度要求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高程控制桩精度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应符合三等水准的精度要求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全站仪定位精度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应符合现行有关标准的规定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符合要求,验收合格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pacing w:val="30"/>
          <w:sz w:val="32"/>
          <w:szCs w:val="32"/>
        </w:rPr>
      </w:pPr>
    </w:p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hint="eastAsia"/>
          <w:b/>
        </w:rPr>
        <w:t xml:space="preserve">                                       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编号：JLPJ-TYJY-020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1352"/>
        <w:gridCol w:w="1750"/>
        <w:gridCol w:w="376"/>
        <w:gridCol w:w="1402"/>
        <w:gridCol w:w="525"/>
        <w:gridCol w:w="625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left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光伏区13-16#箱变基础定位放线及高程控制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控制桩测设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根据建（构）筑物的主轴线设控制桩。桩深度应超过冰冻土层。各建（构）筑物不应少于4个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平面控制桩精度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应符合二级导线的精度要求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高程控制桩精度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应符合三等水准的精度要求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before="40" w:beforeLines="0" w:after="4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全站仪定位精度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40" w:beforeLines="0" w:after="4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应符合现行有关标准的规定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符合要求,验收合格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both"/>
        <w:rPr>
          <w:rFonts w:hint="eastAsia" w:ascii="宋体" w:hAnsi="宋体"/>
          <w:b/>
          <w:spacing w:val="30"/>
          <w:sz w:val="32"/>
          <w:szCs w:val="32"/>
        </w:rPr>
      </w:pPr>
    </w:p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JLPJ-TYJY-021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421"/>
        <w:gridCol w:w="1750"/>
        <w:gridCol w:w="412"/>
        <w:gridCol w:w="143"/>
        <w:gridCol w:w="1223"/>
        <w:gridCol w:w="303"/>
        <w:gridCol w:w="847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62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光伏区1-4#箱变基础钢筋安装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实施单位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受力钢筋的品种、级别、规格和数量☆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必须符合设计要求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纵向受力钢筋连接方式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应符合设计要求和现行有关标准的规定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接头位置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箍筋配置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在梁、柱类构件的纵向受力钢筋搭接长度范围内，应按设计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配置箍筋。当设计无具体要求时应符合标准GB50204的规定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网片长、宽偏差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网眼尺寸偏差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网片对角线差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JLPJ-TYJY-022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421"/>
        <w:gridCol w:w="1750"/>
        <w:gridCol w:w="412"/>
        <w:gridCol w:w="143"/>
        <w:gridCol w:w="1223"/>
        <w:gridCol w:w="303"/>
        <w:gridCol w:w="847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62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光伏区5-8#箱变基础钢筋安装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实施单位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受力钢筋的品种、级别、规格和数量☆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必须符合设计要求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纵向受力钢筋连接方式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应符合设计要求和现行有关标准的规定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接头位置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箍筋配置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在梁、柱类构件的纵向受力钢筋搭接长度范围内，应按设计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配置箍筋。当设计无具体要求时应符合标准GB50204的规定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网片长、宽偏差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网眼尺寸偏差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网片对角线差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JLPJ-TYJY-023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421"/>
        <w:gridCol w:w="1750"/>
        <w:gridCol w:w="412"/>
        <w:gridCol w:w="143"/>
        <w:gridCol w:w="1223"/>
        <w:gridCol w:w="303"/>
        <w:gridCol w:w="847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62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光伏区9-12#箱变基础钢筋安装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实施单位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受力钢筋的品种、级别、规格和数量☆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必须符合设计要求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纵向受力钢筋连接方式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应符合设计要求和现行有关标准的规定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接头位置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箍筋配置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在梁、柱类构件的纵向受力钢筋搭接长度范围内，应按设计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配置箍筋。当设计无具体要求时应符合标准GB50204的规定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网片长、宽偏差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网眼尺寸偏差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网片对角线差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rPr>
          <w:rFonts w:hint="eastAsia"/>
          <w:kern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hAnsi="宋体"/>
          <w:kern w:val="21"/>
          <w:szCs w:val="21"/>
        </w:rPr>
        <w:t xml:space="preserve">         </w:t>
      </w: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JLPJ-TYJY-024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421"/>
        <w:gridCol w:w="1750"/>
        <w:gridCol w:w="412"/>
        <w:gridCol w:w="143"/>
        <w:gridCol w:w="1223"/>
        <w:gridCol w:w="303"/>
        <w:gridCol w:w="847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62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光伏区13-16#箱变基础钢筋安装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实施单位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受力钢筋的品种、级别、规格和数量☆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必须符合设计要求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纵向受力钢筋连接方式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应符合设计要求和现行有关标准的规定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接头位置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箍筋配置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在梁、柱类构件的纵向受力钢筋搭接长度范围内，应按设计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配置箍筋。当设计无具体要求时应符合标准GB50204的规定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网片长、宽偏差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网眼尺寸偏差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网片对角线差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snapToGrid w:val="0"/>
        <w:spacing w:line="360" w:lineRule="auto"/>
        <w:rPr>
          <w:rFonts w:hint="eastAsia"/>
          <w:kern w:val="21"/>
          <w:szCs w:val="21"/>
        </w:rPr>
      </w:pP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        编号：JLPJ-TYJY-025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光伏区1-4#箱变基础模板安装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垂直度≤5m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≤6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ascii="宋体" w:hAnsi="宋体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snapToGrid w:val="0"/>
        <w:spacing w:line="360" w:lineRule="auto"/>
        <w:rPr>
          <w:rFonts w:hint="eastAsia"/>
          <w:kern w:val="21"/>
          <w:szCs w:val="21"/>
        </w:rPr>
      </w:pP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        编号：JLPJ-TYJY-026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光伏区5-8#箱变基础模板安装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垂直度≤5m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≤6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snapToGrid w:val="0"/>
        <w:spacing w:line="360" w:lineRule="auto"/>
        <w:rPr>
          <w:rFonts w:hint="eastAsia"/>
          <w:kern w:val="21"/>
          <w:szCs w:val="21"/>
        </w:rPr>
      </w:pP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        编号：JLPJ-TYJY-027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光伏区9-12#箱变基础模板安装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垂直度≤5m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≤6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snapToGrid w:val="0"/>
        <w:spacing w:line="360" w:lineRule="auto"/>
        <w:rPr>
          <w:rFonts w:hint="eastAsia"/>
          <w:kern w:val="21"/>
          <w:szCs w:val="21"/>
        </w:rPr>
      </w:pP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        编号：JLPJ-TYJY-028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光伏区13-16#箱变基础模板安装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垂直度≤5m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≤6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bookmarkStart w:id="0" w:name="_Toc258844900"/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pStyle w:val="7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编号：</w:t>
      </w:r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JLPJ-TYJY-029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47"/>
        <w:gridCol w:w="248"/>
        <w:gridCol w:w="1355"/>
        <w:gridCol w:w="1747"/>
        <w:gridCol w:w="561"/>
        <w:gridCol w:w="1217"/>
        <w:gridCol w:w="310"/>
        <w:gridCol w:w="982"/>
        <w:gridCol w:w="1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4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检验对象分类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/>
                <w:kern w:val="21"/>
                <w:szCs w:val="21"/>
              </w:rPr>
              <w:t xml:space="preserve">□ </w:t>
            </w:r>
            <w:r>
              <w:rPr>
                <w:rFonts w:hint="eastAsia" w:hAnsi="宋体"/>
                <w:kern w:val="21"/>
                <w:szCs w:val="21"/>
              </w:rPr>
              <w:t>设备　　　　　</w:t>
            </w:r>
            <w:r>
              <w:rPr>
                <w:rFonts w:hint="eastAsia"/>
                <w:kern w:val="21"/>
                <w:szCs w:val="21"/>
              </w:rPr>
              <w:t xml:space="preserve">□ </w:t>
            </w:r>
            <w:r>
              <w:rPr>
                <w:rFonts w:hint="eastAsia" w:hAnsi="宋体"/>
                <w:kern w:val="21"/>
                <w:szCs w:val="21"/>
              </w:rPr>
              <w:t>材料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 xml:space="preserve">□</w:instrText>
            </w:r>
            <w:r>
              <w:instrText xml:space="preserve">,√)</w:instrText>
            </w:r>
            <w:r>
              <w:fldChar w:fldCharType="end"/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  <w:r>
              <w:rPr>
                <w:rFonts w:hint="eastAsia" w:hAnsi="宋体"/>
                <w:kern w:val="21"/>
                <w:sz w:val="21"/>
                <w:szCs w:val="21"/>
              </w:rPr>
              <w:t>检验</w:t>
            </w:r>
            <w:r>
              <w:rPr>
                <w:rFonts w:hAnsi="宋体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kern w:val="21"/>
                <w:sz w:val="21"/>
                <w:szCs w:val="21"/>
              </w:rPr>
              <w:t>对象</w:t>
            </w:r>
            <w:r>
              <w:rPr>
                <w:rFonts w:hAnsi="宋体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kern w:val="21"/>
                <w:sz w:val="21"/>
                <w:szCs w:val="21"/>
              </w:rPr>
              <w:t>基本</w:t>
            </w:r>
            <w:r>
              <w:rPr>
                <w:rFonts w:hAnsi="宋体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kern w:val="21"/>
                <w:sz w:val="21"/>
                <w:szCs w:val="21"/>
              </w:rPr>
              <w:t>信息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设备</w:t>
            </w: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设备名称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设备型号规格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生产厂家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安装位置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材料</w:t>
            </w: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材料名称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材料型号规格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生产厂家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使用部位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工序</w:t>
            </w: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308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光伏区1-8#箱变基础混凝土外观检查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 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 w:eastAsia="宋体"/>
                <w:kern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其他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  <w:r>
              <w:rPr>
                <w:rFonts w:hint="eastAsia" w:hAnsi="宋体"/>
                <w:kern w:val="21"/>
                <w:sz w:val="21"/>
                <w:szCs w:val="21"/>
              </w:rPr>
              <w:t>序号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</w:t>
            </w:r>
            <w:r>
              <w:rPr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验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项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目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质</w:t>
            </w:r>
            <w:r>
              <w:rPr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量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标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准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质量检验结果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i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备</w:t>
            </w:r>
            <w:r>
              <w:rPr>
                <w:rFonts w:hint="eastAsia"/>
                <w:kern w:val="21"/>
                <w:szCs w:val="21"/>
              </w:rPr>
              <w:t xml:space="preserve">  </w:t>
            </w:r>
            <w:r>
              <w:rPr>
                <w:rFonts w:hint="eastAsia" w:hAnsi="宋体"/>
                <w:kern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1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外观质量☆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806"/>
              </w:tabs>
              <w:snapToGrid w:val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不应有严重缺陷。对已经出现的严重缺陷，应由施工单位提出技术处理方案，并经监理（建设）、设计单位认可后进行处理，对经处理的部位，应重新检查验收 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2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尺寸偏差☆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806"/>
              </w:tabs>
              <w:snapToGrid w:val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应有影响结构性能和使用功能的尺寸偏差。对超过尺寸允许偏差且影响结构性能和安装、使用功能的部位，应由施工单位提出技术处理方案，并经监理（建设）、设计单位认可后进行处理。对经处理的部位，应重新检查验收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3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266"/>
              </w:tabs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不宜有一般缺陷。对已经出现的一般缺陷，应由施工单位按技术处理方案进行处理，并重新检查验收。防水混凝土不得有露筋、蜂窝等缺陷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4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标高偏差（层高）mm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±10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4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检验结论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检验人员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i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i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年</w:t>
            </w:r>
            <w:r>
              <w:rPr>
                <w:rFonts w:hint="eastAsia"/>
                <w:kern w:val="21"/>
                <w:szCs w:val="21"/>
              </w:rPr>
              <w:t xml:space="preserve">　 </w:t>
            </w:r>
            <w:r>
              <w:rPr>
                <w:rFonts w:hint="eastAsia" w:hAnsi="宋体"/>
                <w:kern w:val="21"/>
                <w:szCs w:val="21"/>
              </w:rPr>
              <w:t>月</w:t>
            </w:r>
            <w:r>
              <w:rPr>
                <w:rFonts w:hint="eastAsia"/>
                <w:kern w:val="21"/>
                <w:szCs w:val="21"/>
              </w:rPr>
              <w:t xml:space="preserve">　 </w:t>
            </w:r>
            <w:r>
              <w:rPr>
                <w:rFonts w:hint="eastAsia" w:hAnsi="宋体"/>
                <w:kern w:val="21"/>
                <w:szCs w:val="21"/>
              </w:rPr>
              <w:t>日</w:t>
            </w:r>
          </w:p>
        </w:tc>
      </w:tr>
    </w:tbl>
    <w:p/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pStyle w:val="7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工程名称：通榆金源20MW分布式光伏发电项目</w:t>
      </w: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编号：JLPJ-TYJY-030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47"/>
        <w:gridCol w:w="248"/>
        <w:gridCol w:w="1355"/>
        <w:gridCol w:w="1747"/>
        <w:gridCol w:w="561"/>
        <w:gridCol w:w="1217"/>
        <w:gridCol w:w="310"/>
        <w:gridCol w:w="982"/>
        <w:gridCol w:w="1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4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检验对象分类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/>
                <w:kern w:val="21"/>
                <w:szCs w:val="21"/>
              </w:rPr>
              <w:t xml:space="preserve">□ </w:t>
            </w:r>
            <w:r>
              <w:rPr>
                <w:rFonts w:hint="eastAsia" w:hAnsi="宋体"/>
                <w:kern w:val="21"/>
                <w:szCs w:val="21"/>
              </w:rPr>
              <w:t>设备　　　　　</w:t>
            </w:r>
            <w:r>
              <w:rPr>
                <w:rFonts w:hint="eastAsia"/>
                <w:kern w:val="21"/>
                <w:szCs w:val="21"/>
              </w:rPr>
              <w:t xml:space="preserve">□ </w:t>
            </w:r>
            <w:r>
              <w:rPr>
                <w:rFonts w:hint="eastAsia" w:hAnsi="宋体"/>
                <w:kern w:val="21"/>
                <w:szCs w:val="21"/>
              </w:rPr>
              <w:t>材料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 xml:space="preserve">□</w:instrText>
            </w:r>
            <w:r>
              <w:instrText xml:space="preserve">,√)</w:instrText>
            </w:r>
            <w:r>
              <w:fldChar w:fldCharType="end"/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  <w:r>
              <w:rPr>
                <w:rFonts w:hint="eastAsia" w:hAnsi="宋体"/>
                <w:kern w:val="21"/>
                <w:sz w:val="21"/>
                <w:szCs w:val="21"/>
              </w:rPr>
              <w:t>检验</w:t>
            </w:r>
            <w:r>
              <w:rPr>
                <w:rFonts w:hAnsi="宋体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kern w:val="21"/>
                <w:sz w:val="21"/>
                <w:szCs w:val="21"/>
              </w:rPr>
              <w:t>对象</w:t>
            </w:r>
            <w:r>
              <w:rPr>
                <w:rFonts w:hAnsi="宋体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kern w:val="21"/>
                <w:sz w:val="21"/>
                <w:szCs w:val="21"/>
              </w:rPr>
              <w:t>基本</w:t>
            </w:r>
            <w:r>
              <w:rPr>
                <w:rFonts w:hAnsi="宋体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kern w:val="21"/>
                <w:sz w:val="21"/>
                <w:szCs w:val="21"/>
              </w:rPr>
              <w:t>信息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设备</w:t>
            </w: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设备名称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设备型号规格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生产厂家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安装位置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材料</w:t>
            </w: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材料名称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材料型号规格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生产厂家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使用部位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工序</w:t>
            </w: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308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光伏区9-16#箱变基础混凝土外观检查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 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 w:eastAsia="宋体"/>
                <w:kern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其他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/>
                <w:kern w:val="21"/>
                <w:sz w:val="21"/>
                <w:szCs w:val="21"/>
              </w:rPr>
            </w:pPr>
            <w:r>
              <w:rPr>
                <w:rFonts w:hint="eastAsia" w:hAnsi="宋体"/>
                <w:kern w:val="21"/>
                <w:sz w:val="21"/>
                <w:szCs w:val="21"/>
              </w:rPr>
              <w:t>序号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</w:t>
            </w:r>
            <w:r>
              <w:rPr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验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项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目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质</w:t>
            </w:r>
            <w:r>
              <w:rPr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量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标</w:t>
            </w:r>
            <w:r>
              <w:rPr>
                <w:rFonts w:hint="eastAsia"/>
                <w:kern w:val="21"/>
                <w:szCs w:val="21"/>
              </w:rPr>
              <w:t xml:space="preserve"> </w:t>
            </w:r>
            <w:r>
              <w:rPr>
                <w:rFonts w:hint="eastAsia" w:hAnsi="宋体"/>
                <w:kern w:val="21"/>
                <w:szCs w:val="21"/>
              </w:rPr>
              <w:t>准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质量检验结果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i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备</w:t>
            </w:r>
            <w:r>
              <w:rPr>
                <w:rFonts w:hint="eastAsia"/>
                <w:kern w:val="21"/>
                <w:szCs w:val="21"/>
              </w:rPr>
              <w:t xml:space="preserve">  </w:t>
            </w:r>
            <w:r>
              <w:rPr>
                <w:rFonts w:hint="eastAsia" w:hAnsi="宋体"/>
                <w:kern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1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外观质量☆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806"/>
              </w:tabs>
              <w:snapToGrid w:val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不应有严重缺陷。对已经出现的严重缺陷，应由施工单位提出技术处理方案，并经监理（建设）、设计单位认可后进行处理，对经处理的部位，应重新检查验收 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2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尺寸偏差☆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806"/>
              </w:tabs>
              <w:snapToGrid w:val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应有影响结构性能和使用功能的尺寸偏差。对超过尺寸允许偏差且影响结构性能和安装、使用功能的部位，应由施工单位提出技术处理方案，并经监理（建设）、设计单位认可后进行处理。对经处理的部位，应重新检查验收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3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266"/>
              </w:tabs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不宜有一般缺陷。对已经出现的一般缺陷，应由施工单位按技术处理方案进行处理，并重新检查验收。防水混凝土不得有露筋、蜂窝等缺陷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644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4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标高偏差（层高）mm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tabs>
                <w:tab w:val="left" w:pos="26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±10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4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检验结论</w:t>
            </w:r>
          </w:p>
        </w:tc>
        <w:tc>
          <w:tcPr>
            <w:tcW w:w="6473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检验人员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kern w:val="21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i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/>
                <w:i/>
                <w:kern w:val="21"/>
                <w:szCs w:val="21"/>
              </w:rPr>
            </w:pPr>
            <w:r>
              <w:rPr>
                <w:rFonts w:hint="eastAsia" w:hAnsi="宋体"/>
                <w:kern w:val="21"/>
                <w:szCs w:val="21"/>
              </w:rPr>
              <w:t>年</w:t>
            </w:r>
            <w:r>
              <w:rPr>
                <w:rFonts w:hint="eastAsia"/>
                <w:kern w:val="21"/>
                <w:szCs w:val="21"/>
              </w:rPr>
              <w:t xml:space="preserve">　 </w:t>
            </w:r>
            <w:r>
              <w:rPr>
                <w:rFonts w:hint="eastAsia" w:hAnsi="宋体"/>
                <w:kern w:val="21"/>
                <w:szCs w:val="21"/>
              </w:rPr>
              <w:t>月</w:t>
            </w:r>
            <w:r>
              <w:rPr>
                <w:rFonts w:hint="eastAsia"/>
                <w:kern w:val="21"/>
                <w:szCs w:val="21"/>
              </w:rPr>
              <w:t xml:space="preserve">　 </w:t>
            </w:r>
            <w:r>
              <w:rPr>
                <w:rFonts w:hint="eastAsia" w:hAnsi="宋体"/>
                <w:kern w:val="21"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hAnsi="宋体"/>
          <w:kern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Cs w:val="21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JLPJ-TYJY-031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独立避雷针基础预埋件安装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Cs w:val="21"/>
          <w:lang w:val="en-US" w:eastAsia="zh-CN"/>
        </w:rPr>
        <w:t xml:space="preserve">         </w:t>
      </w: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JLPJ-TYJY-032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top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独立避雷针基础</w:t>
            </w: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模板安装</w:t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eastAsia="宋体" w:cs="宋体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 w:ascii="宋体" w:hAnsi="宋体" w:eastAsia="宋体" w:cs="宋体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</w:t>
            </w:r>
            <w:r>
              <w:rPr>
                <w:rFonts w:hint="eastAsia"/>
                <w:sz w:val="18"/>
                <w:lang w:val="en-US" w:eastAsia="zh-CN"/>
              </w:rPr>
              <w:t>6</w:t>
            </w: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  <w:lang w:val="en-US" w:eastAsia="zh-CN"/>
              </w:rPr>
              <w:t>6mm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符合设计及规范要求，合格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ascii="宋体" w:hAnsi="宋体" w:eastAsia="宋体" w:cs="宋体"/>
          <w:kern w:val="21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 w:ascii="宋体" w:hAnsi="宋体" w:eastAsia="宋体" w:cs="宋体"/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JLPJ-TYJY-033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421"/>
        <w:gridCol w:w="1750"/>
        <w:gridCol w:w="412"/>
        <w:gridCol w:w="143"/>
        <w:gridCol w:w="1223"/>
        <w:gridCol w:w="303"/>
        <w:gridCol w:w="847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SVG基础钢筋安装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实施单位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受力钢筋的品种、级别、规格和数量☆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必须符合设计要求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纵向受力钢筋连接方式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应符合设计要求和现行有关标准的规定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接头位置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箍筋配置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在梁、柱类构件的纵向受力钢筋搭接长度范围内，应按设计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配置箍筋。当设计无具体要求时应符合标准GB50204的规定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Cs w:val="21"/>
          <w:lang w:val="en-US" w:eastAsia="zh-CN"/>
        </w:rPr>
        <w:t xml:space="preserve">         </w:t>
      </w: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JLPJ-TYJY-034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SVG基础</w:t>
            </w: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模板安装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eastAsia="宋体" w:cs="宋体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 w:ascii="宋体" w:hAnsi="宋体" w:eastAsia="宋体" w:cs="宋体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</w:t>
            </w:r>
            <w:r>
              <w:rPr>
                <w:rFonts w:hint="eastAsia"/>
                <w:sz w:val="18"/>
                <w:lang w:val="en-US" w:eastAsia="zh-CN"/>
              </w:rPr>
              <w:t>6</w:t>
            </w: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  <w:lang w:val="en-US" w:eastAsia="zh-CN"/>
              </w:rPr>
              <w:t>6mm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符合设计及规范要求，合格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ascii="宋体" w:hAnsi="宋体" w:eastAsia="宋体" w:cs="宋体"/>
          <w:kern w:val="21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 w:ascii="宋体" w:hAnsi="宋体" w:eastAsia="宋体" w:cs="宋体"/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JLPJ-TYJY-035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421"/>
        <w:gridCol w:w="1750"/>
        <w:gridCol w:w="412"/>
        <w:gridCol w:w="143"/>
        <w:gridCol w:w="1223"/>
        <w:gridCol w:w="303"/>
        <w:gridCol w:w="847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主变基础钢筋安装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实施单位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受力钢筋的品种、级别、规格和数量☆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必须符合设计要求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纵向受力钢筋连接方式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应符合设计要求和现行有关标准的规定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接头位置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箍筋配置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在梁、柱类构件的纵向受力钢筋搭接长度范围内，应按设计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配置箍筋。当设计无具体要求时应符合标准GB50204的规定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Cs w:val="21"/>
          <w:lang w:val="en-US" w:eastAsia="zh-CN"/>
        </w:rPr>
        <w:t xml:space="preserve">         </w:t>
      </w: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JLPJ-TYJY-036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主变基础</w:t>
            </w: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模板安装</w:t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eastAsia="宋体" w:cs="宋体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 w:ascii="宋体" w:hAnsi="宋体" w:eastAsia="宋体" w:cs="宋体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</w:t>
            </w:r>
            <w:r>
              <w:rPr>
                <w:rFonts w:hint="eastAsia"/>
                <w:sz w:val="18"/>
                <w:lang w:val="en-US" w:eastAsia="zh-CN"/>
              </w:rPr>
              <w:t>6</w:t>
            </w: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  <w:lang w:val="en-US" w:eastAsia="zh-CN"/>
              </w:rPr>
              <w:t>6mm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符合设计及规范要求，合格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JLPJ-TYJY-037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主变基础预埋件安装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Cs w:val="21"/>
          <w:lang w:val="en-US" w:eastAsia="zh-CN"/>
        </w:rPr>
        <w:t xml:space="preserve">         </w:t>
      </w: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JLPJ-TYJY-038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构架基础、66KV户外设备基础</w:t>
            </w: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模板安装</w:t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eastAsia="宋体" w:cs="宋体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 w:ascii="宋体" w:hAnsi="宋体" w:eastAsia="宋体" w:cs="宋体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</w:t>
            </w:r>
            <w:r>
              <w:rPr>
                <w:rFonts w:hint="eastAsia"/>
                <w:sz w:val="18"/>
                <w:lang w:val="en-US" w:eastAsia="zh-CN"/>
              </w:rPr>
              <w:t>6</w:t>
            </w: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  <w:lang w:val="en-US" w:eastAsia="zh-CN"/>
              </w:rPr>
              <w:t>6mm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符合设计及规范要求，合格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JLPJ-TYJY-039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构架基础、66KV户外设备基础</w:t>
            </w: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ascii="宋体" w:hAnsi="宋体" w:eastAsia="宋体" w:cs="宋体"/>
          <w:kern w:val="21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 w:ascii="宋体" w:hAnsi="宋体" w:eastAsia="宋体" w:cs="宋体"/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JLPJ-TYJY-040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421"/>
        <w:gridCol w:w="1750"/>
        <w:gridCol w:w="412"/>
        <w:gridCol w:w="143"/>
        <w:gridCol w:w="1223"/>
        <w:gridCol w:w="303"/>
        <w:gridCol w:w="847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事故油池基础钢筋安装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实施单位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受力钢筋的品种、级别、规格和数量☆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必须符合设计要求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纵向受力钢筋连接方式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应符合设计要求和现行有关标准的规定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接头位置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宜设在受力较小处。同一纵向受力钢筋不宜设置两个或两个以上接头；接头末端至钢筋弯起点距离不应小于钢筋直径的10倍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箍筋配置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left" w:pos="266"/>
              </w:tabs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在梁、柱类构件的纵向受力钢筋搭接长度范围内，应按设计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配置箍筋。当设计无具体要求时应符合标准GB50204的规定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柱保护层厚度偏差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 w:hAnsi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                  </w:t>
      </w:r>
    </w:p>
    <w:p>
      <w:pPr>
        <w:tabs>
          <w:tab w:val="right" w:pos="7938"/>
        </w:tabs>
        <w:topLinePunct/>
        <w:spacing w:line="360" w:lineRule="auto"/>
        <w:jc w:val="right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JLPJ-TYJY-041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事故油池基础</w:t>
            </w: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预埋件安装</w:t>
            </w:r>
            <w:r>
              <w:rPr>
                <w:rFonts w:hint="eastAsia" w:ascii="宋体" w:hAnsi="宋体"/>
                <w:kern w:val="21"/>
                <w:sz w:val="24"/>
              </w:rPr>
              <w:t xml:space="preserve">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预埋管中心线位置mm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≤3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预埋件与模板的间隙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紧贴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相邻预埋件高差mm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≤4或（1.5）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预埋件水平偏差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≤2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预埋件标高偏差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+2～-10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预埋管水平或垂直偏差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预埋件尺寸偏差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en-US" w:eastAsia="zh-CN"/>
              </w:rPr>
              <w:t>+10～-5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９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型钢埋件翘曲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≤5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１０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预埋管的椭圆度与预埋管直径的距离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≤1%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30"/>
          <w:sz w:val="32"/>
          <w:szCs w:val="32"/>
        </w:rPr>
        <w:t>平行检验记录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tabs>
          <w:tab w:val="right" w:pos="7938"/>
        </w:tabs>
        <w:topLinePunct/>
        <w:spacing w:line="360" w:lineRule="auto"/>
        <w:jc w:val="both"/>
        <w:rPr>
          <w:rFonts w:hint="eastAsia"/>
          <w:kern w:val="21"/>
          <w:sz w:val="24"/>
          <w:szCs w:val="24"/>
        </w:rPr>
      </w:pPr>
      <w:r>
        <w:rPr>
          <w:rFonts w:hint="eastAsia" w:hAnsi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通榆金源20MW分布式光伏发电项目</w:t>
      </w:r>
      <w:r>
        <w:rPr>
          <w:rFonts w:hint="eastAsia" w:hAnsi="宋体"/>
          <w:kern w:val="21"/>
          <w:sz w:val="24"/>
          <w:szCs w:val="24"/>
        </w:rPr>
        <w:t xml:space="preserve"> </w:t>
      </w:r>
      <w:r>
        <w:rPr>
          <w:rFonts w:hint="eastAsia" w:hAnsi="宋体"/>
          <w:kern w:val="21"/>
          <w:szCs w:val="21"/>
          <w:lang w:val="en-US" w:eastAsia="zh-CN"/>
        </w:rPr>
        <w:t xml:space="preserve">         </w:t>
      </w:r>
      <w:r>
        <w:rPr>
          <w:rFonts w:hint="eastAsia" w:hAnsi="宋体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JLPJ-TYJY-042</w:t>
      </w:r>
      <w:bookmarkStart w:id="1" w:name="_GoBack"/>
      <w:bookmarkEnd w:id="1"/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"/>
        <w:gridCol w:w="248"/>
        <w:gridCol w:w="931"/>
        <w:gridCol w:w="352"/>
        <w:gridCol w:w="69"/>
        <w:gridCol w:w="1750"/>
        <w:gridCol w:w="320"/>
        <w:gridCol w:w="235"/>
        <w:gridCol w:w="1223"/>
        <w:gridCol w:w="316"/>
        <w:gridCol w:w="834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2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检验对象分类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□ 设备　　　　　□ 材料　　　　　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\o\ac(</w:instrText>
            </w:r>
            <w:r>
              <w:rPr>
                <w:rFonts w:hint="eastAsia" w:ascii="宋体" w:hAnsi="宋体"/>
                <w:sz w:val="24"/>
              </w:rPr>
              <w:instrText xml:space="preserve">□</w:instrText>
            </w:r>
            <w:r>
              <w:rPr>
                <w:rFonts w:ascii="宋体" w:hAnsi="宋体"/>
                <w:sz w:val="24"/>
              </w:rPr>
              <w:instrText xml:space="preserve">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kern w:val="21"/>
                <w:sz w:val="24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检验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对象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基本</w:t>
            </w:r>
            <w:r>
              <w:rPr>
                <w:rFonts w:ascii="宋体" w:hAnsi="宋体"/>
                <w:kern w:val="2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>信息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设备型号规格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安装位置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材料型号规格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生产厂家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使用部位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工序名称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both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事故油池基础</w:t>
            </w: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模板安装</w:t>
            </w: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   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kern w:val="21"/>
                <w:sz w:val="24"/>
              </w:rPr>
              <w:t>单位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其他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topLinePunct/>
              <w:spacing w:before="60" w:beforeLines="0" w:after="60" w:afterLines="0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验 项 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</w:t>
            </w:r>
            <w:r>
              <w:rPr>
                <w:rFonts w:ascii="宋体" w:hAnsi="宋体"/>
                <w:kern w:val="21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21"/>
                <w:sz w:val="24"/>
              </w:rPr>
              <w:t>量 标 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质量检验结果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模板及其支架☆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pStyle w:val="3"/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应根据工程结构形式、荷载大小、地基土类别、施工设备和材料供应等条件进行设计。模板及其支架应具有足够的承载能力、刚度和稳定性，能可靠地承受浇筑混凝土的重量、侧压力以及施工荷载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隔离剂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不得沾污钢筋和混凝土接槎处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模板安装要求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1、模板的接缝不应漏浆,木模板应浇水湿润,但模板内不应有积水；</w:t>
            </w:r>
          </w:p>
          <w:p>
            <w:pPr>
              <w:tabs>
                <w:tab w:val="left" w:pos="806"/>
              </w:tabs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2、模板与混凝土的接触面应清理干净并涂刷隔离剂；</w:t>
            </w:r>
          </w:p>
          <w:p>
            <w:pPr>
              <w:tabs>
                <w:tab w:val="left" w:pos="266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3、模板内的杂物应清理干净；</w:t>
            </w:r>
          </w:p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4、对清水混凝土及装饰混凝土工程,应使用能达到设计效果的模板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地坪、胎膜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tabs>
                <w:tab w:val="left" w:pos="806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应平整光洁,不得产生影响结构质量的下沉、裂缝、起砂或起鼓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轴线位移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  <w:lang w:eastAsia="zh-CN"/>
              </w:rPr>
              <w:t>基础</w:t>
            </w:r>
            <w:r>
              <w:rPr>
                <w:rFonts w:hint="eastAsia"/>
                <w:sz w:val="18"/>
              </w:rPr>
              <w:t>截面尺寸偏差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±10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柱侧向弯曲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eastAsia="宋体" w:cs="宋体"/>
                <w:w w:val="69"/>
                <w:kern w:val="0"/>
                <w:sz w:val="18"/>
              </w:rPr>
              <w:t>不大于L2/1000，且不大于15m</w:t>
            </w:r>
            <w:r>
              <w:rPr>
                <w:rFonts w:hint="eastAsia" w:ascii="宋体" w:hAnsi="宋体" w:eastAsia="宋体" w:cs="宋体"/>
                <w:spacing w:val="13"/>
                <w:w w:val="69"/>
                <w:kern w:val="0"/>
                <w:sz w:val="18"/>
              </w:rPr>
              <w:t>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/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垂直度≤</w:t>
            </w:r>
            <w:r>
              <w:rPr>
                <w:rFonts w:hint="eastAsia"/>
                <w:sz w:val="18"/>
                <w:lang w:val="en-US" w:eastAsia="zh-CN"/>
              </w:rPr>
              <w:t>6</w:t>
            </w: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  <w:lang w:val="en-US" w:eastAsia="zh-CN"/>
              </w:rPr>
              <w:t>6mm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9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tabs>
                <w:tab w:val="left" w:pos="806"/>
              </w:tabs>
              <w:jc w:val="both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kern w:val="0"/>
                <w:sz w:val="18"/>
              </w:rPr>
              <w:t>表面平整度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/>
                <w:sz w:val="18"/>
              </w:rPr>
              <w:t>≤5</w:t>
            </w:r>
            <w:r>
              <w:rPr>
                <w:rFonts w:hint="eastAsia"/>
                <w:sz w:val="18"/>
                <w:lang w:val="en-US" w:eastAsia="zh-CN"/>
              </w:rPr>
              <w:t>mm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符合设计要求</w:t>
            </w:r>
          </w:p>
        </w:tc>
        <w:tc>
          <w:tcPr>
            <w:tcW w:w="1798" w:type="dxa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0" w:type="dxa"/>
            <w:gridSpan w:val="4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检验结论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符合设计及规范要求，合格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1" w:type="dxa"/>
            <w:gridSpan w:val="6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检验仪器及编号</w:t>
            </w:r>
          </w:p>
        </w:tc>
        <w:tc>
          <w:tcPr>
            <w:tcW w:w="6476" w:type="dxa"/>
            <w:gridSpan w:val="7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 w:eastAsia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检验人员</w:t>
            </w:r>
          </w:p>
        </w:tc>
        <w:tc>
          <w:tcPr>
            <w:tcW w:w="3350" w:type="dxa"/>
            <w:gridSpan w:val="5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kern w:val="21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检验日期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opLinePunct/>
              <w:snapToGrid w:val="0"/>
              <w:spacing w:before="60" w:beforeLines="0" w:after="60" w:afterLines="0"/>
              <w:jc w:val="center"/>
              <w:rPr>
                <w:rFonts w:hint="eastAsia" w:ascii="宋体" w:hAnsi="宋体"/>
                <w:i/>
                <w:kern w:val="21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隶书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gsana New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0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报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长仿宋体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NewRoman+ZDDJRv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新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A Md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Dutch801 Rm BT"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33971"/>
    <w:rsid w:val="4F033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rFonts w:ascii="Times New Roman" w:hAnsi="Times New Roman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  <w:style w:type="paragraph" w:customStyle="1" w:styleId="7">
    <w:name w:val="华1"/>
    <w:basedOn w:val="2"/>
    <w:uiPriority w:val="0"/>
    <w:pPr>
      <w:keepNext w:val="0"/>
      <w:keepLines w:val="0"/>
      <w:topLinePunct/>
      <w:spacing w:before="0" w:beforeLines="0" w:after="0" w:afterLines="0" w:line="240" w:lineRule="auto"/>
    </w:pPr>
    <w:rPr>
      <w:rFonts w:eastAsia="黑体"/>
      <w:b w:val="0"/>
      <w:bCs w:val="0"/>
      <w:kern w:val="2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2017-05-11T15:32:00Z</dcterms:created>
  <dc:creator>asua</dc:creator>
  <cp:lastModifiedBy>asua</cp:lastModifiedBy>
  <cp:lastPrinted>2017-05-11T16:05:14Z</cp:lastPrinted>
  <dcterms:modified xsi:type="dcterms:W3CDTF">2017-05-11T16:33:25Z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