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both"/>
        <w:rPr>
          <w:rFonts w:hint="eastAsia"/>
          <w:spacing w:val="30"/>
          <w:sz w:val="32"/>
          <w:szCs w:val="32"/>
        </w:rPr>
      </w:pPr>
      <w:r>
        <w:rPr>
          <w:rFonts w:hint="eastAsia"/>
          <w:spacing w:val="30"/>
          <w:lang w:val="en-US" w:eastAsia="zh-CN"/>
        </w:rPr>
        <w:t xml:space="preserve">                </w:t>
      </w:r>
      <w:r>
        <w:rPr>
          <w:rFonts w:hint="eastAsia"/>
          <w:spacing w:val="30"/>
          <w:sz w:val="32"/>
          <w:szCs w:val="32"/>
        </w:rPr>
        <w:t>旁站监理记录表</w:t>
      </w:r>
    </w:p>
    <w:p>
      <w:pPr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工程名称：</w:t>
      </w:r>
      <w:r>
        <w:rPr>
          <w:rFonts w:hint="eastAsia" w:ascii="宋体" w:hAnsi="宋体"/>
          <w:sz w:val="18"/>
          <w:szCs w:val="18"/>
          <w:lang w:val="en-US" w:eastAsia="zh-CN"/>
        </w:rPr>
        <w:t>图木舒克市四通新能源第3师45团20MW光伏并网发电项目</w:t>
      </w:r>
      <w:r>
        <w:rPr>
          <w:rFonts w:hint="eastAsia" w:ascii="宋体" w:hAnsi="宋体"/>
          <w:sz w:val="18"/>
          <w:szCs w:val="18"/>
        </w:rPr>
        <w:t xml:space="preserve">           </w:t>
      </w:r>
      <w:r>
        <w:rPr>
          <w:rFonts w:hint="eastAsia" w:ascii="宋体" w:hAnsi="宋体"/>
          <w:sz w:val="18"/>
          <w:szCs w:val="18"/>
          <w:lang w:val="en-US" w:eastAsia="zh-CN"/>
        </w:rPr>
        <w:t xml:space="preserve">       </w:t>
      </w:r>
      <w:r>
        <w:rPr>
          <w:rFonts w:hint="eastAsia" w:ascii="宋体" w:hAnsi="宋体"/>
          <w:sz w:val="18"/>
          <w:szCs w:val="18"/>
        </w:rPr>
        <w:t>编号：</w:t>
      </w:r>
      <w:r>
        <w:rPr>
          <w:rFonts w:hint="eastAsia" w:ascii="宋体" w:hAnsi="宋体"/>
          <w:sz w:val="18"/>
          <w:szCs w:val="18"/>
          <w:lang w:val="en-US" w:eastAsia="zh-CN"/>
        </w:rPr>
        <w:t>JZLB8-021</w:t>
      </w:r>
      <w:bookmarkStart w:id="0" w:name="_GoBack"/>
      <w:bookmarkEnd w:id="0"/>
    </w:p>
    <w:tbl>
      <w:tblPr>
        <w:tblStyle w:val="4"/>
        <w:tblW w:w="9489" w:type="dxa"/>
        <w:jc w:val="center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0"/>
        <w:gridCol w:w="364"/>
        <w:gridCol w:w="9"/>
        <w:gridCol w:w="43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5094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日期及气候：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2016、6、18       多云     18--32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℃</w:t>
            </w:r>
          </w:p>
        </w:tc>
        <w:tc>
          <w:tcPr>
            <w:tcW w:w="439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工程地点：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主控室施工现场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旁站监理的部位或工序：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二次设备安装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  <w:jc w:val="center"/>
        </w:trPr>
        <w:tc>
          <w:tcPr>
            <w:tcW w:w="5103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旁站监理开始时间：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2016、6、18、上午  9:30  </w:t>
            </w:r>
          </w:p>
        </w:tc>
        <w:tc>
          <w:tcPr>
            <w:tcW w:w="4386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旁站监理结束时间：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2016、6、18上午11：40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施工情况：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现场施工人数8人，主要靠人工将屏柜抬入主控室进行安装。           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0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监理情况：</w:t>
            </w:r>
          </w:p>
          <w:p>
            <w:pPr>
              <w:pStyle w:val="8"/>
              <w:numPr>
                <w:ilvl w:val="0"/>
                <w:numId w:val="1"/>
              </w:numPr>
              <w:spacing w:line="276" w:lineRule="auto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检查基础水平偏差，基础型钢有明显的可靠接地。</w:t>
            </w:r>
          </w:p>
          <w:p>
            <w:pPr>
              <w:pStyle w:val="8"/>
              <w:numPr>
                <w:ilvl w:val="0"/>
                <w:numId w:val="1"/>
              </w:numPr>
              <w:spacing w:line="276" w:lineRule="auto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核对规格、型号与设计相符，合格证、出厂试验报告及说明书齐全</w:t>
            </w:r>
          </w:p>
          <w:p>
            <w:pPr>
              <w:pStyle w:val="8"/>
              <w:numPr>
                <w:ilvl w:val="0"/>
                <w:numId w:val="1"/>
              </w:numPr>
              <w:spacing w:line="276" w:lineRule="auto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屏柜就位找正</w:t>
            </w:r>
            <w:r>
              <w:rPr>
                <w:rFonts w:hint="eastAsia"/>
                <w:sz w:val="18"/>
                <w:szCs w:val="18"/>
                <w:lang w:eastAsia="zh-CN"/>
              </w:rPr>
              <w:t>，</w:t>
            </w:r>
            <w:r>
              <w:rPr>
                <w:rFonts w:hint="eastAsia"/>
                <w:sz w:val="18"/>
                <w:szCs w:val="18"/>
              </w:rPr>
              <w:t>垂直度误差小于1.5mm/m,水平偏差相邻两盘顶部小于2.0mm，成列屏柜小于5.0 mm，盘面偏差相邻小于1.0 mm，成列小于5.0 mm</w:t>
            </w:r>
          </w:p>
          <w:p>
            <w:pPr>
              <w:pStyle w:val="8"/>
              <w:numPr>
                <w:ilvl w:val="0"/>
                <w:numId w:val="1"/>
              </w:numPr>
              <w:spacing w:line="276" w:lineRule="auto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屏柜接地牢固良好；装有电器可开启屏门的接地，用软铜导线进行可靠接地。</w:t>
            </w:r>
          </w:p>
          <w:p>
            <w:pPr>
              <w:pStyle w:val="8"/>
              <w:numPr>
                <w:ilvl w:val="0"/>
                <w:numId w:val="1"/>
              </w:numPr>
              <w:spacing w:line="276" w:lineRule="auto"/>
              <w:ind w:firstLineChar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屏柜设备检查：盘面平整、齐全；设备及附件符合设计规定；设备外观完好，漆层完整，无损伤；电器元件固定牢固可靠；盘上标志正确齐全、清晰、不宜脱色；安装于同一室内的屏柜高度、颜色一致。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0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发现问题：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整个安装过程安全顺利。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处理意见：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1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备注：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0" w:hRule="atLeast"/>
          <w:jc w:val="center"/>
        </w:trPr>
        <w:tc>
          <w:tcPr>
            <w:tcW w:w="4730" w:type="dxa"/>
            <w:tcMar>
              <w:left w:w="0" w:type="dxa"/>
              <w:right w:w="0" w:type="dxa"/>
            </w:tcMar>
            <w:vAlign w:val="top"/>
          </w:tcPr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施工项目部：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质  检  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 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/>
                <w:sz w:val="18"/>
                <w:szCs w:val="18"/>
              </w:rPr>
              <w:t>日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  <w:tc>
          <w:tcPr>
            <w:tcW w:w="4759" w:type="dxa"/>
            <w:gridSpan w:val="3"/>
            <w:tcMar>
              <w:left w:w="0" w:type="dxa"/>
              <w:right w:w="0" w:type="dxa"/>
            </w:tcMar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/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</w:p>
          <w:p>
            <w:pPr>
              <w:ind w:right="210" w:rightChars="1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spacing w:val="8"/>
                <w:sz w:val="18"/>
                <w:szCs w:val="18"/>
              </w:rPr>
              <w:t>监理项目部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：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旁站监理人员：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  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</w:tr>
    </w:tbl>
    <w:p>
      <w:pPr>
        <w:pStyle w:val="5"/>
        <w:spacing w:before="62" w:beforeLines="20"/>
        <w:rPr>
          <w:rFonts w:hint="eastAsia" w:ascii="宋体" w:hAnsi="宋体" w:eastAsia="宋体"/>
          <w:b/>
          <w:color w:val="000000"/>
          <w:kern w:val="21"/>
          <w:sz w:val="18"/>
          <w:szCs w:val="18"/>
        </w:rPr>
      </w:pPr>
      <w:r>
        <w:rPr>
          <w:rFonts w:hint="eastAsia" w:ascii="黑体" w:hAnsi="宋体"/>
          <w:sz w:val="18"/>
          <w:szCs w:val="18"/>
        </w:rPr>
        <w:t>注</w:t>
      </w:r>
      <w:r>
        <w:rPr>
          <w:rFonts w:hint="eastAsia" w:ascii="宋体" w:hAnsi="宋体" w:eastAsia="宋体"/>
          <w:sz w:val="18"/>
          <w:szCs w:val="18"/>
        </w:rPr>
        <w:t xml:space="preserve">  本表由监理项目部填写，监理项目部存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  <w:u w:val="single"/>
          <w:lang w:val="en-US" w:eastAsia="zh-CN"/>
        </w:rPr>
        <w:t>1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ms Romn 15cpi">
    <w:altName w:val="Lucida Console"/>
    <w:panose1 w:val="00000000000000000000"/>
    <w:charset w:val="00"/>
    <w:family w:val="decorative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swiss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modern"/>
    <w:pitch w:val="default"/>
    <w:sig w:usb0="00000000" w:usb1="00000000" w:usb2="0000003F" w:usb3="00000000" w:csb0="603F01FF" w:csb1="FFFF0000"/>
  </w:font>
  <w:font w:name="Tms Romn 15cpi">
    <w:altName w:val="Lucida Console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imes">
    <w:altName w:val="Times New Roman"/>
    <w:panose1 w:val="02020603050405020304"/>
    <w:charset w:val="00"/>
    <w:family w:val="decorative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92E79"/>
    <w:multiLevelType w:val="multilevel"/>
    <w:tmpl w:val="51E92E79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4A2832"/>
    <w:rsid w:val="009D6F9C"/>
    <w:rsid w:val="00CF046B"/>
    <w:rsid w:val="01CD0DA3"/>
    <w:rsid w:val="02F97288"/>
    <w:rsid w:val="03233FAB"/>
    <w:rsid w:val="03924409"/>
    <w:rsid w:val="063D6D3A"/>
    <w:rsid w:val="069654F5"/>
    <w:rsid w:val="07D060E8"/>
    <w:rsid w:val="083A32FC"/>
    <w:rsid w:val="0A2E77E2"/>
    <w:rsid w:val="0C8377AF"/>
    <w:rsid w:val="0C9B4F33"/>
    <w:rsid w:val="0D7713D8"/>
    <w:rsid w:val="0EDA3251"/>
    <w:rsid w:val="101E78A7"/>
    <w:rsid w:val="115D2E88"/>
    <w:rsid w:val="16D42890"/>
    <w:rsid w:val="18B60C0E"/>
    <w:rsid w:val="1B9C36E3"/>
    <w:rsid w:val="1C056995"/>
    <w:rsid w:val="1F4D1082"/>
    <w:rsid w:val="1FF24601"/>
    <w:rsid w:val="1FFF751A"/>
    <w:rsid w:val="21FB05EE"/>
    <w:rsid w:val="234017B0"/>
    <w:rsid w:val="239B2FD2"/>
    <w:rsid w:val="23E71EDA"/>
    <w:rsid w:val="258A392E"/>
    <w:rsid w:val="25A74901"/>
    <w:rsid w:val="2671781A"/>
    <w:rsid w:val="27076D78"/>
    <w:rsid w:val="292E7E84"/>
    <w:rsid w:val="29A8344C"/>
    <w:rsid w:val="2B375564"/>
    <w:rsid w:val="2F770D6A"/>
    <w:rsid w:val="30625FFB"/>
    <w:rsid w:val="33037560"/>
    <w:rsid w:val="352904D2"/>
    <w:rsid w:val="396C218C"/>
    <w:rsid w:val="3BD76CF7"/>
    <w:rsid w:val="3E61230B"/>
    <w:rsid w:val="3F091992"/>
    <w:rsid w:val="42913EE4"/>
    <w:rsid w:val="497A6336"/>
    <w:rsid w:val="4CF950E0"/>
    <w:rsid w:val="4E603E22"/>
    <w:rsid w:val="514A2832"/>
    <w:rsid w:val="522754B1"/>
    <w:rsid w:val="54F5622C"/>
    <w:rsid w:val="55D248EA"/>
    <w:rsid w:val="55E9210F"/>
    <w:rsid w:val="55F83D79"/>
    <w:rsid w:val="57657329"/>
    <w:rsid w:val="5A8D7B15"/>
    <w:rsid w:val="625154F4"/>
    <w:rsid w:val="62DD4CB5"/>
    <w:rsid w:val="688A139A"/>
    <w:rsid w:val="6A3D49CA"/>
    <w:rsid w:val="6A7870D3"/>
    <w:rsid w:val="6C6E0C93"/>
    <w:rsid w:val="6DC72937"/>
    <w:rsid w:val="6EEA5F20"/>
    <w:rsid w:val="6F7078DF"/>
    <w:rsid w:val="6FA57894"/>
    <w:rsid w:val="70AC791D"/>
    <w:rsid w:val="74624FFB"/>
    <w:rsid w:val="74E12CD9"/>
    <w:rsid w:val="77473447"/>
    <w:rsid w:val="77593668"/>
    <w:rsid w:val="77D959E5"/>
    <w:rsid w:val="7AD0438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2015-11-12T09:06:00Z</dcterms:created>
  <dc:creator>sam</dc:creator>
  <cp:lastModifiedBy>sam</cp:lastModifiedBy>
  <dcterms:modified xsi:type="dcterms:W3CDTF">2016-06-25T08:58:14Z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