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cs="Times New Roman"/>
          <w:sz w:val="48"/>
          <w:szCs w:val="48"/>
          <w:lang w:val="en-US" w:eastAsia="zh-CN"/>
        </w:rPr>
        <w:t>安徽省鸿森塑业科技股份有限公司0.5MW分布式光伏发电项目</w:t>
      </w:r>
    </w:p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52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监 理 初 检 方 案</w:t>
      </w: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Ansi="宋体"/>
          <w:color w:val="auto"/>
          <w:sz w:val="36"/>
        </w:rPr>
      </w:pPr>
    </w:p>
    <w:p>
      <w:pPr>
        <w:pStyle w:val="15"/>
        <w:snapToGrid w:val="0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color w:val="auto"/>
          <w:kern w:val="2"/>
          <w:sz w:val="32"/>
          <w:szCs w:val="32"/>
          <w:lang w:val="en-US" w:eastAsia="zh-CN" w:bidi="ar-SA"/>
        </w:rPr>
        <w:t>安徽省鸿森塑业科技股份有限公司0.5MW</w:t>
      </w: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宋体" w:hAnsi="宋体" w:eastAsia="宋体" w:cs="Times New Roman"/>
          <w:b/>
          <w:color w:val="auto"/>
          <w:kern w:val="2"/>
          <w:sz w:val="32"/>
          <w:szCs w:val="32"/>
          <w:lang w:val="en-US" w:eastAsia="zh-CN" w:bidi="ar-SA"/>
        </w:rPr>
        <w:t>监理项目部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08</w:t>
      </w:r>
      <w:bookmarkStart w:id="22" w:name="_GoBack"/>
      <w:bookmarkEnd w:id="22"/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FF0000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批准：                         年     月     日</w:t>
      </w:r>
      <w:r>
        <w:rPr>
          <w:rFonts w:hAnsi="宋体"/>
          <w:color w:val="auto"/>
          <w:sz w:val="30"/>
        </w:rPr>
        <w:t xml:space="preserve"> </w:t>
      </w: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</w:p>
    <w:p>
      <w:pPr>
        <w:pStyle w:val="15"/>
        <w:snapToGrid w:val="0"/>
        <w:ind w:firstLine="416" w:firstLineChars="139"/>
        <w:rPr>
          <w:rFonts w:hAnsi="宋体"/>
          <w:color w:val="auto"/>
          <w:sz w:val="30"/>
        </w:rPr>
      </w:pPr>
      <w:r>
        <w:rPr>
          <w:rFonts w:hint="eastAsia" w:hAnsi="宋体"/>
          <w:color w:val="auto"/>
          <w:sz w:val="30"/>
        </w:rPr>
        <w:t>编写：                        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2"/>
      </w:pPr>
      <w:r>
        <w:rPr>
          <w:rFonts w:hint="eastAsia"/>
        </w:rPr>
        <w:t>1.初检依据</w:t>
      </w:r>
    </w:p>
    <w:p>
      <w:pPr>
        <w:spacing w:line="360" w:lineRule="auto"/>
        <w:ind w:right="-181"/>
        <w:rPr>
          <w:szCs w:val="21"/>
        </w:rPr>
      </w:pPr>
      <w:r>
        <w:rPr>
          <w:rFonts w:hint="eastAsia"/>
          <w:szCs w:val="21"/>
        </w:rPr>
        <w:t>法律法规文件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0" w:name="_Toc272494159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中华人民共和国建筑法（主席令第46号2011年7月1日起施行）</w:t>
      </w:r>
      <w:bookmarkEnd w:id="0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1" w:name="_Toc272494163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建设工程质量管理条例（国务院令第279号2000年1月30号起执行）</w:t>
      </w:r>
      <w:bookmarkEnd w:id="1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ascii="Times New Roman" w:hAnsi="Times New Roman" w:cs="Times New Roman"/>
          <w:b w:val="0"/>
          <w:bCs w:val="0"/>
          <w:sz w:val="21"/>
          <w:szCs w:val="21"/>
        </w:rPr>
      </w:pPr>
      <w:bookmarkStart w:id="2" w:name="_Toc27249417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中华人民共和国  工程建设标准强制性条文 电力工程部分 2011版</w:t>
      </w:r>
      <w:bookmarkEnd w:id="2"/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360" w:lineRule="auto"/>
        <w:ind w:left="0" w:firstLine="367" w:firstLineChars="175"/>
        <w:rPr>
          <w:rFonts w:hint="eastAsia"/>
          <w:szCs w:val="21"/>
        </w:rPr>
      </w:pPr>
      <w:r>
        <w:rPr>
          <w:rFonts w:hint="eastAsia"/>
          <w:szCs w:val="21"/>
        </w:rPr>
        <w:t>中华人民共和国  工程建设标准强制性条文 房屋建筑部分 2013版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《中华人民共和国合同法》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《中华人民共和国招标投标法》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国务院（1999）第279号令《建设工程质量管理条例》。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国务院（2003）第393号令《建设工程安全生产管理条例》。</w:t>
      </w:r>
      <w:bookmarkStart w:id="3" w:name="_Toc140932863"/>
      <w:bookmarkStart w:id="4" w:name="_Toc215721612"/>
      <w:bookmarkStart w:id="5" w:name="_Toc154549448"/>
      <w:bookmarkStart w:id="6" w:name="_Toc272494172"/>
      <w:bookmarkStart w:id="7" w:name="_Toc146503419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工程管理文件</w:t>
      </w:r>
      <w:bookmarkEnd w:id="3"/>
      <w:bookmarkEnd w:id="4"/>
      <w:bookmarkEnd w:id="5"/>
      <w:bookmarkEnd w:id="6"/>
      <w:bookmarkEnd w:id="7"/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《国家电网公司电力建设工程施工技术管理导则》（国家电网工〔2003〕153号）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电力行业标准DL/T5434-2009《电力工程建设监理规范》。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电力建设施工质量验收及评价规程DL/T52101-9—2009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《国家电网公司输变电工程质量通病防治工作要求及技术措施》（基建质量[2010]19号）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《输变电站工程建设标准强制性条文实施管理规程》（Q/GDW248-2008 ）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《国家电网公司业、监理、施工项目部标准化管理手册(2014版)》</w:t>
      </w:r>
      <w:bookmarkStart w:id="8" w:name="_Toc136414686"/>
      <w:bookmarkStart w:id="9" w:name="_Toc215721613"/>
      <w:bookmarkStart w:id="10" w:name="_Toc272494173"/>
      <w:bookmarkStart w:id="11" w:name="_Toc137179267"/>
      <w:bookmarkStart w:id="12" w:name="_Toc136413755"/>
      <w:bookmarkStart w:id="13" w:name="_Toc146503420"/>
      <w:bookmarkStart w:id="14" w:name="_Toc154549449"/>
      <w:bookmarkStart w:id="15" w:name="_Toc140932864"/>
      <w:bookmarkStart w:id="16" w:name="_Toc137186531"/>
    </w:p>
    <w:p>
      <w:pPr>
        <w:pStyle w:val="6"/>
        <w:tabs>
          <w:tab w:val="left" w:pos="0"/>
        </w:tabs>
        <w:adjustRightInd w:val="0"/>
        <w:snapToGrid w:val="0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工程设计文件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及规程规范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bookmarkStart w:id="17" w:name="_Toc154549450"/>
      <w:bookmarkStart w:id="18" w:name="_Toc146503421"/>
      <w:bookmarkStart w:id="19" w:name="_Toc140932865"/>
      <w:bookmarkStart w:id="20" w:name="_Toc137179268"/>
      <w:bookmarkStart w:id="21" w:name="_Toc137186532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本工程承包合同、设计文件及变更资料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本工程的监理合同及《监理大纲》；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标准、规程、规范</w:t>
      </w:r>
      <w:bookmarkEnd w:id="17"/>
      <w:bookmarkEnd w:id="18"/>
      <w:bookmarkEnd w:id="19"/>
      <w:bookmarkEnd w:id="20"/>
      <w:bookmarkEnd w:id="21"/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、地质勘测报告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67" w:firstLineChars="175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本工程监理依据的主要技术标准、规程、规范包括但不限于：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2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  准  名  称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光伏并网技术要求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19939-2005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19964-2012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光伏发电站接入电力系统设计规范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光伏发电接入配电网设计规范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50865-2013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光伏发电系统接入配电网技术规定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29319-2012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光伏发电站施工规范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 50794-2012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光伏发电工程施工组织设计规范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50795-2012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光伏发电工程验收规范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50796-2012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光伏发电站并网验收规范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1999—2013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光伏发电站无功补偿技术规范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29321-2012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并网光伏发电专用逆变器技术要求和试验方法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GB/T 30427-2013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光伏发电系统用电缆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第一部分: 一般要求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第二部分：交直流传输电力电缆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第三部分：控制电缆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第四部分：计算机及仪表电缆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CEEIA B218.4-2012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太阳光伏电源系统安装工程施工及验收技术规范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CECS 85：96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光伏发电调度运行管理规范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Q/GDW 1997—2013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并网光伏发电监控系统技术规范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光伏发电站环境影响评价技术规范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32001-2012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光伏发电站太阳能资源实时监测技术规范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NB/T 32012-2013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制造商提供的有关技术文件、安装手册（指导书）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/>
    <w:p/>
    <w:p/>
    <w:p>
      <w:pPr>
        <w:pStyle w:val="2"/>
      </w:pPr>
      <w:r>
        <w:rPr>
          <w:rFonts w:hint="eastAsia"/>
        </w:rPr>
        <w:t>2.初检范围及条件</w:t>
      </w:r>
    </w:p>
    <w:p>
      <w:pPr>
        <w:pStyle w:val="3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>初检范围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2</w:t>
      </w:r>
      <w:r>
        <w:rPr>
          <w:rFonts w:ascii="宋体" w:hAnsi="宋体" w:cs="TimesNewRomanPSMT"/>
          <w:kern w:val="0"/>
          <w:sz w:val="24"/>
          <w:szCs w:val="24"/>
        </w:rPr>
        <w:t xml:space="preserve">.1.1 </w:t>
      </w:r>
      <w:r>
        <w:rPr>
          <w:rFonts w:hint="eastAsia" w:ascii="宋体" w:hAnsi="宋体" w:cs="楷体_GB2312"/>
          <w:kern w:val="0"/>
          <w:sz w:val="24"/>
          <w:szCs w:val="24"/>
        </w:rPr>
        <w:t>电气安装工程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    包括下列部分的工程实体及相关资料：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组件支架安装。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组件安装。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电缆桥架安装。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屋面电缆敷设接线施工。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屋面防雷及接地装置安装。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逆变器、</w:t>
      </w:r>
      <w:r>
        <w:rPr>
          <w:rFonts w:hint="eastAsia" w:ascii="宋体" w:hAnsi="宋体"/>
          <w:b w:val="0"/>
          <w:sz w:val="24"/>
          <w:szCs w:val="24"/>
        </w:rPr>
        <w:t>汇流箱安装。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并网柜安装</w:t>
      </w:r>
    </w:p>
    <w:p>
      <w:pPr>
        <w:pStyle w:val="3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初检条件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2.2.1施工单位按设计和规范要求完成相应施工工程，无明显缺陷。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2.2.2已完工程经过施工项目部三级自检合格，具备申报验收条件。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班组自检在检验批完成时，由施工班组独立完成。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经班组自检合格后，由施工项目部完成项目部复检工作。项目部复检不得与班组自检合并组织。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阶段性公司级专检完成，已编制公司级专检报告。公司级专检由施工单位工程质量管理部门根据工程进度开展，以过程随机检查和阶段性检查的方式进行。</w:t>
      </w:r>
    </w:p>
    <w:p>
      <w:pPr>
        <w:pStyle w:val="6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劳务分包工程的班组自检由施工总包单位组织开展；专业分包工程班组自检自行开展，项目部复检及公司级专检由总包和分包单位共同开展，共同签字。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2.2.3工程资料基本整理完毕，齐全有效，能够满足验收条件。</w:t>
      </w:r>
    </w:p>
    <w:p/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2.2.4监理单位收到施工项目部填报的《</w:t>
      </w:r>
      <w:r>
        <w:rPr>
          <w:rFonts w:ascii="宋体" w:hAnsi="宋体" w:cs="楷体_GB2312"/>
          <w:kern w:val="0"/>
          <w:sz w:val="24"/>
          <w:szCs w:val="24"/>
        </w:rPr>
        <w:t>工程质量验收申请表</w:t>
      </w:r>
      <w:r>
        <w:rPr>
          <w:rFonts w:hint="eastAsia" w:ascii="宋体" w:hAnsi="宋体" w:cs="楷体_GB2312"/>
          <w:kern w:val="0"/>
          <w:sz w:val="24"/>
          <w:szCs w:val="24"/>
        </w:rPr>
        <w:t>》及相关自检记录。</w:t>
      </w:r>
    </w:p>
    <w:p>
      <w:pPr>
        <w:pStyle w:val="2"/>
      </w:pPr>
      <w:r>
        <w:rPr>
          <w:rFonts w:hint="eastAsia"/>
        </w:rPr>
        <w:t>3.初检准备工作</w:t>
      </w:r>
    </w:p>
    <w:p>
      <w:pPr>
        <w:pStyle w:val="3"/>
        <w:rPr>
          <w:rFonts w:cs="楷体_GB2312"/>
          <w:kern w:val="0"/>
          <w:szCs w:val="24"/>
        </w:rPr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成立初检组织机构，明确初检人员分工，</w:t>
      </w:r>
      <w:r>
        <w:rPr>
          <w:rFonts w:hint="eastAsia" w:cs="楷体_GB2312"/>
          <w:kern w:val="0"/>
          <w:szCs w:val="24"/>
        </w:rPr>
        <w:t>各参加初检人员根据分工和工程施工完成情况，合理安排工作进度，保证初检工作安全、有序进行。</w:t>
      </w:r>
    </w:p>
    <w:p>
      <w:pPr>
        <w:pStyle w:val="3"/>
      </w:pPr>
      <w:r>
        <w:rPr>
          <w:rFonts w:hint="eastAsia"/>
        </w:rPr>
        <w:t>3.2各初检人员充分熟悉设计图纸、技术规范书和相关专业的有关标准、规范，熟悉材料/设备性能、参数和设备装置的原理。</w:t>
      </w:r>
    </w:p>
    <w:p>
      <w:pPr>
        <w:pStyle w:val="3"/>
      </w:pPr>
      <w:r>
        <w:rPr>
          <w:rFonts w:hint="eastAsia"/>
        </w:rPr>
        <w:t>3.3初检用仪器仪表经核查符合相关要求，保证完好、有效。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35"/>
        <w:gridCol w:w="1485"/>
        <w:gridCol w:w="147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   称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规格或型号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检测计量器具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工程检测包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9件套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</w:tbl>
    <w:p/>
    <w:p>
      <w:pPr>
        <w:pStyle w:val="3"/>
      </w:pPr>
      <w:r>
        <w:rPr>
          <w:rFonts w:hint="eastAsia"/>
        </w:rPr>
        <w:t>3.4 根据施工项目部提出的工程初检申请，对施工项目部三级自检验收结果进行审查，编制监理初检方案。</w:t>
      </w:r>
    </w:p>
    <w:p>
      <w:pPr>
        <w:pStyle w:val="3"/>
      </w:pPr>
      <w:r>
        <w:rPr>
          <w:rFonts w:hint="eastAsia"/>
        </w:rPr>
        <w:t>3.4签发监理工作联系单，明确监理初检的内容、组织机构及时间安排，通知施工项目部做好初检准备。</w:t>
      </w:r>
    </w:p>
    <w:p>
      <w:pPr>
        <w:pStyle w:val="3"/>
      </w:pPr>
      <w:r>
        <w:rPr>
          <w:rFonts w:hint="eastAsia"/>
        </w:rPr>
        <w:t>3.5工程监理初检采用覆盖所有分项工程的抽查方式。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3.6验收前，施工单位应向初检组提供下列主要资料及文件：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1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）主要施工技术记录。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）质量检验，调试记录。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4</w:t>
      </w:r>
      <w:r>
        <w:rPr>
          <w:rFonts w:hint="eastAsia" w:ascii="宋体" w:hAnsi="宋体" w:cs="楷体_GB2312"/>
          <w:kern w:val="0"/>
          <w:sz w:val="24"/>
          <w:szCs w:val="24"/>
        </w:rPr>
        <w:t>）出厂资料、试验资料。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ascii="宋体" w:hAnsi="宋体" w:cs="TimesNewRomanPSMT"/>
          <w:kern w:val="0"/>
          <w:sz w:val="24"/>
          <w:szCs w:val="24"/>
        </w:rPr>
        <w:t>5</w:t>
      </w:r>
      <w:r>
        <w:rPr>
          <w:rFonts w:hint="eastAsia" w:ascii="宋体" w:hAnsi="宋体" w:cs="楷体_GB2312"/>
          <w:kern w:val="0"/>
          <w:sz w:val="24"/>
          <w:szCs w:val="24"/>
        </w:rPr>
        <w:t>）材料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构配件</w:t>
      </w:r>
      <w:r>
        <w:rPr>
          <w:rFonts w:ascii="宋体" w:hAnsi="宋体" w:cs="TimesNewRomanPSMT"/>
          <w:kern w:val="0"/>
          <w:sz w:val="24"/>
          <w:szCs w:val="24"/>
        </w:rPr>
        <w:t>/</w:t>
      </w:r>
      <w:r>
        <w:rPr>
          <w:rFonts w:hint="eastAsia" w:ascii="宋体" w:hAnsi="宋体" w:cs="楷体_GB2312"/>
          <w:kern w:val="0"/>
          <w:sz w:val="24"/>
          <w:szCs w:val="24"/>
        </w:rPr>
        <w:t>设备开箱记录。</w:t>
      </w:r>
    </w:p>
    <w:p>
      <w:pPr>
        <w:pStyle w:val="2"/>
      </w:pPr>
      <w:r>
        <w:rPr>
          <w:rFonts w:hint="eastAsia"/>
        </w:rPr>
        <w:t>4.质量初检标准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TimesNewRomanPSMT"/>
          <w:kern w:val="0"/>
          <w:sz w:val="24"/>
          <w:szCs w:val="24"/>
        </w:rPr>
        <w:t>4</w:t>
      </w:r>
      <w:r>
        <w:rPr>
          <w:rFonts w:ascii="宋体" w:hAnsi="宋体" w:cs="TimesNewRomanPSMT"/>
          <w:kern w:val="0"/>
          <w:sz w:val="24"/>
          <w:szCs w:val="24"/>
        </w:rPr>
        <w:t xml:space="preserve">.1 </w:t>
      </w:r>
      <w:r>
        <w:rPr>
          <w:rFonts w:hint="eastAsia" w:ascii="宋体" w:hAnsi="宋体" w:cs="楷体_GB2312"/>
          <w:kern w:val="0"/>
          <w:sz w:val="24"/>
          <w:szCs w:val="24"/>
        </w:rPr>
        <w:t>电气安装验收重点及要求</w:t>
      </w:r>
    </w:p>
    <w:p>
      <w:pPr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 xml:space="preserve">电气设备安装固定牢固、可靠；垂直度、水平度、安装尺寸偏差符合规范要求；设备各部件完好无损；电气连接可靠，接触良好，密封良好。设备无锈蚀，油漆层或外镀层完整，相色标志正确，设备接地良好，各种电气距离满足要求。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</w:rPr>
        <w:t>1）电气安装工程接地装置、防雷装置的接地电阻测试一次检测达到设计要求及标准规定；器具、配电盘安装敷设合理、整齐、美观，电气回路连接牢固，接地、接零安全可靠；开关、插座等高度一致、整齐美观，盒内洁净，接线规范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楷体_GB2312"/>
          <w:kern w:val="0"/>
          <w:sz w:val="24"/>
          <w:szCs w:val="24"/>
        </w:rPr>
        <w:t>）防止质量通病的各项技术措施均已落实，工程主体不出现质量通病。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 w:cs="楷体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楷体_GB2312"/>
          <w:kern w:val="0"/>
          <w:sz w:val="24"/>
          <w:szCs w:val="24"/>
        </w:rPr>
        <w:t>）单位工程观感质量好，总体的观感得分率不小于85%。</w:t>
      </w:r>
    </w:p>
    <w:p/>
    <w:p/>
    <w:p/>
    <w:p/>
    <w:p/>
    <w:p/>
    <w:p/>
    <w:p/>
    <w:p/>
    <w:p>
      <w:pPr>
        <w:widowControl/>
        <w:jc w:val="left"/>
        <w:rPr>
          <w:rFonts w:ascii="宋体" w:hAnsi="宋体" w:cs="宋体"/>
          <w:b/>
          <w:kern w:val="44"/>
          <w:sz w:val="28"/>
        </w:rPr>
        <w:sectPr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</w:pPr>
      <w:r>
        <w:rPr>
          <w:rFonts w:hint="eastAsia"/>
        </w:rPr>
        <w:t>5．附表</w:t>
      </w:r>
    </w:p>
    <w:p>
      <w:pPr>
        <w:pStyle w:val="3"/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中间验收监理初验缺陷整改反馈表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工程名称：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7"/>
        <w:gridCol w:w="3643"/>
        <w:gridCol w:w="2552"/>
        <w:gridCol w:w="1575"/>
        <w:gridCol w:w="313"/>
        <w:gridCol w:w="1487"/>
        <w:gridCol w:w="1350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77" w:hRule="atLeast"/>
        </w:trPr>
        <w:tc>
          <w:tcPr>
            <w:tcW w:w="13968" w:type="dxa"/>
            <w:gridSpan w:val="9"/>
            <w:vAlign w:val="center"/>
          </w:tcPr>
          <w:p>
            <w:pPr>
              <w:tabs>
                <w:tab w:val="left" w:pos="462"/>
                <w:tab w:val="left" w:pos="500"/>
                <w:tab w:val="left" w:pos="4107"/>
              </w:tabs>
              <w:adjustRightInd w:val="0"/>
              <w:snapToGrid w:val="0"/>
              <w:ind w:firstLine="499" w:firstLineChars="2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</w:rPr>
              <w:t>阶段验收情况，存在以下缺陷，按相应处理措施整改后复验：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存在缺陷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整改措施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pStyle w:val="14"/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4440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复查意见</w:t>
            </w:r>
          </w:p>
        </w:tc>
        <w:tc>
          <w:tcPr>
            <w:tcW w:w="61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复查人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复查日期</w:t>
            </w:r>
          </w:p>
        </w:tc>
        <w:tc>
          <w:tcPr>
            <w:tcW w:w="160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/>
    <w:p/>
    <w:sectPr>
      <w:pgSz w:w="16838" w:h="11906" w:orient="landscape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125E6"/>
    <w:multiLevelType w:val="singleLevel"/>
    <w:tmpl w:val="542125E6"/>
    <w:lvl w:ilvl="0" w:tentative="0">
      <w:start w:val="1"/>
      <w:numFmt w:val="bullet"/>
      <w:lvlText w:val="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9D1B6D"/>
    <w:rsid w:val="00043D51"/>
    <w:rsid w:val="000801F9"/>
    <w:rsid w:val="000C52AB"/>
    <w:rsid w:val="000C6F1C"/>
    <w:rsid w:val="002331AC"/>
    <w:rsid w:val="00252DA2"/>
    <w:rsid w:val="00291C05"/>
    <w:rsid w:val="002C119E"/>
    <w:rsid w:val="00423B0C"/>
    <w:rsid w:val="004C3274"/>
    <w:rsid w:val="005D6829"/>
    <w:rsid w:val="00781628"/>
    <w:rsid w:val="009D1B6D"/>
    <w:rsid w:val="009D562F"/>
    <w:rsid w:val="00A85AD2"/>
    <w:rsid w:val="00B830E6"/>
    <w:rsid w:val="00B96CB2"/>
    <w:rsid w:val="00BD4EFC"/>
    <w:rsid w:val="00BE146C"/>
    <w:rsid w:val="00D259E9"/>
    <w:rsid w:val="00E210FF"/>
    <w:rsid w:val="00E44109"/>
    <w:rsid w:val="00F02E9B"/>
    <w:rsid w:val="00F124F4"/>
    <w:rsid w:val="00F94749"/>
    <w:rsid w:val="00F956CF"/>
    <w:rsid w:val="01456E43"/>
    <w:rsid w:val="09B213AA"/>
    <w:rsid w:val="23146E51"/>
    <w:rsid w:val="2C073216"/>
    <w:rsid w:val="2C7825CB"/>
    <w:rsid w:val="45B523CA"/>
    <w:rsid w:val="4C266B6C"/>
    <w:rsid w:val="52A765C2"/>
    <w:rsid w:val="580655B8"/>
    <w:rsid w:val="6A004B88"/>
    <w:rsid w:val="79E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cs="宋体"/>
      <w:b/>
      <w:kern w:val="44"/>
      <w:sz w:val="2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宋体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line="360" w:lineRule="auto"/>
      <w:outlineLvl w:val="0"/>
    </w:pPr>
    <w:rPr>
      <w:rFonts w:ascii="仿宋_GB2312" w:hAnsi="Arial" w:cs="Arial"/>
      <w:b/>
      <w:bCs/>
      <w:sz w:val="28"/>
      <w:szCs w:val="32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宋体"/>
      <w:b/>
      <w:kern w:val="44"/>
      <w:sz w:val="28"/>
      <w:szCs w:val="20"/>
    </w:rPr>
  </w:style>
  <w:style w:type="character" w:customStyle="1" w:styleId="12">
    <w:name w:val="标题 2 Char"/>
    <w:basedOn w:val="8"/>
    <w:link w:val="3"/>
    <w:qFormat/>
    <w:uiPriority w:val="0"/>
    <w:rPr>
      <w:rFonts w:ascii="宋体" w:hAnsi="宋体" w:eastAsia="宋体" w:cs="宋体"/>
      <w:bCs/>
      <w:sz w:val="24"/>
      <w:szCs w:val="32"/>
    </w:rPr>
  </w:style>
  <w:style w:type="character" w:customStyle="1" w:styleId="13">
    <w:name w:val="标题 Char"/>
    <w:basedOn w:val="8"/>
    <w:link w:val="6"/>
    <w:qFormat/>
    <w:uiPriority w:val="0"/>
    <w:rPr>
      <w:rFonts w:ascii="仿宋_GB2312" w:hAnsi="Arial" w:eastAsia="宋体" w:cs="Arial"/>
      <w:b/>
      <w:bCs/>
      <w:sz w:val="28"/>
      <w:szCs w:val="32"/>
    </w:rPr>
  </w:style>
  <w:style w:type="paragraph" w:customStyle="1" w:styleId="14">
    <w:name w:val="正文文本 21"/>
    <w:basedOn w:val="1"/>
    <w:qFormat/>
    <w:uiPriority w:val="0"/>
    <w:pPr>
      <w:jc w:val="center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2087</Words>
  <Characters>2484</Characters>
  <Lines>21</Lines>
  <Paragraphs>6</Paragraphs>
  <TotalTime>2</TotalTime>
  <ScaleCrop>false</ScaleCrop>
  <LinksUpToDate>false</LinksUpToDate>
  <CharactersWithSpaces>2729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2017-03-05T01:18:00Z</dcterms:created>
  <dc:creator>Administrator</dc:creator>
  <cp:lastModifiedBy>天</cp:lastModifiedBy>
  <cp:lastPrinted>2022-05-10T03:24:00Z</cp:lastPrinted>
  <dcterms:modified xsi:type="dcterms:W3CDTF">2022-08-05T02:49:42Z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D45876BC27D74F6BA27A7AECBAA24FE8</vt:lpwstr>
  </property>
</Properties>
</file>