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eastAsia="黑体"/>
          <w:b/>
          <w:lang w:eastAsia="zh-CN"/>
        </w:rPr>
      </w:pPr>
      <w:r>
        <w:rPr>
          <w:rFonts w:hint="eastAsia" w:eastAsia="黑体"/>
          <w:b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-904240</wp:posOffset>
            </wp:positionH>
            <wp:positionV relativeFrom="paragraph">
              <wp:posOffset>-549910</wp:posOffset>
            </wp:positionV>
            <wp:extent cx="7050405" cy="10029190"/>
            <wp:effectExtent l="0" t="0" r="17145" b="0"/>
            <wp:wrapTight wrapText="bothSides">
              <wp:wrapPolygon>
                <wp:start x="0" y="0"/>
                <wp:lineTo x="0" y="21540"/>
                <wp:lineTo x="21536" y="21540"/>
                <wp:lineTo x="21536" y="0"/>
                <wp:lineTo x="0" y="0"/>
              </wp:wrapPolygon>
            </wp:wrapTight>
            <wp:docPr id="1" name="图片 1" descr="92cda1d313bce13654761808f5b2a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cda1d313bce13654761808f5b2a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0405" cy="1002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9054" w:type="dxa"/>
        <w:jc w:val="center"/>
        <w:tblInd w:w="42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87"/>
        <w:gridCol w:w="763"/>
        <w:gridCol w:w="2455"/>
        <w:gridCol w:w="1323"/>
        <w:gridCol w:w="300"/>
        <w:gridCol w:w="31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4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工程名称：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汕头市杭泰金明精机</w:t>
            </w:r>
            <w:r>
              <w:rPr>
                <w:rFonts w:hint="eastAsia" w:ascii="宋体" w:hAnsi="宋体"/>
                <w:b/>
                <w:sz w:val="24"/>
                <w:szCs w:val="24"/>
                <w:lang w:val="en-US"/>
              </w:rPr>
              <w:t>1.5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MW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p分布式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光伏发电项目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4" w:type="dxa"/>
            <w:gridSpan w:val="7"/>
            <w:tcMar>
              <w:left w:w="0" w:type="dxa"/>
              <w:right w:w="0" w:type="dxa"/>
            </w:tcMar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一、初检依据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842" w:type="dxa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验 评 依 据</w:t>
            </w:r>
          </w:p>
        </w:tc>
        <w:tc>
          <w:tcPr>
            <w:tcW w:w="8212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编制依据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.1《中华人民共和国建筑法》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.2《中华人民共和国合同法》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.3《中华人民共和国招标投标法》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.4《建设工程质量管理条例》国务院（1999）第279号令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.5《建设工程安全生产管理条例》国务院（2003）第393号令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bookmarkStart w:id="0" w:name="_Toc1026885"/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.6《建设工程监理规范》GBT50319-2013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.7《工程测量规范》GB 50026-2007 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.8《建筑地基基础工程施工质量验收规范》 GB50202-2002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.9 《混凝土结构工程施工质量验收规范》GB50204-2011 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.10 《砌体结构工程施工质量验收规范》  GB 50203-2011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.11《建筑地面工程施工质量验收规范》GB 50209-2010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.12《给水排水管道工程施工及验收规范》GB 50268-2008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.13《建筑电气工程施工质量验收规范》GB50303-2011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.14《建筑电气照明装置施工与验收规范》GB 50617-2010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.15《电气设备交接试验标准》GB 50150－2006 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.16《电气装置安装工程 母线装置施工及验收规范》GB 50149-2010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.17《电气装置盘、柜及二次回路施工及验收规范》GB 50171-2012  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.18《电气装置安装工程蓄电池施工及验收规范》 GB 50172-2012   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.19《电气装置安装工程电缆线路施工及验收规范》GB50168-2006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.20《电气装置安装工程 接地装置施工及验收规范》GB 50169-2006 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.21《光伏发电站设计规范(含条文说明)》GB50797-2012</w:t>
            </w:r>
          </w:p>
          <w:bookmarkEnd w:id="0"/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.22《光伏发电工程施工规范》GB50794-2012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.23《光伏发电工程验收规范》GB50796-2012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.24本工程承包合同、监理合同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.25与本工程有关的其它文件  本工程勘察、设计文件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4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二、参建单位：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gridSpan w:val="2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建设单位</w:t>
            </w:r>
          </w:p>
        </w:tc>
        <w:tc>
          <w:tcPr>
            <w:tcW w:w="3218" w:type="dxa"/>
            <w:gridSpan w:val="2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rPr>
                <w:rFonts w:hint="eastAsia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汕头市杭泰电力科技有限公司</w:t>
            </w:r>
          </w:p>
        </w:tc>
        <w:tc>
          <w:tcPr>
            <w:tcW w:w="132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ind w:firstLine="240" w:firstLineChars="1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总包单位</w:t>
            </w:r>
          </w:p>
        </w:tc>
        <w:tc>
          <w:tcPr>
            <w:tcW w:w="3484" w:type="dxa"/>
            <w:gridSpan w:val="2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rPr>
                <w:rFonts w:hint="default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中易建设有限公司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gridSpan w:val="2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设计单位</w:t>
            </w:r>
          </w:p>
        </w:tc>
        <w:tc>
          <w:tcPr>
            <w:tcW w:w="3218" w:type="dxa"/>
            <w:gridSpan w:val="2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信息产业第十一研究院科技股份有限公司</w:t>
            </w:r>
          </w:p>
        </w:tc>
        <w:tc>
          <w:tcPr>
            <w:tcW w:w="132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ind w:firstLine="240" w:firstLineChars="1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监理单位</w:t>
            </w:r>
          </w:p>
        </w:tc>
        <w:tc>
          <w:tcPr>
            <w:tcW w:w="3484" w:type="dxa"/>
            <w:gridSpan w:val="2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gridSpan w:val="2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分包单位</w:t>
            </w:r>
          </w:p>
        </w:tc>
        <w:tc>
          <w:tcPr>
            <w:tcW w:w="3218" w:type="dxa"/>
            <w:gridSpan w:val="2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rPr>
                <w:rFonts w:hint="eastAsia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中易建设有限公司</w:t>
            </w:r>
          </w:p>
        </w:tc>
        <w:tc>
          <w:tcPr>
            <w:tcW w:w="132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ind w:firstLine="240" w:firstLineChars="1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运行单位</w:t>
            </w:r>
          </w:p>
        </w:tc>
        <w:tc>
          <w:tcPr>
            <w:tcW w:w="3484" w:type="dxa"/>
            <w:gridSpan w:val="2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汕头市杭泰电力科技有限公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54" w:type="dxa"/>
            <w:gridSpan w:val="7"/>
            <w:tcMar>
              <w:left w:w="0" w:type="dxa"/>
              <w:right w:w="0" w:type="dxa"/>
            </w:tcMar>
          </w:tcPr>
          <w:p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三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（工程规模概况）、</w:t>
            </w:r>
          </w:p>
          <w:p>
            <w:pPr>
              <w:spacing w:line="240" w:lineRule="auto"/>
              <w:ind w:firstLine="480"/>
              <w:rPr>
                <w:rFonts w:ascii="黑体" w:hAnsi="黑体" w:eastAsia="黑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/>
              </w:rPr>
              <w:t>本项目实际装机容量为：1.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/>
              </w:rPr>
              <w:t>5MWp，采用分块发电、集中并网方案，光伏侧采用XGF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/>
              </w:rPr>
              <w:t>380-Z-ZI系统配电，共利用厂区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/>
              </w:rPr>
              <w:t>栋建筑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彩钢瓦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/>
              </w:rPr>
              <w:t>屋顶，采用275W多晶硅电池组件，光伏系统中每2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/>
              </w:rPr>
              <w:t>块光伏电池组件采用组串并联的方式组成1个太阳能电池阵列。每8-9、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/>
              </w:rPr>
              <w:t>路太阳能电池阵列接入1个50kw、30kw组窜式逆变器逆变，输出0.4kv低压交流电，每2/4个逆变器汇入1个交流汇流箱汇流，共计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/>
              </w:rPr>
              <w:t>个低压并网点，分别接入1#、2#变压器低压侧实现并网发电。</w:t>
            </w:r>
          </w:p>
          <w:p>
            <w:pPr>
              <w:pStyle w:val="9"/>
              <w:spacing w:line="36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 </w:t>
            </w:r>
          </w:p>
          <w:p>
            <w:pPr>
              <w:pStyle w:val="9"/>
              <w:spacing w:line="36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四、开工工期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单位（分部）工程名称</w:t>
            </w:r>
          </w:p>
        </w:tc>
        <w:tc>
          <w:tcPr>
            <w:tcW w:w="245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ind w:firstLine="240" w:firstLineChars="1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开工时间</w:t>
            </w: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完工时间</w:t>
            </w:r>
          </w:p>
        </w:tc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支架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夹具</w:t>
            </w:r>
            <w:r>
              <w:rPr>
                <w:rFonts w:hint="eastAsia"/>
                <w:bCs/>
                <w:sz w:val="24"/>
                <w:szCs w:val="24"/>
              </w:rPr>
              <w:t>放线</w:t>
            </w:r>
          </w:p>
        </w:tc>
        <w:tc>
          <w:tcPr>
            <w:tcW w:w="245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ind w:firstLine="240" w:firstLineChars="100"/>
              <w:jc w:val="left"/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穿管路面</w:t>
            </w:r>
            <w:r>
              <w:rPr>
                <w:rFonts w:hint="eastAsia"/>
                <w:bCs/>
                <w:sz w:val="24"/>
                <w:szCs w:val="24"/>
              </w:rPr>
              <w:t>砼浇筑</w:t>
            </w:r>
          </w:p>
        </w:tc>
        <w:tc>
          <w:tcPr>
            <w:tcW w:w="245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ind w:firstLine="240" w:firstLineChars="100"/>
              <w:rPr>
                <w:rFonts w:hint="default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rFonts w:hint="default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电缆沟开挖</w:t>
            </w:r>
          </w:p>
        </w:tc>
        <w:tc>
          <w:tcPr>
            <w:tcW w:w="245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ind w:firstLine="240" w:firstLineChars="100"/>
              <w:rPr>
                <w:rFonts w:hint="default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rFonts w:hint="default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过路穿管埋设</w:t>
            </w:r>
          </w:p>
        </w:tc>
        <w:tc>
          <w:tcPr>
            <w:tcW w:w="245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ind w:firstLine="240" w:firstLineChars="100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rFonts w:hint="default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31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rPr>
          <w:bCs/>
        </w:rPr>
      </w:pPr>
      <w:r>
        <w:rPr>
          <w:rFonts w:hint="eastAsia"/>
          <w:bCs/>
        </w:rPr>
        <w:t>续表</w:t>
      </w:r>
    </w:p>
    <w:tbl>
      <w:tblPr>
        <w:tblStyle w:val="6"/>
        <w:tblW w:w="8995" w:type="dxa"/>
        <w:jc w:val="center"/>
        <w:tblInd w:w="58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5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9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五、综合评价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质量体系及实施情况</w:t>
            </w:r>
          </w:p>
        </w:tc>
        <w:tc>
          <w:tcPr>
            <w:tcW w:w="7516" w:type="dxa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ind w:firstLine="480" w:firstLineChars="2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本工程建设目标明确，参建单位资质满足施工要求，建设、施工、监理、生产单位质量管理体系基本健全，基本满足工程建设管理的要求，质量管理网络、安全制度基本健全。</w:t>
            </w:r>
          </w:p>
          <w:p>
            <w:pPr>
              <w:pStyle w:val="9"/>
              <w:spacing w:line="360" w:lineRule="auto"/>
              <w:ind w:firstLine="480" w:firstLineChars="2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建单位工程组织机构健全、制定了施工质量管理制度、工程计划管理制度、工程质量目标明确，在工程建设过程中对安全、进度、质量、成本进行了控制和协调，检查施工各单位的工作。施工单位能够按照建设工程施工规范实施工作，安全、质量、进度、资金基本到位。参建单位通过编制施工方案和制定现场工作制度，并在施工活动中有效实施。设计单位基本按有关标准进行设计，设计变更需加强闭环管理。施工单位能按照电力行业规范、标准的要求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  <w:jc w:val="center"/>
        </w:trPr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主要技术资料检查情况</w:t>
            </w:r>
          </w:p>
        </w:tc>
        <w:tc>
          <w:tcPr>
            <w:tcW w:w="7516" w:type="dxa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ind w:firstLine="480" w:firstLineChars="2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主要技术资料情况总体良好，各项综合管理资料、技术资料、现场记录齐全，隐蔽工程验收、签证记录基本齐全。</w:t>
            </w:r>
          </w:p>
          <w:p>
            <w:pPr>
              <w:pStyle w:val="9"/>
              <w:spacing w:line="360" w:lineRule="auto"/>
              <w:ind w:firstLine="480" w:firstLineChars="2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施工现场编制了施工组织设计和施工作业指导书并进行了交底，安全检查制 度和管理制度健全，编制了安全文明实施细则，质量管理和质量保证体系组织机 构完善，严格把好材料进场关，对旁站点形成了比较完整的旁站记录，对进场的原材料合格证及复试报告审核监管。</w:t>
            </w:r>
          </w:p>
          <w:p>
            <w:pPr>
              <w:pStyle w:val="9"/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特殊工种双证基本齐全，供货商及检测单位资质及施工仪器进行了报审，试验报告基本齐全。</w:t>
            </w:r>
          </w:p>
          <w:p>
            <w:pPr>
              <w:pStyle w:val="9"/>
              <w:spacing w:line="360" w:lineRule="auto"/>
              <w:ind w:firstLine="240" w:firstLineChars="1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开工手续完备，完善设计变更闭环管理。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工程重点抽查情况</w:t>
            </w:r>
          </w:p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（通病防治内容）</w:t>
            </w:r>
          </w:p>
        </w:tc>
        <w:tc>
          <w:tcPr>
            <w:tcW w:w="7516" w:type="dxa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ind w:firstLine="240" w:firstLineChars="100"/>
              <w:jc w:val="left"/>
              <w:rPr>
                <w:rFonts w:hint="eastAsia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1、个别过路穿管土方回填沉陷，密实度达不到要求</w:t>
            </w:r>
          </w:p>
          <w:p>
            <w:pPr>
              <w:pStyle w:val="9"/>
              <w:spacing w:line="360" w:lineRule="auto"/>
              <w:ind w:firstLine="240" w:firstLineChars="100"/>
              <w:jc w:val="left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、本项目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穿管焊接、防腐符合设计规范要求</w:t>
            </w:r>
          </w:p>
          <w:p>
            <w:pPr>
              <w:pStyle w:val="9"/>
              <w:spacing w:line="360" w:lineRule="auto"/>
              <w:ind w:firstLine="240" w:firstLineChars="1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、无</w:t>
            </w:r>
            <w:r>
              <w:rPr>
                <w:rFonts w:hint="eastAsia"/>
                <w:bCs/>
                <w:sz w:val="24"/>
                <w:szCs w:val="24"/>
              </w:rPr>
              <w:t>外力或技术原因引起混凝土破坏、开裂情况</w:t>
            </w:r>
          </w:p>
          <w:p>
            <w:pPr>
              <w:pStyle w:val="9"/>
              <w:spacing w:line="360" w:lineRule="auto"/>
              <w:ind w:firstLine="240" w:firstLineChars="1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、没有</w:t>
            </w:r>
            <w:r>
              <w:rPr>
                <w:rFonts w:hint="eastAsia"/>
                <w:bCs/>
                <w:sz w:val="24"/>
                <w:szCs w:val="24"/>
              </w:rPr>
              <w:t>房顶施工塌陷情况</w:t>
            </w:r>
          </w:p>
          <w:p>
            <w:pPr>
              <w:pStyle w:val="9"/>
              <w:spacing w:line="360" w:lineRule="auto"/>
              <w:ind w:firstLine="240" w:firstLineChars="100"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8995" w:type="dxa"/>
            <w:gridSpan w:val="2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  六、</w:t>
            </w:r>
            <w:r>
              <w:rPr>
                <w:rFonts w:hint="eastAsia"/>
                <w:bCs/>
                <w:sz w:val="24"/>
                <w:szCs w:val="24"/>
              </w:rPr>
              <w:t>主要改进建议：</w:t>
            </w:r>
          </w:p>
          <w:p>
            <w:pPr>
              <w:pStyle w:val="9"/>
              <w:spacing w:line="360" w:lineRule="auto"/>
              <w:ind w:firstLine="480" w:firstLineChars="2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对监理部初检提出的整改问题，有关各方应采取措施，限期按施工规范要求完成，整改后，通知监理项目部对整改项目进行监督复查，实施闭环管理。</w:t>
            </w:r>
          </w:p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5" w:type="dxa"/>
            <w:gridSpan w:val="2"/>
            <w:tcMar>
              <w:left w:w="0" w:type="dxa"/>
              <w:right w:w="0" w:type="dxa"/>
            </w:tcMar>
          </w:tcPr>
          <w:p>
            <w:pPr>
              <w:pStyle w:val="9"/>
              <w:spacing w:line="360" w:lineRule="auto"/>
              <w:rPr>
                <w:rFonts w:hint="eastAsia" w:eastAsia="黑体"/>
                <w:bCs/>
                <w:sz w:val="24"/>
                <w:szCs w:val="24"/>
                <w:lang w:eastAsia="zh-CN"/>
              </w:rPr>
            </w:pPr>
            <w:bookmarkStart w:id="1" w:name="_GoBack"/>
            <w:r>
              <w:rPr>
                <w:rFonts w:hint="eastAsia" w:eastAsia="黑体"/>
                <w:bCs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-862965</wp:posOffset>
                  </wp:positionH>
                  <wp:positionV relativeFrom="paragraph">
                    <wp:posOffset>-874395</wp:posOffset>
                  </wp:positionV>
                  <wp:extent cx="7533005" cy="10314305"/>
                  <wp:effectExtent l="0" t="0" r="10795" b="10795"/>
                  <wp:wrapNone/>
                  <wp:docPr id="3" name="图片 3" descr="28985261fb0c452d17d6a27e3f4e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8985261fb0c452d17d6a27e3f4e3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3005" cy="1031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9"/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rPr>
          <w:rFonts w:hint="eastAsia" w:eastAsia="黑体"/>
          <w:bCs/>
          <w:lang w:eastAsia="zh-CN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2733769"/>
    </w:sdtPr>
    <w:sdtContent>
      <w:p>
        <w:pPr>
          <w:pStyle w:val="4"/>
          <w:ind w:firstLine="3960" w:firstLineChars="22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48"/>
    <w:rsid w:val="00141DED"/>
    <w:rsid w:val="00181F3E"/>
    <w:rsid w:val="002862B9"/>
    <w:rsid w:val="002B410F"/>
    <w:rsid w:val="00375E49"/>
    <w:rsid w:val="003F3D18"/>
    <w:rsid w:val="00447F1B"/>
    <w:rsid w:val="004A5330"/>
    <w:rsid w:val="004E1FF7"/>
    <w:rsid w:val="00552A10"/>
    <w:rsid w:val="006B0ACF"/>
    <w:rsid w:val="006C4D05"/>
    <w:rsid w:val="007817C9"/>
    <w:rsid w:val="00863DE4"/>
    <w:rsid w:val="00934387"/>
    <w:rsid w:val="00986D42"/>
    <w:rsid w:val="0099462F"/>
    <w:rsid w:val="009D5244"/>
    <w:rsid w:val="00B21E48"/>
    <w:rsid w:val="00B75D11"/>
    <w:rsid w:val="00BA30ED"/>
    <w:rsid w:val="00BD425E"/>
    <w:rsid w:val="00C8409B"/>
    <w:rsid w:val="00C86A5A"/>
    <w:rsid w:val="00E12394"/>
    <w:rsid w:val="00E508E1"/>
    <w:rsid w:val="00E50A30"/>
    <w:rsid w:val="00FA2442"/>
    <w:rsid w:val="00FE6D4B"/>
    <w:rsid w:val="01B95423"/>
    <w:rsid w:val="04FA4E8C"/>
    <w:rsid w:val="0D0A25BE"/>
    <w:rsid w:val="0E046A9D"/>
    <w:rsid w:val="0ECC41E3"/>
    <w:rsid w:val="10C85EB8"/>
    <w:rsid w:val="18340DF9"/>
    <w:rsid w:val="25D07058"/>
    <w:rsid w:val="2B590297"/>
    <w:rsid w:val="2DD53F95"/>
    <w:rsid w:val="34F11387"/>
    <w:rsid w:val="44EE124A"/>
    <w:rsid w:val="45B1345B"/>
    <w:rsid w:val="480C3281"/>
    <w:rsid w:val="48414DC0"/>
    <w:rsid w:val="48F87D0A"/>
    <w:rsid w:val="49E375B7"/>
    <w:rsid w:val="4BD93D4E"/>
    <w:rsid w:val="518C79BC"/>
    <w:rsid w:val="523A0E1D"/>
    <w:rsid w:val="525B73A3"/>
    <w:rsid w:val="528F6FF8"/>
    <w:rsid w:val="53357C47"/>
    <w:rsid w:val="553F3944"/>
    <w:rsid w:val="581F33D5"/>
    <w:rsid w:val="5D484FDD"/>
    <w:rsid w:val="64221F13"/>
    <w:rsid w:val="66C431DD"/>
    <w:rsid w:val="696B6347"/>
    <w:rsid w:val="6A2F7975"/>
    <w:rsid w:val="6E0D4B60"/>
    <w:rsid w:val="71AB454F"/>
    <w:rsid w:val="725D09E1"/>
    <w:rsid w:val="75EB741C"/>
    <w:rsid w:val="79865E40"/>
    <w:rsid w:val="79F51A09"/>
    <w:rsid w:val="7AD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0">
    <w:name w:val="Default"/>
    <w:semiHidden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Theme="minorHAnsi" w:eastAsiaTheme="minorEastAsia" w:cstheme="minorBidi"/>
      <w:color w:val="000000"/>
      <w:sz w:val="24"/>
      <w:szCs w:val="22"/>
      <w:lang w:val="en-US" w:eastAsia="zh-CN" w:bidi="ar-SA"/>
    </w:rPr>
  </w:style>
  <w:style w:type="paragraph" w:customStyle="1" w:styleId="11">
    <w:name w:val="CM30"/>
    <w:basedOn w:val="10"/>
    <w:next w:val="10"/>
    <w:qFormat/>
    <w:uiPriority w:val="0"/>
    <w:rPr>
      <w:rFonts w:cs="Times New Roman"/>
      <w:color w:val="auto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  <w:lang w:val="en-BZ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  <w:lang w:val="en-BZ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1598</Words>
  <Characters>1945</Characters>
  <Lines>18</Lines>
  <Paragraphs>5</Paragraphs>
  <TotalTime>72</TotalTime>
  <ScaleCrop>false</ScaleCrop>
  <LinksUpToDate>false</LinksUpToDate>
  <CharactersWithSpaces>2007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黎建光</cp:lastModifiedBy>
  <cp:lastPrinted>2019-06-24T09:02:00Z</cp:lastPrinted>
  <dcterms:modified xsi:type="dcterms:W3CDTF">2019-06-24T14:00:18Z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