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pStyle w:val="19"/>
        <w:jc w:val="both"/>
        <w:rPr>
          <w:rFonts w:hAnsi="宋体"/>
          <w:b w:val="0"/>
          <w:sz w:val="24"/>
        </w:rPr>
      </w:pPr>
      <w:bookmarkStart w:id="0" w:name="_Toc258782688"/>
      <w:bookmarkStart w:id="1" w:name="_Toc258845041"/>
      <w:bookmarkStart w:id="2" w:name="_Toc381212668"/>
      <w:bookmarkStart w:id="3" w:name="_Toc250844917"/>
      <w:r>
        <w:rPr>
          <w:rFonts w:hAnsi="宋体"/>
          <w:b w:val="0"/>
          <w:sz w:val="24"/>
        </w:rPr>
        <w:t>JZL</w:t>
      </w:r>
      <w:r>
        <w:rPr>
          <w:rFonts w:hint="eastAsia" w:hAnsi="宋体"/>
          <w:b w:val="0"/>
          <w:sz w:val="24"/>
        </w:rPr>
        <w:t>10：</w:t>
      </w:r>
      <w:r>
        <w:rPr>
          <w:rFonts w:hAnsi="宋体"/>
          <w:b w:val="0"/>
          <w:sz w:val="24"/>
        </w:rPr>
        <w:t>监理初检报告</w:t>
      </w:r>
      <w:bookmarkEnd w:id="0"/>
      <w:bookmarkEnd w:id="1"/>
      <w:bookmarkEnd w:id="2"/>
      <w:bookmarkEnd w:id="3"/>
    </w:p>
    <w:p>
      <w:pPr>
        <w:tabs>
          <w:tab w:val="right" w:pos="8845"/>
        </w:tabs>
        <w:topLinePunct/>
        <w:ind w:firstLine="420"/>
        <w:rPr>
          <w:rFonts w:hint="eastAsia" w:hAnsi="宋体"/>
          <w:kern w:val="21"/>
          <w:u w:val="single"/>
        </w:rPr>
      </w:pPr>
    </w:p>
    <w:p>
      <w:pPr>
        <w:tabs>
          <w:tab w:val="right" w:pos="8845"/>
        </w:tabs>
        <w:topLinePunct/>
        <w:ind w:firstLine="420"/>
        <w:rPr>
          <w:rFonts w:hint="eastAsia" w:hAnsi="宋体"/>
          <w:kern w:val="21"/>
          <w:u w:val="single"/>
        </w:rPr>
      </w:pPr>
    </w:p>
    <w:p>
      <w:pPr>
        <w:tabs>
          <w:tab w:val="right" w:pos="8845"/>
        </w:tabs>
        <w:topLinePunct/>
        <w:ind w:firstLine="420"/>
        <w:rPr>
          <w:rFonts w:hint="eastAsia" w:hAnsi="宋体"/>
          <w:kern w:val="21"/>
          <w:u w:val="single"/>
        </w:rPr>
      </w:pPr>
    </w:p>
    <w:p>
      <w:pPr>
        <w:tabs>
          <w:tab w:val="right" w:pos="8845"/>
        </w:tabs>
        <w:topLinePunct/>
        <w:ind w:firstLine="420"/>
        <w:rPr>
          <w:rFonts w:hint="eastAsia" w:hAnsi="宋体"/>
          <w:kern w:val="21"/>
          <w:u w:val="single"/>
        </w:rPr>
      </w:pPr>
    </w:p>
    <w:p>
      <w:pPr>
        <w:tabs>
          <w:tab w:val="right" w:pos="8845"/>
        </w:tabs>
        <w:topLinePunct/>
        <w:ind w:firstLine="420"/>
        <w:rPr>
          <w:rFonts w:hint="eastAsia" w:hAnsi="宋体"/>
          <w:kern w:val="21"/>
          <w:u w:val="single"/>
        </w:rPr>
      </w:pPr>
    </w:p>
    <w:p>
      <w:pPr>
        <w:tabs>
          <w:tab w:val="right" w:pos="8845"/>
        </w:tabs>
        <w:topLinePunct/>
        <w:ind w:firstLine="420"/>
        <w:rPr>
          <w:rFonts w:hint="eastAsia" w:hAnsi="宋体"/>
          <w:kern w:val="21"/>
          <w:u w:val="single"/>
        </w:rPr>
      </w:pPr>
    </w:p>
    <w:p>
      <w:pPr>
        <w:tabs>
          <w:tab w:val="right" w:pos="8845"/>
        </w:tabs>
        <w:topLinePunct/>
        <w:ind w:firstLine="420"/>
        <w:rPr>
          <w:rFonts w:hint="eastAsia" w:hAnsi="宋体"/>
          <w:kern w:val="21"/>
          <w:u w:val="single"/>
        </w:rPr>
      </w:pPr>
    </w:p>
    <w:p>
      <w:pPr>
        <w:topLinePunct/>
        <w:ind w:firstLine="420"/>
        <w:jc w:val="center"/>
        <w:rPr>
          <w:rFonts w:hint="eastAsia" w:eastAsiaTheme="minorEastAsia"/>
          <w:kern w:val="21"/>
          <w:lang w:eastAsia="zh-CN"/>
        </w:rPr>
      </w:pPr>
      <w:r>
        <w:rPr>
          <w:rFonts w:hint="eastAsia" w:ascii="宋体" w:hAnsi="宋体" w:cs="宋体"/>
          <w:b/>
          <w:bCs/>
          <w:spacing w:val="-8"/>
          <w:sz w:val="44"/>
          <w:szCs w:val="44"/>
          <w:lang w:eastAsia="zh-CN"/>
        </w:rPr>
        <w:t>胜华波汽车电器（滁州）有限公司</w:t>
      </w:r>
      <w:r>
        <w:rPr>
          <w:rFonts w:hint="eastAsia" w:ascii="宋体" w:hAnsi="宋体" w:cs="宋体"/>
          <w:b/>
          <w:bCs/>
          <w:spacing w:val="-8"/>
          <w:sz w:val="44"/>
          <w:szCs w:val="44"/>
          <w:lang w:val="en-US" w:eastAsia="zh-CN"/>
        </w:rPr>
        <w:t>1.0098M</w:t>
      </w:r>
      <w:r>
        <w:rPr>
          <w:rFonts w:hint="eastAsia" w:ascii="宋体" w:hAnsi="宋体" w:cs="宋体"/>
          <w:b/>
          <w:bCs/>
          <w:spacing w:val="-8"/>
          <w:sz w:val="44"/>
          <w:szCs w:val="44"/>
          <w:lang w:eastAsia="zh-CN"/>
        </w:rPr>
        <w:t>Wp屋顶分布式光伏项目</w:t>
      </w: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jc w:val="center"/>
        <w:rPr>
          <w:rFonts w:hint="eastAsia"/>
          <w:kern w:val="21"/>
        </w:rPr>
      </w:pPr>
      <w:r>
        <w:rPr>
          <w:rFonts w:hAnsi="宋体"/>
          <w:b/>
          <w:bCs/>
          <w:sz w:val="72"/>
          <w:szCs w:val="72"/>
        </w:rPr>
        <w:t>监理初检报告</w:t>
      </w: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ind w:firstLine="420"/>
        <w:rPr>
          <w:rFonts w:hint="eastAsia"/>
          <w:kern w:val="21"/>
        </w:rPr>
      </w:pPr>
    </w:p>
    <w:p>
      <w:pPr>
        <w:topLinePunct/>
        <w:jc w:val="center"/>
        <w:rPr>
          <w:rFonts w:hint="eastAsia" w:ascii="宋体" w:hAnsi="宋体" w:eastAsia="宋体" w:cs="宋体"/>
          <w:kern w:val="21"/>
          <w:sz w:val="24"/>
          <w:szCs w:val="24"/>
          <w:lang w:eastAsia="zh-CN"/>
        </w:rPr>
      </w:pPr>
    </w:p>
    <w:p>
      <w:pPr>
        <w:topLinePunct/>
        <w:jc w:val="center"/>
        <w:rPr>
          <w:rFonts w:hint="eastAsia" w:ascii="宋体" w:hAnsi="宋体" w:eastAsia="宋体" w:cs="宋体"/>
          <w:kern w:val="21"/>
          <w:sz w:val="24"/>
          <w:szCs w:val="24"/>
          <w:lang w:eastAsia="zh-CN"/>
        </w:rPr>
      </w:pPr>
    </w:p>
    <w:p>
      <w:pPr>
        <w:topLinePunct/>
        <w:jc w:val="center"/>
        <w:rPr>
          <w:rFonts w:hint="eastAsia" w:ascii="宋体" w:hAnsi="宋体" w:eastAsia="宋体" w:cs="宋体"/>
          <w:kern w:val="2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eastAsia="zh-CN"/>
        </w:rPr>
        <w:t>胜华波汽车零电器（滁州）有限公司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1.0098M</w:t>
      </w:r>
      <w:r>
        <w:rPr>
          <w:rFonts w:hint="eastAsia" w:ascii="宋体" w:hAnsi="宋体" w:eastAsia="宋体" w:cs="宋体"/>
          <w:kern w:val="21"/>
          <w:sz w:val="24"/>
          <w:szCs w:val="24"/>
          <w:lang w:eastAsia="zh-CN"/>
        </w:rPr>
        <w:t>Wp屋顶分布式光伏电站项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1"/>
          <w:sz w:val="24"/>
          <w:szCs w:val="24"/>
          <w:lang w:eastAsia="zh-CN"/>
        </w:rPr>
        <w:t>目</w:t>
      </w:r>
    </w:p>
    <w:p>
      <w:pPr>
        <w:topLinePunct/>
        <w:jc w:val="center"/>
        <w:rPr>
          <w:rFonts w:hint="eastAsia" w:ascii="宋体" w:hAnsi="宋体" w:eastAsia="宋体" w:cs="宋体"/>
          <w:kern w:val="21"/>
          <w:sz w:val="28"/>
        </w:rPr>
      </w:pPr>
      <w:r>
        <w:rPr>
          <w:rFonts w:hint="eastAsia" w:ascii="宋体" w:hAnsi="宋体" w:eastAsia="宋体" w:cs="宋体"/>
          <w:kern w:val="21"/>
          <w:sz w:val="28"/>
        </w:rPr>
        <w:t>监理项目部</w:t>
      </w:r>
    </w:p>
    <w:p>
      <w:pPr>
        <w:topLinePunct/>
        <w:jc w:val="center"/>
        <w:rPr>
          <w:rFonts w:hint="eastAsia" w:eastAsia="楷体_GB2312"/>
          <w:kern w:val="21"/>
          <w:sz w:val="28"/>
        </w:rPr>
      </w:pPr>
      <w:r>
        <w:rPr>
          <w:rFonts w:hint="eastAsia" w:ascii="宋体" w:hAnsi="宋体" w:eastAsia="宋体" w:cs="宋体"/>
          <w:kern w:val="21"/>
          <w:sz w:val="28"/>
          <w:u w:val="none"/>
        </w:rPr>
        <w:t>　</w:t>
      </w:r>
      <w:r>
        <w:rPr>
          <w:rFonts w:hint="eastAsia" w:ascii="宋体" w:hAnsi="宋体" w:eastAsia="宋体" w:cs="宋体"/>
          <w:kern w:val="21"/>
          <w:sz w:val="28"/>
          <w:u w:val="none"/>
          <w:lang w:val="en-US" w:eastAsia="zh-CN"/>
        </w:rPr>
        <w:t>2023</w:t>
      </w:r>
      <w:r>
        <w:rPr>
          <w:rFonts w:hint="eastAsia" w:ascii="宋体" w:hAnsi="宋体" w:eastAsia="宋体" w:cs="宋体"/>
          <w:kern w:val="21"/>
          <w:sz w:val="28"/>
          <w:u w:val="none"/>
        </w:rPr>
        <w:t>年</w:t>
      </w:r>
      <w:r>
        <w:rPr>
          <w:rFonts w:hint="eastAsia" w:ascii="宋体" w:hAnsi="宋体" w:eastAsia="宋体" w:cs="宋体"/>
          <w:kern w:val="21"/>
          <w:sz w:val="28"/>
          <w:u w:val="none"/>
          <w:lang w:val="en-US" w:eastAsia="zh-CN"/>
        </w:rPr>
        <w:t>01</w:t>
      </w:r>
      <w:r>
        <w:rPr>
          <w:rFonts w:hint="eastAsia" w:ascii="宋体" w:hAnsi="宋体" w:eastAsia="宋体" w:cs="宋体"/>
          <w:kern w:val="21"/>
          <w:sz w:val="28"/>
        </w:rPr>
        <w:t>月</w:t>
      </w:r>
    </w:p>
    <w:tbl>
      <w:tblPr>
        <w:tblStyle w:val="10"/>
        <w:tblW w:w="9500" w:type="dxa"/>
        <w:tblInd w:w="-4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38"/>
        <w:gridCol w:w="425"/>
        <w:gridCol w:w="2977"/>
        <w:gridCol w:w="425"/>
        <w:gridCol w:w="1560"/>
        <w:gridCol w:w="283"/>
        <w:gridCol w:w="170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500" w:type="dxa"/>
            <w:gridSpan w:val="9"/>
          </w:tcPr>
          <w:p>
            <w:pPr>
              <w:spacing w:line="60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一、检验概况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00" w:type="dxa"/>
            <w:gridSpan w:val="9"/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工程名称：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胜华波汽车电器</w:t>
            </w:r>
            <w:r>
              <w:rPr>
                <w:rFonts w:hint="eastAsia" w:ascii="Calibri" w:hAnsi="Calibri" w:eastAsia="宋体" w:cs="Times New Roman"/>
                <w:sz w:val="24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滁州</w:t>
            </w:r>
            <w:r>
              <w:rPr>
                <w:rFonts w:hint="eastAsia" w:ascii="Calibri" w:hAnsi="Calibri" w:eastAsia="宋体" w:cs="Times New Roman"/>
                <w:sz w:val="24"/>
              </w:rPr>
              <w:t>）有限公司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1.0098M</w:t>
            </w:r>
            <w:r>
              <w:rPr>
                <w:rFonts w:hint="eastAsia" w:ascii="Calibri" w:hAnsi="Calibri" w:eastAsia="宋体" w:cs="Times New Roman"/>
                <w:sz w:val="24"/>
              </w:rPr>
              <w:t>Wp屋顶分布式光伏项目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6" w:hRule="atLeast"/>
        </w:trPr>
        <w:tc>
          <w:tcPr>
            <w:tcW w:w="573" w:type="dxa"/>
            <w:vAlign w:val="center"/>
          </w:tcPr>
          <w:p>
            <w:pPr>
              <w:widowControl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验收标准</w:t>
            </w:r>
          </w:p>
        </w:tc>
        <w:tc>
          <w:tcPr>
            <w:tcW w:w="8927" w:type="dxa"/>
            <w:gridSpan w:val="8"/>
          </w:tcPr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《工程建设标准强制性条文（电力工程部分）（2011版）》                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《国家电网公司输变电工程施工安全监理管理办法（试行） 》        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《电力建设安全工作规程《变电所部分》 DL5009. 3-1997          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《电力装置安装工程质量检验及评定规程DL/T5161.1~5161.1717-2002    ┃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《电气装置安装工程电气设备交接试验标准GB50150-20</w:t>
            </w:r>
            <w:r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《电气装置安装工程高压电气施工及验收规范》 CBJ117-1990         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《电气装置安装工程母线装置施工及验收规范》 GBJ149-1990                                                         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《电气装置安装工程电缆线路施工及验收规范》GB50168-2006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《电气装置安装工程接地装置施工及验收规范》 GB50169-20</w:t>
            </w:r>
            <w:r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6     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《电气装置安装工程电力变流设备施工及验收规范》 GB50255-1996    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《国家电网公司十八项电网重大反事故措施（施行）》 国家电网计[2005]400号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《国家电网公司电力建设工程施工安全监理管理办法》国家电网基建[2005]302号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《电力建设安全健康与环境管理工作规定》 国家电网工[2003]168号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《国家电网公司输变电工程施工危险点辨识及预控措施》 基建安全[2005]50号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《输变电工程建设标准强制性条文实施管理规程》国家电网科[2009]642号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《输变电工程安全文明施工标准》 Q/GDW250-2009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《关于印发（国家电网公司电力建设工程施工质量监理管理办法）的通知》 </w:t>
            </w:r>
          </w:p>
          <w:p>
            <w:pPr>
              <w:pStyle w:val="12"/>
              <w:spacing w:line="360" w:lineRule="auto"/>
              <w:ind w:left="42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国家电网基建[2010]166号                                                             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《关于印发（国家电网公司输变电工程质量通病防治工作要求及技术措施）的通知》 </w:t>
            </w:r>
          </w:p>
          <w:p>
            <w:pPr>
              <w:pStyle w:val="12"/>
              <w:spacing w:line="360" w:lineRule="auto"/>
              <w:ind w:left="42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国家电网基建[2010] 166号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2"/>
                <w:szCs w:val="28"/>
              </w:rPr>
              <w:t>《电气装置安装工程</w:t>
            </w:r>
            <w:r>
              <w:rPr>
                <w:rFonts w:asciiTheme="minorEastAsia" w:hAnsiTheme="minorEastAsia"/>
                <w:sz w:val="22"/>
                <w:szCs w:val="28"/>
              </w:rPr>
              <w:t>35kV</w:t>
            </w:r>
            <w:r>
              <w:rPr>
                <w:rFonts w:hint="eastAsia" w:asciiTheme="minorEastAsia" w:hAnsiTheme="minorEastAsia"/>
                <w:sz w:val="22"/>
                <w:szCs w:val="28"/>
              </w:rPr>
              <w:t>及以下架空电力线路施工及验收规范》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（</w:t>
            </w:r>
            <w:r>
              <w:rPr>
                <w:bCs/>
                <w:sz w:val="22"/>
                <w:szCs w:val="24"/>
              </w:rPr>
              <w:t>GB50173</w:t>
            </w:r>
            <w:r>
              <w:rPr>
                <w:rFonts w:hint="eastAsia"/>
                <w:bCs/>
                <w:sz w:val="22"/>
                <w:szCs w:val="24"/>
              </w:rPr>
              <w:t>—19</w:t>
            </w:r>
            <w:r>
              <w:rPr>
                <w:bCs/>
                <w:sz w:val="22"/>
                <w:szCs w:val="24"/>
              </w:rPr>
              <w:t>92</w:t>
            </w:r>
            <w:r>
              <w:rPr>
                <w:rFonts w:hint="eastAsia"/>
                <w:bCs/>
                <w:sz w:val="22"/>
                <w:szCs w:val="24"/>
              </w:rPr>
              <w:t>）；</w:t>
            </w: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设计院提供的施工图纸、施工图会审文件、设计变更通知               </w:t>
            </w:r>
          </w:p>
          <w:p>
            <w:pPr>
              <w:pStyle w:val="12"/>
              <w:spacing w:line="360" w:lineRule="auto"/>
              <w:ind w:left="42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制造厂家提供的设备安装说明书 。</w:t>
            </w:r>
          </w:p>
          <w:p>
            <w:pPr>
              <w:pStyle w:val="12"/>
              <w:ind w:left="420"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ind w:firstLine="0" w:firstLineChars="0"/>
              <w:jc w:val="left"/>
              <w:rPr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73" w:type="dxa"/>
          </w:tcPr>
          <w:p>
            <w:pPr>
              <w:widowControl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7" w:type="dxa"/>
            <w:gridSpan w:val="8"/>
          </w:tcPr>
          <w:p>
            <w:pPr>
              <w:spacing w:line="60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二、工程概况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3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项目法人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600" w:lineRule="exact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张远远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项目管理单位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6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6" w:type="dxa"/>
            <w:gridSpan w:val="3"/>
            <w:vAlign w:val="center"/>
          </w:tcPr>
          <w:p>
            <w:pPr>
              <w:spacing w:line="6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设计单位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600" w:lineRule="exact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浙江西子联合工程有限公司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6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常州正衡电力工程监理有限公司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36" w:type="dxa"/>
            <w:gridSpan w:val="3"/>
            <w:vAlign w:val="center"/>
          </w:tcPr>
          <w:p>
            <w:pPr>
              <w:spacing w:line="6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6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浙江西子联合工程</w:t>
            </w:r>
            <w:r>
              <w:rPr>
                <w:rFonts w:hint="eastAsia" w:ascii="Calibri" w:hAnsi="Calibri" w:eastAsia="宋体" w:cs="Times New Roman"/>
                <w:sz w:val="24"/>
              </w:rPr>
              <w:t>有限公司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运行单位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6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500" w:type="dxa"/>
            <w:gridSpan w:val="9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line="600" w:lineRule="exact"/>
              <w:ind w:left="465" w:hanging="284" w:firstLineChars="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工程规模及建筑情况</w:t>
            </w:r>
          </w:p>
          <w:p>
            <w:pPr>
              <w:pStyle w:val="12"/>
              <w:spacing w:line="600" w:lineRule="exact"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工程名称：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胜华波汽车电器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滁州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）有限公司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1.0098M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Wp屋顶分布式光伏项目</w:t>
            </w:r>
          </w:p>
          <w:p>
            <w:pPr>
              <w:pStyle w:val="12"/>
              <w:spacing w:line="600" w:lineRule="exact"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工程性质：新建</w:t>
            </w:r>
          </w:p>
          <w:p>
            <w:pPr>
              <w:pStyle w:val="12"/>
              <w:spacing w:line="600" w:lineRule="exact"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工程建设地点：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胜华波汽车电器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天津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）有限公司 </w:t>
            </w:r>
          </w:p>
          <w:p>
            <w:pPr>
              <w:pStyle w:val="12"/>
              <w:spacing w:line="600" w:lineRule="exact"/>
              <w:jc w:val="left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建设单位：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滁州沛思光伏发电有限公司</w:t>
            </w:r>
          </w:p>
          <w:p>
            <w:pPr>
              <w:pStyle w:val="12"/>
              <w:spacing w:line="600" w:lineRule="exact"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建设规模：本工程为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屋顶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分布式项目。电站设计安装容量为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1009·8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kW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，每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块组件一个组串。</w:t>
            </w:r>
          </w:p>
          <w:p>
            <w:pPr>
              <w:pStyle w:val="12"/>
              <w:spacing w:line="600" w:lineRule="exact"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本项目采用单晶硅5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Wp光伏组件块，总容量为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1.0098M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Wp；光伏组件安装倾角与屋面一致，逆变器为组串式逆变器，共采用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8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110  KW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逆变器；组件串联成1串后接入逆变器直流侧，所发直流电由逆变器逆变后接入用户侧低压电网实现并网发电。本拟采用自发自用，余电上网的消纳方案。</w:t>
            </w:r>
          </w:p>
          <w:p>
            <w:pPr>
              <w:pStyle w:val="12"/>
              <w:numPr>
                <w:ilvl w:val="0"/>
                <w:numId w:val="2"/>
              </w:numPr>
              <w:spacing w:line="600" w:lineRule="exact"/>
              <w:ind w:left="465" w:hanging="284" w:firstLineChars="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电气部分</w:t>
            </w:r>
          </w:p>
          <w:p>
            <w:pPr>
              <w:pStyle w:val="12"/>
              <w:numPr>
                <w:ilvl w:val="1"/>
                <w:numId w:val="2"/>
              </w:numPr>
              <w:spacing w:line="600" w:lineRule="exact"/>
              <w:ind w:left="605" w:leftChars="221" w:hanging="141" w:hangingChars="59"/>
              <w:jc w:val="lef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电气直流部分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本工程采用高效多晶硅组件，组件规格为：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晶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Wp。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本工程总装机容量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1.0098M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Wp</w:t>
            </w:r>
            <w:r>
              <w:rPr>
                <w:rFonts w:hAnsi="Times New Roman"/>
                <w:sz w:val="23"/>
                <w:szCs w:val="23"/>
              </w:rPr>
              <w:t>。</w:t>
            </w:r>
          </w:p>
          <w:p>
            <w:pPr>
              <w:pStyle w:val="12"/>
              <w:numPr>
                <w:ilvl w:val="1"/>
                <w:numId w:val="2"/>
              </w:numPr>
              <w:spacing w:line="600" w:lineRule="exact"/>
              <w:ind w:left="605" w:leftChars="221" w:hanging="141" w:hangingChars="59"/>
              <w:jc w:val="lef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逆变系统：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64" w:firstLineChars="202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 w:hAnsi="Times New Roman"/>
                <w:sz w:val="23"/>
                <w:szCs w:val="23"/>
              </w:rPr>
              <w:t>组串式</w:t>
            </w:r>
            <w:r>
              <w:rPr>
                <w:rFonts w:hAnsi="Times New Roman"/>
                <w:sz w:val="23"/>
                <w:szCs w:val="23"/>
              </w:rPr>
              <w:t>逆变器输出三相</w:t>
            </w:r>
            <w:r>
              <w:rPr>
                <w:rFonts w:hint="eastAsia" w:hAnsi="Times New Roman"/>
                <w:sz w:val="23"/>
                <w:szCs w:val="23"/>
              </w:rPr>
              <w:t>380</w:t>
            </w:r>
            <w:r>
              <w:rPr>
                <w:rFonts w:hAnsi="Times New Roman"/>
                <w:sz w:val="23"/>
                <w:szCs w:val="23"/>
              </w:rPr>
              <w:t>V交流电，频率</w:t>
            </w:r>
            <w:r>
              <w:rPr>
                <w:rFonts w:hint="eastAsia" w:hAnsi="Times New Roman"/>
                <w:sz w:val="23"/>
                <w:szCs w:val="23"/>
              </w:rPr>
              <w:t>50</w:t>
            </w:r>
            <w:r>
              <w:rPr>
                <w:rFonts w:hAnsi="Times New Roman"/>
                <w:sz w:val="23"/>
                <w:szCs w:val="23"/>
              </w:rPr>
              <w:t>H</w:t>
            </w:r>
            <w:r>
              <w:rPr>
                <w:rFonts w:hint="eastAsia" w:hAnsi="Times New Roman"/>
                <w:sz w:val="23"/>
                <w:szCs w:val="23"/>
              </w:rPr>
              <w:t>z</w:t>
            </w:r>
            <w:r>
              <w:rPr>
                <w:rFonts w:hAnsi="Times New Roman"/>
                <w:sz w:val="23"/>
                <w:szCs w:val="23"/>
              </w:rPr>
              <w:t>，最大总谐波失真＜</w:t>
            </w:r>
            <w:r>
              <w:rPr>
                <w:rFonts w:hint="eastAsia" w:hAnsi="Times New Roman"/>
                <w:sz w:val="23"/>
                <w:szCs w:val="23"/>
              </w:rPr>
              <w:t>3</w:t>
            </w:r>
            <w:r>
              <w:rPr>
                <w:rFonts w:hAnsi="Times New Roman"/>
                <w:sz w:val="23"/>
                <w:szCs w:val="23"/>
              </w:rPr>
              <w:t>%，</w:t>
            </w:r>
            <w:r>
              <w:rPr>
                <w:rFonts w:hint="eastAsia" w:hAnsi="Times New Roman"/>
                <w:sz w:val="23"/>
                <w:szCs w:val="23"/>
              </w:rPr>
              <w:t>功率因数0.95连续</w:t>
            </w:r>
            <w:r>
              <w:rPr>
                <w:rFonts w:hAnsi="Times New Roman"/>
                <w:sz w:val="23"/>
                <w:szCs w:val="23"/>
              </w:rPr>
              <w:t>可调</w:t>
            </w:r>
            <w:r>
              <w:rPr>
                <w:rFonts w:hint="eastAsia" w:hAnsi="Times New Roman"/>
                <w:sz w:val="23"/>
                <w:szCs w:val="23"/>
              </w:rPr>
              <w:t>。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64" w:firstLineChars="202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 w:hAnsi="Times New Roman"/>
                <w:sz w:val="23"/>
                <w:szCs w:val="23"/>
              </w:rPr>
              <w:t>组串式逆变器</w:t>
            </w:r>
            <w:r>
              <w:rPr>
                <w:rFonts w:hAnsi="Times New Roman"/>
                <w:sz w:val="23"/>
                <w:szCs w:val="23"/>
              </w:rPr>
              <w:t>具有防孤岛保护、短路保护、输出过流保护、输出过载保护、输出过</w:t>
            </w:r>
            <w:r>
              <w:rPr>
                <w:rFonts w:hint="eastAsia" w:hAnsi="Times New Roman"/>
                <w:sz w:val="23"/>
                <w:szCs w:val="23"/>
              </w:rPr>
              <w:t>/欠电压</w:t>
            </w:r>
            <w:r>
              <w:rPr>
                <w:rFonts w:hAnsi="Times New Roman"/>
                <w:sz w:val="23"/>
                <w:szCs w:val="23"/>
              </w:rPr>
              <w:t>保护、</w:t>
            </w:r>
            <w:r>
              <w:rPr>
                <w:rFonts w:hint="eastAsia" w:hAnsi="Times New Roman"/>
                <w:sz w:val="23"/>
                <w:szCs w:val="23"/>
              </w:rPr>
              <w:t>输出</w:t>
            </w:r>
            <w:r>
              <w:rPr>
                <w:rFonts w:hAnsi="Times New Roman"/>
                <w:sz w:val="23"/>
                <w:szCs w:val="23"/>
              </w:rPr>
              <w:t>过</w:t>
            </w:r>
            <w:r>
              <w:rPr>
                <w:rFonts w:hint="eastAsia" w:hAnsi="Times New Roman"/>
                <w:sz w:val="23"/>
                <w:szCs w:val="23"/>
              </w:rPr>
              <w:t>/欠</w:t>
            </w:r>
            <w:r>
              <w:rPr>
                <w:rFonts w:hAnsi="Times New Roman"/>
                <w:sz w:val="23"/>
                <w:szCs w:val="23"/>
              </w:rPr>
              <w:t>频率保护等保护功能。</w:t>
            </w:r>
          </w:p>
          <w:p>
            <w:pPr>
              <w:pStyle w:val="12"/>
              <w:numPr>
                <w:ilvl w:val="1"/>
                <w:numId w:val="2"/>
              </w:numPr>
              <w:spacing w:line="600" w:lineRule="exact"/>
              <w:ind w:left="605" w:leftChars="221" w:hanging="141" w:hangingChars="59"/>
              <w:jc w:val="lef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监控系统：</w:t>
            </w:r>
          </w:p>
          <w:p>
            <w:pPr>
              <w:pStyle w:val="12"/>
              <w:spacing w:line="600" w:lineRule="exact"/>
              <w:ind w:firstLineChars="0"/>
              <w:jc w:val="left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/>
                <w:sz w:val="23"/>
                <w:szCs w:val="23"/>
              </w:rPr>
              <w:t>为便于</w:t>
            </w:r>
            <w:r>
              <w:rPr>
                <w:rFonts w:asciiTheme="minorEastAsia" w:hAnsiTheme="minorEastAsia"/>
                <w:sz w:val="23"/>
                <w:szCs w:val="23"/>
              </w:rPr>
              <w:t>项目管理及运行维护，本项目设置一套分布式光伏发电监控系统，主要监控逆变器、并网柜等</w:t>
            </w:r>
            <w:r>
              <w:rPr>
                <w:rFonts w:hint="eastAsia" w:asciiTheme="minorEastAsia" w:hAnsiTheme="minorEastAsia"/>
                <w:sz w:val="23"/>
                <w:szCs w:val="23"/>
              </w:rPr>
              <w:t>智能设备</w:t>
            </w:r>
            <w:r>
              <w:rPr>
                <w:rFonts w:asciiTheme="minorEastAsia" w:hAnsiTheme="minorEastAsia"/>
                <w:sz w:val="23"/>
                <w:szCs w:val="23"/>
              </w:rPr>
              <w:t>的运行情况，</w:t>
            </w:r>
            <w:r>
              <w:rPr>
                <w:rFonts w:hint="eastAsia" w:asciiTheme="minorEastAsia" w:hAnsiTheme="minorEastAsia"/>
                <w:sz w:val="23"/>
                <w:szCs w:val="23"/>
              </w:rPr>
              <w:t>采集</w:t>
            </w:r>
            <w:r>
              <w:rPr>
                <w:rFonts w:asciiTheme="minorEastAsia" w:hAnsiTheme="minorEastAsia"/>
                <w:sz w:val="23"/>
                <w:szCs w:val="23"/>
              </w:rPr>
              <w:t>各</w:t>
            </w:r>
            <w:r>
              <w:rPr>
                <w:rFonts w:hint="eastAsia" w:asciiTheme="minorEastAsia" w:hAnsiTheme="minorEastAsia"/>
                <w:sz w:val="23"/>
                <w:szCs w:val="23"/>
              </w:rPr>
              <w:t>智能</w:t>
            </w:r>
            <w:r>
              <w:rPr>
                <w:rFonts w:asciiTheme="minorEastAsia" w:hAnsiTheme="minorEastAsia"/>
                <w:sz w:val="23"/>
                <w:szCs w:val="23"/>
              </w:rPr>
              <w:t>设备</w:t>
            </w:r>
            <w:r>
              <w:rPr>
                <w:rFonts w:hint="eastAsia" w:asciiTheme="minorEastAsia" w:hAnsiTheme="minorEastAsia"/>
                <w:sz w:val="23"/>
                <w:szCs w:val="23"/>
              </w:rPr>
              <w:t>运行</w:t>
            </w:r>
            <w:r>
              <w:rPr>
                <w:rFonts w:asciiTheme="minorEastAsia" w:hAnsiTheme="minorEastAsia"/>
                <w:sz w:val="23"/>
                <w:szCs w:val="23"/>
              </w:rPr>
              <w:t>参数，将系统实时运行情况反应在显示屏幕上</w:t>
            </w:r>
            <w:r>
              <w:rPr>
                <w:rFonts w:hint="eastAsia" w:asciiTheme="minorEastAsia" w:hAnsiTheme="minorEastAsia"/>
                <w:sz w:val="23"/>
                <w:szCs w:val="23"/>
              </w:rPr>
              <w:t>。</w:t>
            </w:r>
          </w:p>
          <w:p>
            <w:pPr>
              <w:pStyle w:val="12"/>
              <w:numPr>
                <w:ilvl w:val="1"/>
                <w:numId w:val="2"/>
              </w:numPr>
              <w:spacing w:line="600" w:lineRule="exact"/>
              <w:ind w:left="605" w:leftChars="221" w:hanging="141" w:hangingChars="59"/>
              <w:jc w:val="lef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计量</w:t>
            </w:r>
          </w:p>
          <w:p>
            <w:pPr>
              <w:pStyle w:val="12"/>
              <w:spacing w:line="600" w:lineRule="exact"/>
              <w:ind w:firstLine="460"/>
              <w:jc w:val="left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/>
                <w:sz w:val="23"/>
                <w:szCs w:val="23"/>
              </w:rPr>
              <w:t>站内计量装置设置在并网侧，分别装设计量电流互感器和电压互感器。</w:t>
            </w:r>
          </w:p>
          <w:p>
            <w:pPr>
              <w:pStyle w:val="12"/>
              <w:numPr>
                <w:ilvl w:val="1"/>
                <w:numId w:val="2"/>
              </w:numPr>
              <w:spacing w:line="600" w:lineRule="exact"/>
              <w:ind w:left="605" w:leftChars="221" w:hanging="141" w:hangingChars="59"/>
              <w:jc w:val="lef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同期</w:t>
            </w:r>
          </w:p>
          <w:p>
            <w:pPr>
              <w:pStyle w:val="12"/>
              <w:spacing w:line="600" w:lineRule="exact"/>
              <w:ind w:firstLine="460"/>
              <w:jc w:val="left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/>
                <w:sz w:val="23"/>
                <w:szCs w:val="23"/>
              </w:rPr>
              <w:t>本工程选用的组串型逆变器根据电网侧频率、相位自动捕捉同期。</w:t>
            </w:r>
          </w:p>
          <w:p>
            <w:pPr>
              <w:pStyle w:val="12"/>
              <w:numPr>
                <w:ilvl w:val="1"/>
                <w:numId w:val="2"/>
              </w:numPr>
              <w:spacing w:line="600" w:lineRule="exact"/>
              <w:ind w:left="605" w:leftChars="221" w:hanging="141" w:hangingChars="59"/>
              <w:jc w:val="lef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设备安装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64" w:firstLineChars="202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 w:hAnsi="Times New Roman"/>
                <w:sz w:val="23"/>
                <w:szCs w:val="23"/>
              </w:rPr>
              <w:t>屋顶</w:t>
            </w:r>
            <w:r>
              <w:rPr>
                <w:rFonts w:hAnsi="Times New Roman"/>
                <w:sz w:val="23"/>
                <w:szCs w:val="23"/>
              </w:rPr>
              <w:t>组件采用支架固定安装，彩钢瓦屋面采用顺沿屋面坡度安装，组件安装必须配合土建及结构</w:t>
            </w:r>
            <w:r>
              <w:rPr>
                <w:rFonts w:hint="eastAsia" w:hAnsi="Times New Roman"/>
                <w:sz w:val="23"/>
                <w:szCs w:val="23"/>
              </w:rPr>
              <w:t>相关</w:t>
            </w:r>
            <w:r>
              <w:rPr>
                <w:rFonts w:hAnsi="Times New Roman"/>
                <w:sz w:val="23"/>
                <w:szCs w:val="23"/>
              </w:rPr>
              <w:t>专业支架图施工。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64" w:firstLineChars="202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 w:hAnsi="Times New Roman"/>
                <w:sz w:val="23"/>
                <w:szCs w:val="23"/>
              </w:rPr>
              <w:t>组串式逆变器</w:t>
            </w:r>
            <w:r>
              <w:rPr>
                <w:rFonts w:hAnsi="Times New Roman"/>
                <w:sz w:val="23"/>
                <w:szCs w:val="23"/>
              </w:rPr>
              <w:t>电气</w:t>
            </w:r>
            <w:r>
              <w:rPr>
                <w:rFonts w:hint="eastAsia" w:hAnsi="Times New Roman"/>
                <w:sz w:val="23"/>
                <w:szCs w:val="23"/>
              </w:rPr>
              <w:t>设备</w:t>
            </w:r>
            <w:r>
              <w:rPr>
                <w:rFonts w:hAnsi="Times New Roman"/>
                <w:sz w:val="23"/>
                <w:szCs w:val="23"/>
              </w:rPr>
              <w:t>安装在配套设计的支架上，并安装遮阳罩</w:t>
            </w:r>
            <w:r>
              <w:rPr>
                <w:rFonts w:hint="eastAsia" w:hAnsi="Times New Roman"/>
                <w:sz w:val="23"/>
                <w:szCs w:val="23"/>
              </w:rPr>
              <w:t>。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64" w:firstLineChars="202"/>
              <w:jc w:val="left"/>
              <w:rPr>
                <w:sz w:val="22"/>
              </w:rPr>
            </w:pPr>
            <w:r>
              <w:rPr>
                <w:rFonts w:hint="eastAsia" w:hAnsi="Times New Roman"/>
                <w:sz w:val="23"/>
                <w:szCs w:val="23"/>
              </w:rPr>
              <w:t>屋顶</w:t>
            </w:r>
            <w:r>
              <w:rPr>
                <w:sz w:val="22"/>
              </w:rPr>
              <w:t>电缆桥架在阵列附近敷设时，固定在由</w:t>
            </w:r>
            <w:r>
              <w:rPr>
                <w:rFonts w:hint="eastAsia"/>
                <w:sz w:val="22"/>
                <w:lang w:eastAsia="zh-CN"/>
              </w:rPr>
              <w:t>夹</w:t>
            </w:r>
            <w:r>
              <w:rPr>
                <w:sz w:val="22"/>
              </w:rPr>
              <w:t>具与角钢组成的支架上</w:t>
            </w:r>
            <w:r>
              <w:rPr>
                <w:rFonts w:hint="eastAsia"/>
                <w:sz w:val="22"/>
              </w:rPr>
              <w:t>。</w:t>
            </w:r>
          </w:p>
          <w:p>
            <w:pPr>
              <w:pStyle w:val="12"/>
              <w:numPr>
                <w:ilvl w:val="1"/>
                <w:numId w:val="2"/>
              </w:numPr>
              <w:spacing w:line="600" w:lineRule="exact"/>
              <w:ind w:left="605" w:leftChars="221" w:hanging="141" w:hangingChars="59"/>
              <w:jc w:val="lef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电力</w:t>
            </w:r>
            <w:r>
              <w:rPr>
                <w:rFonts w:ascii="黑体" w:hAnsi="黑体" w:eastAsia="黑体"/>
                <w:sz w:val="24"/>
                <w:szCs w:val="28"/>
              </w:rPr>
              <w:t>电缆敷设</w:t>
            </w:r>
          </w:p>
          <w:p>
            <w:pPr>
              <w:pStyle w:val="18"/>
              <w:numPr>
                <w:ilvl w:val="0"/>
                <w:numId w:val="3"/>
              </w:numPr>
              <w:spacing w:line="600" w:lineRule="exact"/>
              <w:ind w:firstLineChars="0"/>
              <w:jc w:val="left"/>
              <w:rPr>
                <w:rFonts w:asciiTheme="minorEastAsia" w:hAnsiTheme="minorEastAsia"/>
                <w:vanish/>
                <w:sz w:val="24"/>
                <w:szCs w:val="24"/>
              </w:rPr>
            </w:pPr>
          </w:p>
          <w:p>
            <w:pPr>
              <w:pStyle w:val="18"/>
              <w:numPr>
                <w:ilvl w:val="1"/>
                <w:numId w:val="3"/>
              </w:numPr>
              <w:spacing w:line="600" w:lineRule="exact"/>
              <w:ind w:firstLineChars="0"/>
              <w:jc w:val="left"/>
              <w:rPr>
                <w:rFonts w:asciiTheme="minorEastAsia" w:hAnsiTheme="minorEastAsia"/>
                <w:vanish/>
                <w:sz w:val="24"/>
                <w:szCs w:val="24"/>
              </w:rPr>
            </w:pPr>
          </w:p>
          <w:p>
            <w:pPr>
              <w:pStyle w:val="18"/>
              <w:numPr>
                <w:ilvl w:val="1"/>
                <w:numId w:val="3"/>
              </w:numPr>
              <w:spacing w:line="600" w:lineRule="exact"/>
              <w:ind w:firstLineChars="0"/>
              <w:jc w:val="left"/>
              <w:rPr>
                <w:rFonts w:asciiTheme="minorEastAsia" w:hAnsiTheme="minorEastAsia"/>
                <w:vanish/>
                <w:sz w:val="24"/>
                <w:szCs w:val="24"/>
              </w:rPr>
            </w:pP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本工程组件连接电缆采用PV1-F/1x4光伏专用电缆，由组串式逆变器输出的交流低压系统采用YJV-1kV-3+1芯电缆。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hAnsi="Times New Roman"/>
                <w:sz w:val="21"/>
                <w:szCs w:val="21"/>
              </w:rPr>
              <w:t>屋顶</w:t>
            </w:r>
            <w:r>
              <w:rPr>
                <w:rFonts w:hAnsi="Times New Roman"/>
                <w:sz w:val="21"/>
                <w:szCs w:val="21"/>
              </w:rPr>
              <w:t>光伏组件与组串式逆变器连接的直流电缆、逆变器与</w:t>
            </w:r>
            <w:r>
              <w:rPr>
                <w:rFonts w:hint="eastAsia" w:hAnsi="Times New Roman"/>
                <w:sz w:val="21"/>
                <w:szCs w:val="21"/>
                <w:lang w:eastAsia="zh-CN"/>
              </w:rPr>
              <w:t>并网柜</w:t>
            </w:r>
            <w:r>
              <w:rPr>
                <w:rFonts w:hAnsi="Times New Roman"/>
                <w:sz w:val="21"/>
                <w:szCs w:val="21"/>
              </w:rPr>
              <w:t>的交流电缆均采用</w:t>
            </w:r>
            <w:r>
              <w:rPr>
                <w:rFonts w:hint="eastAsia" w:hAnsi="Times New Roman"/>
                <w:sz w:val="21"/>
                <w:szCs w:val="21"/>
              </w:rPr>
              <w:t>电缆</w:t>
            </w:r>
            <w:r>
              <w:rPr>
                <w:rFonts w:hAnsi="Times New Roman"/>
                <w:sz w:val="21"/>
                <w:szCs w:val="21"/>
              </w:rPr>
              <w:t>桥架敷</w:t>
            </w:r>
            <w:r>
              <w:rPr>
                <w:rFonts w:asciiTheme="minorEastAsia" w:hAnsiTheme="minorEastAsia"/>
                <w:sz w:val="21"/>
                <w:szCs w:val="21"/>
              </w:rPr>
              <w:t>设，部分外露在阳光下的电缆采用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热镀锌钢</w:t>
            </w:r>
            <w:r>
              <w:rPr>
                <w:rFonts w:asciiTheme="minorEastAsia" w:hAnsiTheme="minorEastAsia"/>
                <w:sz w:val="21"/>
                <w:szCs w:val="21"/>
              </w:rPr>
              <w:t>管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过渡</w:t>
            </w:r>
            <w:r>
              <w:rPr>
                <w:rFonts w:asciiTheme="minorEastAsia" w:hAnsiTheme="minorEastAsia"/>
                <w:sz w:val="21"/>
                <w:szCs w:val="21"/>
              </w:rPr>
              <w:t>保护</w:t>
            </w:r>
            <w:r>
              <w:rPr>
                <w:rFonts w:asciiTheme="minorEastAsia" w:hAnsiTheme="minorEastAsia"/>
                <w:sz w:val="24"/>
                <w:szCs w:val="24"/>
              </w:rPr>
              <w:t>。</w:t>
            </w:r>
          </w:p>
          <w:p>
            <w:pPr>
              <w:pStyle w:val="12"/>
              <w:numPr>
                <w:ilvl w:val="1"/>
                <w:numId w:val="2"/>
              </w:numPr>
              <w:spacing w:line="600" w:lineRule="exact"/>
              <w:ind w:left="605" w:leftChars="221" w:hanging="141" w:hangingChars="59"/>
              <w:jc w:val="lef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防雷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 w:hAnsi="Times New Roman"/>
                <w:sz w:val="21"/>
                <w:szCs w:val="21"/>
              </w:rPr>
              <w:t>屋面上所有金属固定支架、电缆桥架之间均通过螺栓连接或采用热镀锌扁钢-40x4与原建筑屋顶避雷带可靠焊接</w:t>
            </w:r>
            <w:r>
              <w:rPr>
                <w:rFonts w:hAnsi="Times New Roman"/>
                <w:sz w:val="23"/>
                <w:szCs w:val="23"/>
              </w:rPr>
              <w:t>。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int="eastAsia" w:hAnsi="Times New Roman"/>
                <w:sz w:val="21"/>
                <w:szCs w:val="21"/>
              </w:rPr>
            </w:pPr>
            <w:r>
              <w:rPr>
                <w:rFonts w:hint="eastAsia" w:hAnsi="Times New Roman"/>
                <w:sz w:val="21"/>
                <w:szCs w:val="21"/>
              </w:rPr>
              <w:t>组串式逆变器、并网配电柜内均安装一套二级浪涌保护器。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int="eastAsia" w:hAnsi="Times New Roman"/>
                <w:sz w:val="21"/>
                <w:szCs w:val="21"/>
              </w:rPr>
            </w:pPr>
            <w:r>
              <w:rPr>
                <w:rFonts w:hint="eastAsia" w:hAnsi="Times New Roman"/>
                <w:sz w:val="21"/>
                <w:szCs w:val="21"/>
              </w:rPr>
              <w:t>所有用作防雷接地系统的金属物体均可靠焊接。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 w:hAnsi="Times New Roman"/>
                <w:sz w:val="21"/>
                <w:szCs w:val="21"/>
              </w:rPr>
              <w:t>所有建筑物的电缆金属外皮、钢管与接地系统已可靠连接。</w:t>
            </w:r>
          </w:p>
          <w:p>
            <w:pPr>
              <w:pStyle w:val="12"/>
              <w:numPr>
                <w:ilvl w:val="1"/>
                <w:numId w:val="2"/>
              </w:numPr>
              <w:spacing w:line="600" w:lineRule="exact"/>
              <w:ind w:left="605" w:leftChars="221" w:hanging="141" w:hangingChars="59"/>
              <w:jc w:val="lef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接地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int="eastAsia" w:hAnsi="Times New Roman"/>
                <w:sz w:val="21"/>
                <w:szCs w:val="21"/>
              </w:rPr>
            </w:pPr>
            <w:r>
              <w:rPr>
                <w:rFonts w:hint="eastAsia" w:hAnsi="Times New Roman"/>
                <w:sz w:val="21"/>
                <w:szCs w:val="21"/>
              </w:rPr>
              <w:t>本工程屋顶光伏支架采用热镀</w:t>
            </w:r>
            <w:r>
              <w:rPr>
                <w:rFonts w:hint="eastAsia" w:hAnsi="Times New Roman"/>
                <w:sz w:val="21"/>
                <w:szCs w:val="21"/>
                <w:lang w:eastAsia="zh-CN"/>
              </w:rPr>
              <w:t>锌</w:t>
            </w:r>
            <w:r>
              <w:rPr>
                <w:rFonts w:hint="eastAsia" w:hAnsi="Times New Roman"/>
                <w:sz w:val="21"/>
                <w:szCs w:val="21"/>
                <w:lang w:val="en-US" w:eastAsia="zh-CN"/>
              </w:rPr>
              <w:t xml:space="preserve">       扁</w:t>
            </w:r>
            <w:r>
              <w:rPr>
                <w:rFonts w:hint="eastAsia" w:hAnsi="Times New Roman"/>
                <w:sz w:val="21"/>
                <w:szCs w:val="21"/>
                <w:lang w:eastAsia="zh-CN"/>
              </w:rPr>
              <w:t>钢</w:t>
            </w:r>
            <w:r>
              <w:rPr>
                <w:rFonts w:hint="eastAsia" w:hAnsi="Times New Roman"/>
                <w:sz w:val="21"/>
                <w:szCs w:val="21"/>
              </w:rPr>
              <w:t>与原建筑屋顶防雷引下点可靠焊接。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int="eastAsia" w:hAnsi="Times New Roman"/>
                <w:sz w:val="21"/>
                <w:szCs w:val="21"/>
              </w:rPr>
            </w:pPr>
            <w:r>
              <w:rPr>
                <w:rFonts w:hint="eastAsia" w:hAnsi="Times New Roman"/>
                <w:sz w:val="21"/>
                <w:szCs w:val="21"/>
              </w:rPr>
              <w:t>每段电缆桥架至少2处接地（厂房屋顶电缆桥架与接地网）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int="eastAsia" w:hAnsi="Times New Roman"/>
                <w:sz w:val="21"/>
                <w:szCs w:val="21"/>
              </w:rPr>
            </w:pPr>
            <w:r>
              <w:rPr>
                <w:rFonts w:hint="eastAsia" w:hAnsi="Times New Roman"/>
                <w:sz w:val="21"/>
                <w:szCs w:val="21"/>
              </w:rPr>
              <w:t>厂房屋面其它外露金属外皮或支架基础需至少2处接地，保证与接地网电气贯通。</w:t>
            </w:r>
          </w:p>
          <w:p>
            <w:pPr>
              <w:pStyle w:val="12"/>
              <w:numPr>
                <w:ilvl w:val="2"/>
                <w:numId w:val="2"/>
              </w:numPr>
              <w:spacing w:line="600" w:lineRule="exact"/>
              <w:ind w:left="181" w:leftChars="86" w:firstLine="424" w:firstLineChars="202"/>
              <w:jc w:val="left"/>
              <w:rPr>
                <w:rFonts w:hint="eastAsia" w:hAnsi="Times New Roman"/>
                <w:sz w:val="21"/>
                <w:szCs w:val="21"/>
              </w:rPr>
            </w:pPr>
            <w:r>
              <w:rPr>
                <w:rFonts w:hint="eastAsia" w:hAnsi="Times New Roman"/>
                <w:sz w:val="21"/>
                <w:szCs w:val="21"/>
              </w:rPr>
              <w:t>保护线截面积有机械保护时≥2.5mm2；无机械保护的≥4mm2。</w:t>
            </w:r>
          </w:p>
          <w:p>
            <w:pPr>
              <w:pStyle w:val="12"/>
              <w:spacing w:line="60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 施工工期</w:t>
            </w:r>
          </w:p>
          <w:p>
            <w:pPr>
              <w:pStyle w:val="12"/>
              <w:spacing w:line="60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开工时间：20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日</w:t>
            </w:r>
          </w:p>
          <w:p>
            <w:pPr>
              <w:pStyle w:val="12"/>
              <w:spacing w:line="600" w:lineRule="exact"/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竣工日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期；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411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Cs w:val="28"/>
              </w:rPr>
              <w:t>工程名称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开工日期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完工日期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411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支架安装工程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</w:rPr>
              <w:t>20</w:t>
            </w: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Cs w:val="28"/>
              </w:rPr>
              <w:t>.</w:t>
            </w: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411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组件安装工程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2022，11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411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逆变器安装工程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2022，12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411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电缆敷设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2022，12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411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防雷接地工程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2022，12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411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并网柜安装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8"/>
                <w:lang w:val="en-US" w:eastAsia="zh-CN"/>
              </w:rPr>
              <w:t>2022，12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9500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三、综合评价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7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质量体系及实施情况</w:t>
            </w:r>
          </w:p>
        </w:tc>
        <w:tc>
          <w:tcPr>
            <w:tcW w:w="8789" w:type="dxa"/>
            <w:gridSpan w:val="7"/>
          </w:tcPr>
          <w:p>
            <w:pPr>
              <w:pStyle w:val="12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对施工项目部报审资料进行现场检查，主要检查现场实际情况是否与报审资料基本一致，是否满足工程实际需要。</w:t>
            </w:r>
          </w:p>
          <w:p>
            <w:pPr>
              <w:pStyle w:val="12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监理项目部应结合工地例会，定期对工程质量状况进行分析，提出改进质量的意见，对存在的质量薄弱环节和问题，提出整改要求。并落实上一次会议提出质量问题的整改结果。</w:t>
            </w:r>
          </w:p>
          <w:p>
            <w:pPr>
              <w:pStyle w:val="12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根据需要及组织召开质量专题会议，解决施工过程中出现的各种质量问题。</w:t>
            </w:r>
          </w:p>
          <w:p>
            <w:pPr>
              <w:pStyle w:val="12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检查现场质量管理人员持证上岗的情况，对资质不符合要求的人员，通知施工项目部予以调整。</w:t>
            </w:r>
          </w:p>
          <w:p>
            <w:pPr>
              <w:pStyle w:val="12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检查用于工程的主要测量器具、计量器具、施工机具的实际状况，确保检验有效、状态完好、满足要求。</w:t>
            </w:r>
          </w:p>
          <w:p>
            <w:pPr>
              <w:pStyle w:val="12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运用工序检查、见证、旁站、巡视、平行检验等质量控制手段。对工程施工质量进行检查、控制。按照 本工程各专业监理实施细则中的监理旁站内容对重点部位、关键工序进行旁站监理，及时填写《旁站监理记录表》。根据施工进展，对施工现场进行巡视，重点检查施工质量管理是否到位、施工作业是否满足规范和设计要求，发现问题及时整改。监理人员按照有关规定做好平行检验工作。工程开工、工序交接及隐蔽工程隐蔽前，监理项目部进行检查、确认。</w:t>
            </w:r>
          </w:p>
          <w:p>
            <w:pPr>
              <w:pStyle w:val="12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对施工过程中出现的质量缺陷，及时下达《监理工作联系单》或《监理工程师通知单》，要求责任单位限期整改，完成整改后监理项目部复验。</w:t>
            </w:r>
          </w:p>
          <w:p>
            <w:pPr>
              <w:pStyle w:val="12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督促施工项目部落实质量通病预防措施。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7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主要技术资料检查情况</w:t>
            </w:r>
          </w:p>
        </w:tc>
        <w:tc>
          <w:tcPr>
            <w:tcW w:w="8789" w:type="dxa"/>
            <w:gridSpan w:val="7"/>
          </w:tcPr>
          <w:p>
            <w:pPr>
              <w:pStyle w:val="12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工程开工前，审查施工项目部《施工组织设计》、《项目管理实施计划》、管理体系文件，并报业主项目部审批；审批《施工管理人员资格报审表》，并上报业主项目部备案。</w:t>
            </w:r>
          </w:p>
          <w:p>
            <w:pPr>
              <w:pStyle w:val="12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审查施工项目部报送的《一般施工（调试）方案报审表》，主要审查内容的完整性、工艺的合理性、方法的先进性、保证措施的针对性。</w:t>
            </w:r>
          </w:p>
          <w:p>
            <w:pPr>
              <w:pStyle w:val="12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查施工项目部《安全文明施工实施细则》、《安全文明施工设施配置申请表》、《安全文明施工措施实施申请表》、《特殊（专项）施工技术（措施）方案》、《施工管理应急预案》、关键项目或关键工序、危险、特殊作业安全施工措施/作业指导书及危险源辨识评价和预控措施，报业主项目部审批。</w:t>
            </w:r>
          </w:p>
          <w:p>
            <w:pPr>
              <w:pStyle w:val="12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施工项目部编报的重要作业、重点部位、关键工序的《特殊（专项）施工技术方案（措施）报审表》、特殊试验方案，主要审查内容的完整性、工艺的合理性、方法的先进性、保证措施的针对性。并向业主项目部报审。参见专题会审并监督实施，落实《变电站工程建设标准强制性条文执行检查及汇总表》。</w:t>
            </w:r>
          </w:p>
          <w:p>
            <w:pPr>
              <w:pStyle w:val="12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审查试验（检测）单位的资质，主要审查试验单位资质是否符合要求。</w:t>
            </w:r>
          </w:p>
          <w:p>
            <w:pPr>
              <w:pStyle w:val="12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审核施工项目部报审的《施工质量验收及评定项目划分表》，主要审查划分内容是否准确合理、是否有利于控制工程施工质量等内容，符合要求后向业主项目部报审。</w:t>
            </w:r>
          </w:p>
          <w:p>
            <w:pPr>
              <w:pStyle w:val="12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审核施工项目部报审的《主要测量计量器具/试验设备检验报审表》，主要审查机械/器具规格型号、数量是否满足施工需要、证明文件是否合格等内容。</w:t>
            </w:r>
          </w:p>
          <w:p>
            <w:pPr>
              <w:pStyle w:val="12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审查施工项目部提交的《工程质量通病预防措施报审表》，主要审查质量通病防治措施是否全面、措施是否具体、有效、有针对性，提出具体要求和监理防止控制措施，并列入《变电站工程专业监理实施细则》、</w:t>
            </w:r>
          </w:p>
          <w:p>
            <w:pPr>
              <w:pStyle w:val="12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重要施工设施（大型其中机械、施工用电、危险品库房等）投入使用前，依据《安全监理实施细则》对其进行安全检查。</w:t>
            </w:r>
          </w:p>
          <w:p>
            <w:pPr>
              <w:pStyle w:val="12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重大工序（工程项目开工、安装交付调试及整套启动）转接前，依据《安全监理实施细则》进行安全检查。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工程重点抽查情况</w:t>
            </w:r>
          </w:p>
        </w:tc>
        <w:tc>
          <w:tcPr>
            <w:tcW w:w="8789" w:type="dxa"/>
            <w:gridSpan w:val="7"/>
          </w:tcPr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督促检查施工项目部管理体系的运行情况，对于现场发生的问题及时签发《监理工程师通知单》、《监理工作联系单》要求施工项目部整改，并跟踪整改落实情况。根据业主的项目进度实施计划，督促施工项目部按业主的项目进度实施计划编制工程进度计划，审查合格后报业主项目部备案；对施工报审的物资供货计划进行审查，并报业主项目部备案。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检查工程开工条件，签署施工项目部《工程开工报审表》，报业主项目部审批；审查《分布（单位）工程开工报审》，确认单位工程开工条件。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依据《输变电工程安全文明施工标准》，督查施工项目部开展“安全管理制度化，安全设施标准化，现场布置条理化，机料摆放定置化，作业行为规范化，黄静影响最小化“工作情况，对存在的问题督促施工项目部闭环整改。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定期组织安全文明施工检查并召开安全工作例会，针对所存在的安全文明施工薄弱环节和问题，督促施工项目部闭环整改。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批施工项目部提出的《主要设备（材料/构配件）开箱申请表》，组织施工项目部、供应商、业主项目部参加开箱检验，签署《设备开箱检查记录表》。检查进场使用的材料、构配件、半成品质量状况及保管条件，不符合要求时，要求施工项目部立即将不合格产品清出施工现场。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运用工序检查、见证、旁站、巡视、平行检验等质量控制手段，对工程施工质量进行检查、控制。按照《旁站监理细则》对重点部位、关键工序进行旁站监理，及时填写《旁站监理记录表》。根据施工进展，对施工现场进行巡视。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重点检查施工质量管理是否到位、施工作业是否满足规范和设计要求，发现问题及时纠正。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施工项目部在工程施工过程中由于某种原因造成工程进度滞后，及时督促进行纠偏。需要对原进度计划进行调整时，监理项目部组织审查施工项目部填报的《施工进度计划调整报审表》，并报业主项目部备案。利用审签工程进度款来催促、推动工程进度按计划进行。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根据施工合同中的工程量，进度款支付的要求，审核施工项目部报送的工程量清单、进度款支付申请，报送业主项目部。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核实施工项目部的安全、质量、进度、造价和各项目标的实现情况，对施工单位作出综合评价。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auto"/>
              <w:ind w:left="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查项目：电气设备安装固定牢固、可靠；垂直度、水平度、安装尺寸偏差符合光伏呀；设备各部件完好无损；电气连接可靠，接触良好，；设备无锈蚀，油漆层或外镀层完整，相色标志准确，设备接地良好，各种电气距离满足要求。</w:t>
            </w:r>
          </w:p>
          <w:p>
            <w:pPr>
              <w:pStyle w:val="12"/>
              <w:spacing w:line="360" w:lineRule="auto"/>
              <w:ind w:firstLine="0"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0" w:type="dxa"/>
            <w:gridSpan w:val="9"/>
          </w:tcPr>
          <w:p>
            <w:pPr>
              <w:spacing w:line="600" w:lineRule="exact"/>
              <w:jc w:val="center"/>
              <w:rPr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/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四、主要改进建议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0" w:type="dxa"/>
            <w:gridSpan w:val="9"/>
          </w:tcPr>
          <w:p>
            <w:pPr>
              <w:pStyle w:val="18"/>
              <w:spacing w:line="600" w:lineRule="exact"/>
              <w:ind w:left="480"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1、光伏区个别线缆捆扎不牢固；</w:t>
            </w:r>
          </w:p>
          <w:p>
            <w:pPr>
              <w:pStyle w:val="18"/>
              <w:spacing w:line="600" w:lineRule="exact"/>
              <w:ind w:left="480" w:firstLine="0" w:firstLineChars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桥架盖板有部分氧化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pStyle w:val="18"/>
              <w:spacing w:line="600" w:lineRule="exact"/>
              <w:ind w:left="480" w:firstLine="0" w:firstLineChars="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3,图纸提供的滞后</w:t>
            </w:r>
          </w:p>
          <w:p>
            <w:pPr>
              <w:pStyle w:val="18"/>
              <w:spacing w:line="600" w:lineRule="exact"/>
              <w:ind w:left="480" w:firstLine="0" w:firstLineChars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材料进场资料未报审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0" w:type="dxa"/>
            <w:gridSpan w:val="9"/>
          </w:tcPr>
          <w:p>
            <w:pPr>
              <w:spacing w:line="600" w:lineRule="exact"/>
              <w:jc w:val="center"/>
              <w:rPr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五、结论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9500" w:type="dxa"/>
            <w:gridSpan w:val="9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胜华波汽车电器（滁州）有限公司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1009·8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KWp屋顶分布式光伏发电电站项目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目自20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日开工，在各参建单位的共同努力下，于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2023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元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月竣工。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工程经竣工验收，符合现行法律、规范要求；符合现行工程建设标准；符合设计文件要求；符合施工合同要求；单位工程合格，主体工程符合设计要求，工程整体质量合格。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500" w:type="dxa"/>
            <w:gridSpan w:val="9"/>
            <w:vAlign w:val="center"/>
          </w:tcPr>
          <w:p>
            <w:pPr>
              <w:widowControl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验收负责人：  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李小忘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日期：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bookmarkStart w:id="4" w:name="_GoBack"/>
            <w:bookmarkEnd w:id="4"/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       </w:t>
            </w:r>
          </w:p>
        </w:tc>
      </w:tr>
    </w:tbl>
    <w:p>
      <w:pPr>
        <w:widowControl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305607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EB4219"/>
    <w:multiLevelType w:val="multilevel"/>
    <w:tmpl w:val="1BEB421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066E18"/>
    <w:multiLevelType w:val="multilevel"/>
    <w:tmpl w:val="2A066E18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B61057"/>
    <w:multiLevelType w:val="multilevel"/>
    <w:tmpl w:val="49B61057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BE40D47"/>
    <w:multiLevelType w:val="multilevel"/>
    <w:tmpl w:val="5BE40D47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3354A2"/>
    <w:multiLevelType w:val="multilevel"/>
    <w:tmpl w:val="5C3354A2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5">
    <w:nsid w:val="6B600076"/>
    <w:multiLevelType w:val="multilevel"/>
    <w:tmpl w:val="6B600076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decimal"/>
      <w:lvlText w:val="%2.1"/>
      <w:lvlJc w:val="left"/>
      <w:pPr>
        <w:ind w:left="780" w:hanging="360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NmM1NDBkN2M1MzY0Zjg4ZjEyYWFmZTQzYWIzYjgifQ=="/>
  </w:docVars>
  <w:rsids>
    <w:rsidRoot w:val="00525355"/>
    <w:rsid w:val="00013D3F"/>
    <w:rsid w:val="000727A5"/>
    <w:rsid w:val="000B511E"/>
    <w:rsid w:val="000F391B"/>
    <w:rsid w:val="001030AA"/>
    <w:rsid w:val="00106134"/>
    <w:rsid w:val="00124A1A"/>
    <w:rsid w:val="001369CA"/>
    <w:rsid w:val="001614B6"/>
    <w:rsid w:val="0026316F"/>
    <w:rsid w:val="002F3478"/>
    <w:rsid w:val="003059D5"/>
    <w:rsid w:val="00321C11"/>
    <w:rsid w:val="003669F2"/>
    <w:rsid w:val="003700F5"/>
    <w:rsid w:val="00397FBE"/>
    <w:rsid w:val="004C71A1"/>
    <w:rsid w:val="005057D1"/>
    <w:rsid w:val="00525355"/>
    <w:rsid w:val="005D1832"/>
    <w:rsid w:val="005E521C"/>
    <w:rsid w:val="006F25F2"/>
    <w:rsid w:val="006F765E"/>
    <w:rsid w:val="007125D8"/>
    <w:rsid w:val="0080482B"/>
    <w:rsid w:val="00811436"/>
    <w:rsid w:val="00866139"/>
    <w:rsid w:val="008C46AF"/>
    <w:rsid w:val="0092338A"/>
    <w:rsid w:val="00A2625E"/>
    <w:rsid w:val="00A77E5B"/>
    <w:rsid w:val="00AB08E5"/>
    <w:rsid w:val="00AC739F"/>
    <w:rsid w:val="00B25DE9"/>
    <w:rsid w:val="00B73A01"/>
    <w:rsid w:val="00BD3BE3"/>
    <w:rsid w:val="00BE092B"/>
    <w:rsid w:val="00BF7FC2"/>
    <w:rsid w:val="00C35C08"/>
    <w:rsid w:val="00C55BE6"/>
    <w:rsid w:val="00C65F83"/>
    <w:rsid w:val="00C73415"/>
    <w:rsid w:val="00D619B2"/>
    <w:rsid w:val="00D75193"/>
    <w:rsid w:val="00E10C33"/>
    <w:rsid w:val="00E83DA7"/>
    <w:rsid w:val="00E840F9"/>
    <w:rsid w:val="00E95E90"/>
    <w:rsid w:val="00EB7CB6"/>
    <w:rsid w:val="00F56885"/>
    <w:rsid w:val="00F672A2"/>
    <w:rsid w:val="00F94727"/>
    <w:rsid w:val="01050BBA"/>
    <w:rsid w:val="032C5B0F"/>
    <w:rsid w:val="04B17441"/>
    <w:rsid w:val="058C4826"/>
    <w:rsid w:val="08237696"/>
    <w:rsid w:val="0AE3696C"/>
    <w:rsid w:val="0AF67B8B"/>
    <w:rsid w:val="0EEF4E8D"/>
    <w:rsid w:val="0F527130"/>
    <w:rsid w:val="11C0272D"/>
    <w:rsid w:val="124F359B"/>
    <w:rsid w:val="15582314"/>
    <w:rsid w:val="1B4E165A"/>
    <w:rsid w:val="1C1E7853"/>
    <w:rsid w:val="1C5F03E9"/>
    <w:rsid w:val="232F5F93"/>
    <w:rsid w:val="26650208"/>
    <w:rsid w:val="26EC5D68"/>
    <w:rsid w:val="29A92769"/>
    <w:rsid w:val="2A134397"/>
    <w:rsid w:val="2B3509E3"/>
    <w:rsid w:val="2E090714"/>
    <w:rsid w:val="2E6C29B7"/>
    <w:rsid w:val="309E3BD0"/>
    <w:rsid w:val="3554618D"/>
    <w:rsid w:val="373B27AA"/>
    <w:rsid w:val="3D232879"/>
    <w:rsid w:val="3D330D6D"/>
    <w:rsid w:val="3D3A6003"/>
    <w:rsid w:val="3FDE0DCC"/>
    <w:rsid w:val="4232628B"/>
    <w:rsid w:val="43AB165D"/>
    <w:rsid w:val="457643A8"/>
    <w:rsid w:val="471E345F"/>
    <w:rsid w:val="47274F4A"/>
    <w:rsid w:val="48395DAA"/>
    <w:rsid w:val="495751DE"/>
    <w:rsid w:val="4C6571D9"/>
    <w:rsid w:val="4FCF2FD6"/>
    <w:rsid w:val="52B95845"/>
    <w:rsid w:val="531D7AE8"/>
    <w:rsid w:val="55F27611"/>
    <w:rsid w:val="566D36D8"/>
    <w:rsid w:val="59314B0A"/>
    <w:rsid w:val="5DFC1348"/>
    <w:rsid w:val="5F80653E"/>
    <w:rsid w:val="61301827"/>
    <w:rsid w:val="617B75FE"/>
    <w:rsid w:val="61947D38"/>
    <w:rsid w:val="62761F3A"/>
    <w:rsid w:val="64B92407"/>
    <w:rsid w:val="65786768"/>
    <w:rsid w:val="68A10729"/>
    <w:rsid w:val="68E41578"/>
    <w:rsid w:val="6F416B95"/>
    <w:rsid w:val="6FF5122E"/>
    <w:rsid w:val="70AF3C5D"/>
    <w:rsid w:val="7237336F"/>
    <w:rsid w:val="730B244E"/>
    <w:rsid w:val="742234AF"/>
    <w:rsid w:val="75AE70A8"/>
    <w:rsid w:val="79D54FEF"/>
    <w:rsid w:val="7D201E41"/>
    <w:rsid w:val="7E26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link w:val="16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lang w:val="en-BZ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字符"/>
    <w:link w:val="8"/>
    <w:qFormat/>
    <w:uiPriority w:val="0"/>
    <w:rPr>
      <w:rFonts w:ascii="宋体" w:hAnsi="宋体"/>
      <w:lang w:val="en-BZ"/>
    </w:rPr>
  </w:style>
  <w:style w:type="character" w:customStyle="1" w:styleId="17">
    <w:name w:val="标题 Char1"/>
    <w:basedOn w:val="11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样式 标题 1 + (符号) 宋体 一号 加粗1"/>
    <w:basedOn w:val="4"/>
    <w:qFormat/>
    <w:uiPriority w:val="0"/>
    <w:pPr>
      <w:keepLines w:val="0"/>
      <w:spacing w:before="0" w:after="0" w:line="240" w:lineRule="auto"/>
      <w:jc w:val="center"/>
    </w:pPr>
    <w:rPr>
      <w:rFonts w:ascii="Times New Roman" w:hAnsi="Times New Roman" w:eastAsia="黑体" w:cs="Times New Roman"/>
      <w:bCs w:val="0"/>
      <w:kern w:val="0"/>
      <w:sz w:val="52"/>
      <w:szCs w:val="20"/>
    </w:rPr>
  </w:style>
  <w:style w:type="character" w:customStyle="1" w:styleId="20">
    <w:name w:val="标题 1 字符"/>
    <w:basedOn w:val="11"/>
    <w:link w:val="4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4353</Words>
  <Characters>4668</Characters>
  <Lines>37</Lines>
  <Paragraphs>10</Paragraphs>
  <TotalTime>46</TotalTime>
  <ScaleCrop>false</ScaleCrop>
  <LinksUpToDate>false</LinksUpToDate>
  <CharactersWithSpaces>5014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2014-11-04T07:14:00Z</dcterms:created>
  <dc:creator>DELL-N4050</dc:creator>
  <cp:keywords>正衡监理</cp:keywords>
  <cp:lastModifiedBy>Administrator</cp:lastModifiedBy>
  <cp:lastPrinted>2023-01-01T03:43:48Z</cp:lastPrinted>
  <dcterms:modified xsi:type="dcterms:W3CDTF">2023-01-01T03:47:35Z</dcterms:modified>
  <dc:title>初检报告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AF59DD43A7A84F96ACBD3C4294AD7111</vt:lpwstr>
  </property>
</Properties>
</file>