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jc w:val="right"/>
        <w:rPr>
          <w:rFonts w:asciiTheme="majorEastAsia" w:hAnsiTheme="majorEastAsia" w:eastAsiaTheme="majorEastAsia"/>
          <w:kern w:val="21"/>
          <w:szCs w:val="21"/>
        </w:rPr>
      </w:pPr>
    </w:p>
    <w:p>
      <w:pPr>
        <w:topLinePunct/>
        <w:jc w:val="right"/>
        <w:rPr>
          <w:rFonts w:asciiTheme="majorEastAsia" w:hAnsiTheme="majorEastAsia" w:eastAsiaTheme="majorEastAsia"/>
          <w:kern w:val="21"/>
          <w:szCs w:val="21"/>
        </w:rPr>
      </w:pPr>
    </w:p>
    <w:p>
      <w:pPr>
        <w:topLinePunct/>
        <w:jc w:val="right"/>
        <w:rPr>
          <w:rFonts w:asciiTheme="majorEastAsia" w:hAnsiTheme="majorEastAsia" w:eastAsiaTheme="majorEastAsia"/>
          <w:kern w:val="21"/>
          <w:szCs w:val="21"/>
        </w:rPr>
      </w:pPr>
    </w:p>
    <w:p>
      <w:pPr>
        <w:topLinePunct/>
        <w:jc w:val="right"/>
        <w:rPr>
          <w:rFonts w:asciiTheme="majorEastAsia" w:hAnsiTheme="majorEastAsia" w:eastAsiaTheme="majorEastAsia"/>
          <w:kern w:val="21"/>
          <w:szCs w:val="21"/>
        </w:rPr>
      </w:pPr>
    </w:p>
    <w:p>
      <w:pPr>
        <w:spacing w:line="480" w:lineRule="auto"/>
        <w:jc w:val="center"/>
        <w:rPr>
          <w:rFonts w:hint="eastAsia" w:ascii="宋体" w:hAnsi="宋体" w:cs="宋体"/>
          <w:b/>
          <w:bCs/>
          <w:kern w:val="28"/>
          <w:sz w:val="48"/>
          <w:szCs w:val="4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cs="宋体"/>
          <w:color w:val="000000"/>
          <w:kern w:val="21"/>
          <w:sz w:val="36"/>
          <w:szCs w:val="36"/>
          <w:lang w:eastAsia="zh-CN"/>
        </w:rPr>
        <w:t>天长市</w:t>
      </w:r>
      <w:r>
        <w:rPr>
          <w:rFonts w:hint="eastAsia" w:ascii="宋体" w:hAnsi="宋体" w:cs="宋体"/>
          <w:color w:val="000000"/>
          <w:kern w:val="21"/>
          <w:sz w:val="36"/>
          <w:szCs w:val="36"/>
          <w:lang w:val="en-US" w:eastAsia="zh-CN"/>
        </w:rPr>
        <w:t>华晖</w:t>
      </w:r>
      <w:r>
        <w:rPr>
          <w:rFonts w:hint="eastAsia" w:ascii="宋体" w:hAnsi="宋体" w:eastAsia="宋体" w:cs="宋体"/>
          <w:color w:val="000000"/>
          <w:kern w:val="21"/>
          <w:sz w:val="36"/>
          <w:szCs w:val="36"/>
          <w:lang w:val="en-US" w:eastAsia="zh-CN"/>
        </w:rPr>
        <w:t>光</w:t>
      </w:r>
      <w:r>
        <w:rPr>
          <w:rFonts w:hint="eastAsia" w:ascii="宋体" w:hAnsi="宋体" w:cs="宋体"/>
          <w:color w:val="000000"/>
          <w:kern w:val="21"/>
          <w:sz w:val="36"/>
          <w:szCs w:val="36"/>
          <w:lang w:val="en-US" w:eastAsia="zh-CN"/>
        </w:rPr>
        <w:t>伏电力有限公司300MW渔光互补</w:t>
      </w:r>
      <w:r>
        <w:rPr>
          <w:rFonts w:hint="eastAsia" w:ascii="宋体" w:hAnsi="宋体" w:eastAsia="宋体" w:cs="宋体"/>
          <w:color w:val="000000"/>
          <w:kern w:val="21"/>
          <w:sz w:val="36"/>
          <w:szCs w:val="36"/>
          <w:lang w:val="en-US" w:eastAsia="zh-CN"/>
        </w:rPr>
        <w:t>发电项目</w:t>
      </w:r>
    </w:p>
    <w:p>
      <w:pPr>
        <w:pStyle w:val="8"/>
        <w:rPr>
          <w:rFonts w:hint="default" w:ascii="宋体" w:hAnsi="宋体" w:cs="宋体"/>
          <w:b w:val="0"/>
          <w:bCs w:val="0"/>
          <w:color w:val="00000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kern w:val="21"/>
          <w:sz w:val="36"/>
          <w:szCs w:val="36"/>
          <w:lang w:val="en-US" w:eastAsia="zh-CN"/>
        </w:rPr>
        <w:t xml:space="preserve">                  （二期70MW）</w:t>
      </w:r>
    </w:p>
    <w:p>
      <w:pPr>
        <w:rPr>
          <w:rFonts w:hint="eastAsia" w:ascii="宋体" w:hAnsi="宋体" w:cs="宋体"/>
          <w:b w:val="0"/>
          <w:bCs w:val="0"/>
          <w:color w:val="000000"/>
          <w:kern w:val="21"/>
          <w:sz w:val="36"/>
          <w:szCs w:val="36"/>
          <w:lang w:val="en-US" w:eastAsia="zh-CN"/>
        </w:rPr>
      </w:pPr>
    </w:p>
    <w:p>
      <w:pPr>
        <w:pStyle w:val="8"/>
        <w:rPr>
          <w:rFonts w:hint="eastAsia" w:ascii="宋体" w:hAnsi="宋体" w:cs="宋体"/>
          <w:b w:val="0"/>
          <w:bCs w:val="0"/>
          <w:color w:val="000000"/>
          <w:kern w:val="21"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 w:val="0"/>
          <w:bCs w:val="0"/>
          <w:color w:val="000000"/>
          <w:kern w:val="21"/>
          <w:sz w:val="36"/>
          <w:szCs w:val="36"/>
          <w:lang w:val="en-US" w:eastAsia="zh-CN"/>
        </w:rPr>
      </w:pPr>
    </w:p>
    <w:p>
      <w:pPr>
        <w:pStyle w:val="8"/>
        <w:rPr>
          <w:rFonts w:hint="eastAsia"/>
          <w:lang w:val="en-US" w:eastAsia="zh-CN"/>
        </w:rPr>
      </w:pPr>
    </w:p>
    <w:p>
      <w:pPr>
        <w:topLinePunct/>
        <w:jc w:val="center"/>
        <w:rPr>
          <w:kern w:val="21"/>
          <w:sz w:val="36"/>
          <w:szCs w:val="36"/>
        </w:rPr>
      </w:pPr>
      <w:r>
        <w:rPr>
          <w:rFonts w:hint="eastAsia" w:ascii="方正小标宋_GBK" w:hAnsi="宋体" w:eastAsia="方正小标宋_GBK"/>
          <w:b w:val="0"/>
          <w:bCs w:val="0"/>
          <w:kern w:val="21"/>
          <w:sz w:val="36"/>
          <w:szCs w:val="36"/>
        </w:rPr>
        <w:t>监 理 初 检 报 告</w:t>
      </w:r>
    </w:p>
    <w:p>
      <w:pPr>
        <w:topLinePunct/>
        <w:ind w:firstLine="420"/>
        <w:rPr>
          <w:kern w:val="21"/>
          <w:sz w:val="36"/>
          <w:szCs w:val="36"/>
        </w:rPr>
      </w:pPr>
    </w:p>
    <w:p>
      <w:pPr>
        <w:topLinePunct/>
        <w:rPr>
          <w:kern w:val="21"/>
          <w:sz w:val="36"/>
          <w:szCs w:val="36"/>
        </w:rPr>
      </w:pPr>
    </w:p>
    <w:p>
      <w:pPr>
        <w:topLinePunct/>
        <w:ind w:firstLine="420"/>
        <w:rPr>
          <w:kern w:val="21"/>
          <w:sz w:val="36"/>
          <w:szCs w:val="36"/>
        </w:rPr>
      </w:pPr>
    </w:p>
    <w:p>
      <w:pPr>
        <w:topLinePunct/>
        <w:rPr>
          <w:kern w:val="21"/>
          <w:sz w:val="36"/>
          <w:szCs w:val="36"/>
        </w:rPr>
      </w:pPr>
    </w:p>
    <w:p>
      <w:pPr>
        <w:topLinePunct/>
        <w:ind w:firstLine="420"/>
        <w:rPr>
          <w:kern w:val="21"/>
          <w:sz w:val="36"/>
          <w:szCs w:val="36"/>
        </w:rPr>
      </w:pPr>
    </w:p>
    <w:p>
      <w:pPr>
        <w:topLinePunct/>
        <w:ind w:firstLine="420"/>
        <w:rPr>
          <w:kern w:val="21"/>
          <w:sz w:val="36"/>
          <w:szCs w:val="36"/>
        </w:rPr>
      </w:pPr>
    </w:p>
    <w:p>
      <w:pPr>
        <w:spacing w:line="480" w:lineRule="auto"/>
        <w:jc w:val="center"/>
        <w:rPr>
          <w:rFonts w:hint="eastAsia" w:ascii="宋体" w:hAnsi="宋体" w:cs="宋体"/>
          <w:bCs/>
          <w:kern w:val="28"/>
          <w:sz w:val="36"/>
          <w:szCs w:val="36"/>
        </w:rPr>
      </w:pPr>
      <w:r>
        <w:rPr>
          <w:rFonts w:hint="eastAsia" w:ascii="宋体" w:hAnsi="宋体" w:cs="宋体"/>
          <w:bCs/>
          <w:kern w:val="28"/>
          <w:sz w:val="36"/>
          <w:szCs w:val="36"/>
        </w:rPr>
        <w:t>常州正衡电力工程监理有限公司</w:t>
      </w:r>
    </w:p>
    <w:p>
      <w:pPr>
        <w:spacing w:line="480" w:lineRule="auto"/>
        <w:jc w:val="center"/>
        <w:rPr>
          <w:rFonts w:hint="eastAsia" w:ascii="宋体" w:hAnsi="宋体" w:cs="宋体"/>
          <w:bCs/>
          <w:kern w:val="28"/>
          <w:sz w:val="36"/>
          <w:szCs w:val="36"/>
          <w:lang w:val="en-US" w:eastAsia="zh-CN"/>
        </w:rPr>
      </w:pPr>
    </w:p>
    <w:p>
      <w:pPr>
        <w:spacing w:line="480" w:lineRule="auto"/>
        <w:jc w:val="center"/>
        <w:rPr>
          <w:rFonts w:hint="eastAsia" w:ascii="宋体" w:hAnsi="宋体"/>
          <w:b/>
          <w:bCs/>
          <w:kern w:val="0"/>
          <w:sz w:val="36"/>
          <w:szCs w:val="36"/>
        </w:rPr>
      </w:pPr>
      <w:r>
        <w:rPr>
          <w:rFonts w:hint="eastAsia" w:ascii="宋体" w:hAnsi="宋体" w:cs="宋体"/>
          <w:bCs/>
          <w:kern w:val="28"/>
          <w:sz w:val="36"/>
          <w:szCs w:val="36"/>
        </w:rPr>
        <w:t>20</w:t>
      </w:r>
      <w:r>
        <w:rPr>
          <w:rFonts w:hint="eastAsia" w:ascii="宋体" w:hAnsi="宋体" w:cs="宋体"/>
          <w:bCs/>
          <w:kern w:val="28"/>
          <w:sz w:val="36"/>
          <w:szCs w:val="36"/>
          <w:lang w:val="en-US" w:eastAsia="zh-CN"/>
        </w:rPr>
        <w:t>24</w:t>
      </w:r>
      <w:r>
        <w:rPr>
          <w:rFonts w:hint="eastAsia" w:ascii="宋体" w:hAnsi="宋体" w:cs="宋体"/>
          <w:bCs/>
          <w:kern w:val="28"/>
          <w:sz w:val="36"/>
          <w:szCs w:val="36"/>
        </w:rPr>
        <w:t>年</w:t>
      </w:r>
      <w:r>
        <w:rPr>
          <w:rFonts w:hint="eastAsia" w:ascii="宋体" w:hAnsi="宋体" w:cs="宋体"/>
          <w:bCs/>
          <w:kern w:val="28"/>
          <w:sz w:val="36"/>
          <w:szCs w:val="36"/>
          <w:lang w:val="en-US" w:eastAsia="zh-CN"/>
        </w:rPr>
        <w:t>01</w:t>
      </w:r>
      <w:r>
        <w:rPr>
          <w:rFonts w:hint="eastAsia" w:ascii="宋体" w:hAnsi="宋体" w:cs="宋体"/>
          <w:bCs/>
          <w:kern w:val="28"/>
          <w:sz w:val="36"/>
          <w:szCs w:val="36"/>
        </w:rPr>
        <w:t>月</w:t>
      </w:r>
    </w:p>
    <w:p>
      <w:pPr>
        <w:rPr>
          <w:sz w:val="36"/>
          <w:szCs w:val="36"/>
        </w:rPr>
      </w:pPr>
    </w:p>
    <w:p>
      <w:pPr>
        <w:pStyle w:val="8"/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pStyle w:val="8"/>
      </w:pPr>
    </w:p>
    <w:p/>
    <w:tbl>
      <w:tblPr>
        <w:tblStyle w:val="11"/>
        <w:tblW w:w="9467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272"/>
        <w:gridCol w:w="516"/>
        <w:gridCol w:w="328"/>
        <w:gridCol w:w="2446"/>
        <w:gridCol w:w="106"/>
        <w:gridCol w:w="1800"/>
        <w:gridCol w:w="299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9467" w:type="dxa"/>
            <w:gridSpan w:val="7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一、检验概况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1272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00" w:after="10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工程名称</w:t>
            </w:r>
          </w:p>
        </w:tc>
        <w:tc>
          <w:tcPr>
            <w:tcW w:w="819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Theme="minorEastAsia" w:hAnsiTheme="minorEastAsia" w:eastAsiaTheme="minorEastAsia"/>
                <w:kern w:val="21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21"/>
                <w:sz w:val="21"/>
                <w:szCs w:val="21"/>
                <w:lang w:val="en-US" w:eastAsia="zh-CN"/>
              </w:rPr>
              <w:t>天长市华晖光伏电力有限公司300MW</w:t>
            </w:r>
            <w:r>
              <w:rPr>
                <w:rFonts w:hint="eastAsia" w:ascii="宋体" w:hAnsi="宋体" w:eastAsia="宋体" w:cs="宋体"/>
                <w:color w:val="000000"/>
                <w:kern w:val="21"/>
                <w:sz w:val="21"/>
                <w:szCs w:val="21"/>
                <w:lang w:val="en-US" w:eastAsia="zh-CN"/>
              </w:rPr>
              <w:t>渔光互补发电项目</w:t>
            </w:r>
            <w:r>
              <w:rPr>
                <w:rFonts w:hint="eastAsia" w:ascii="宋体" w:hAnsi="宋体" w:cs="宋体"/>
                <w:color w:val="000000"/>
                <w:kern w:val="21"/>
                <w:sz w:val="21"/>
                <w:szCs w:val="21"/>
                <w:lang w:val="en-US" w:eastAsia="zh-CN"/>
              </w:rPr>
              <w:t>（二期70MW）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jc w:val="center"/>
        </w:trPr>
        <w:tc>
          <w:tcPr>
            <w:tcW w:w="1272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验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/>
                <w:sz w:val="21"/>
                <w:szCs w:val="21"/>
              </w:rPr>
              <w:t>评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/>
                <w:sz w:val="21"/>
                <w:szCs w:val="21"/>
              </w:rPr>
              <w:t>依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/>
                <w:sz w:val="21"/>
                <w:szCs w:val="21"/>
              </w:rPr>
              <w:t>据</w:t>
            </w:r>
          </w:p>
        </w:tc>
        <w:tc>
          <w:tcPr>
            <w:tcW w:w="819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1、本工程</w:t>
            </w:r>
            <w:r>
              <w:rPr>
                <w:rFonts w:hint="eastAsia" w:ascii="宋体" w:hAnsi="宋体"/>
                <w:sz w:val="21"/>
                <w:szCs w:val="21"/>
              </w:rPr>
              <w:t>勘察、设计文件；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2、本工程承包合同、监理合同；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3、</w:t>
            </w:r>
            <w:r>
              <w:rPr>
                <w:rFonts w:hint="eastAsia" w:ascii="宋体" w:hAnsi="宋体"/>
                <w:sz w:val="21"/>
                <w:szCs w:val="21"/>
              </w:rPr>
              <w:t>《建筑地基基础工程施工质量验收规范》（GB50202-2013）；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4、</w:t>
            </w:r>
            <w:r>
              <w:rPr>
                <w:rFonts w:hint="eastAsia" w:ascii="宋体" w:hAnsi="宋体"/>
                <w:sz w:val="21"/>
                <w:szCs w:val="21"/>
              </w:rPr>
              <w:t>《混凝土结构工程施工质量验收规范》GB50204-2011；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rFonts w:hint="eastAsia" w:ascii="宋体" w:hAnsi="宋体" w:cs="宋体"/>
                <w:kern w:val="28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5、《</w:t>
            </w:r>
            <w:r>
              <w:rPr>
                <w:rFonts w:hint="eastAsia" w:ascii="宋体" w:hAnsi="宋体" w:cs="宋体"/>
                <w:kern w:val="28"/>
                <w:sz w:val="21"/>
                <w:szCs w:val="21"/>
              </w:rPr>
              <w:t>电力建设施工质量验收及评定规程</w:t>
            </w:r>
            <w:r>
              <w:rPr>
                <w:rFonts w:hint="eastAsia" w:ascii="宋体" w:hAnsi="宋体"/>
                <w:sz w:val="21"/>
                <w:szCs w:val="21"/>
              </w:rPr>
              <w:t>》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DLT5210-2012</w:t>
            </w:r>
            <w:r>
              <w:rPr>
                <w:rFonts w:hint="eastAsia" w:ascii="宋体" w:hAnsi="宋体" w:cs="宋体"/>
                <w:kern w:val="28"/>
                <w:sz w:val="21"/>
                <w:szCs w:val="21"/>
              </w:rPr>
              <w:t>；</w:t>
            </w:r>
          </w:p>
          <w:p>
            <w:pPr>
              <w:topLinePunct/>
              <w:snapToGrid w:val="0"/>
              <w:spacing w:before="120" w:after="120"/>
              <w:jc w:val="left"/>
            </w:pPr>
            <w:r>
              <w:rPr>
                <w:rFonts w:hint="eastAsia" w:ascii="宋体" w:hAnsi="宋体" w:cs="宋体"/>
                <w:kern w:val="28"/>
                <w:sz w:val="21"/>
                <w:szCs w:val="21"/>
                <w:lang w:val="en-US" w:eastAsia="zh-CN"/>
              </w:rPr>
              <w:t>6《电气装置安装工程质量检验及评定规程》DL/T5161-2016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</w:rPr>
              <w:t>《光伏发电工程验收规范》GB50796-2012；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</w:rPr>
              <w:t>《电气装置安装工程电缆线路施工及验收规范》GB50168-2006；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 w:ascii="宋体" w:hAnsi="宋体" w:cs="宋体"/>
                <w:kern w:val="28"/>
                <w:sz w:val="21"/>
                <w:szCs w:val="21"/>
              </w:rPr>
              <w:t>《建筑工程施工质量验收统一标准》(GB50300-2001)；</w:t>
            </w:r>
          </w:p>
          <w:p>
            <w:pPr>
              <w:topLinePunct/>
              <w:snapToGrid w:val="0"/>
              <w:spacing w:before="120" w:after="120"/>
              <w:jc w:val="left"/>
              <w:rPr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、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21"/>
                <w:sz w:val="21"/>
                <w:szCs w:val="21"/>
                <w:lang w:val="en-US" w:eastAsia="zh-CN"/>
              </w:rPr>
              <w:t>施工合同技术文件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与本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项目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有关的其它文件；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9467" w:type="dxa"/>
            <w:gridSpan w:val="7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20" w:after="120" w:line="360" w:lineRule="auto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二、工程概况：</w:t>
            </w:r>
          </w:p>
          <w:p>
            <w:pPr>
              <w:pStyle w:val="6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156" w:after="120" w:line="240" w:lineRule="atLeast"/>
              <w:textAlignment w:val="baseline"/>
              <w:rPr>
                <w:rFonts w:hint="eastAsia" w:ascii="宋体" w:hAnsi="宋体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 xml:space="preserve">建设单位: </w:t>
            </w:r>
            <w:r>
              <w:rPr>
                <w:rFonts w:hint="eastAsia" w:ascii="宋体" w:hAnsi="宋体" w:cs="宋体"/>
                <w:color w:val="000000"/>
                <w:kern w:val="21"/>
                <w:sz w:val="21"/>
                <w:szCs w:val="21"/>
                <w:lang w:val="en-US" w:eastAsia="zh-CN"/>
              </w:rPr>
              <w:t>天长市华晖光伏电力有限公司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设计单位：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中国能源建设集团安徽电力设计院有限公司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监理单位：</w:t>
            </w:r>
            <w:r>
              <w:rPr>
                <w:rFonts w:hint="eastAsia" w:ascii="宋体" w:hAnsi="宋体"/>
                <w:sz w:val="21"/>
                <w:szCs w:val="21"/>
              </w:rPr>
              <w:t>常州正衡电力工程监理有限公司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>总承包单位名称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；中铁电气化局集团第一工程有限公司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auto"/>
              <w:rPr>
                <w:rFonts w:hint="eastAsia" w:ascii="宋体" w:hAnsi="宋体"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施工单位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同上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178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设计单位</w:t>
            </w:r>
          </w:p>
        </w:tc>
        <w:tc>
          <w:tcPr>
            <w:tcW w:w="28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中国能源建设集团安徽电力设计院有限公司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监理单位</w:t>
            </w:r>
          </w:p>
        </w:tc>
        <w:tc>
          <w:tcPr>
            <w:tcW w:w="2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常州正衡电力工程监理有限公司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178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  <w:t>总承包单位名称</w:t>
            </w:r>
          </w:p>
        </w:tc>
        <w:tc>
          <w:tcPr>
            <w:tcW w:w="28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中铁电气化局集团第一工程有限公司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</w:rPr>
              <w:t>施工单位</w:t>
            </w:r>
          </w:p>
        </w:tc>
        <w:tc>
          <w:tcPr>
            <w:tcW w:w="2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中铁电气化局集团第一工程有限公司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9467" w:type="dxa"/>
            <w:gridSpan w:val="7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工程规模概况</w:t>
            </w:r>
          </w:p>
          <w:p>
            <w:pPr>
              <w:pStyle w:val="21"/>
              <w:adjustRightInd w:val="0"/>
              <w:snapToGrid w:val="0"/>
              <w:spacing w:line="440" w:lineRule="exact"/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  <w:t>天长市华晖光伏电力有限公司300MW渔光互补光伏发电项目（二期70MW）位于高邮湖西南侧洋湖区域及周边水域。本期项目装机容量为70MW，场区占地面积约1200亩。本期项目配套电化学储能电站容量为10.2MW/20.4MWh，采取租赁方式（肥东县40MW/40MWh储能电站项目（一期））。</w:t>
            </w:r>
          </w:p>
          <w:p>
            <w:pPr>
              <w:pStyle w:val="21"/>
              <w:adjustRightInd w:val="0"/>
              <w:snapToGrid w:val="0"/>
              <w:spacing w:line="440" w:lineRule="exact"/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  <w:t>项目采用分块发电、集中并网方案。光伏组件采用540Wp/440Wp单晶硅双面组件，共175760块。光伏支架基础采用PHC300（AB）-70预应力管桩，共约23000根。光伏支架采用固定式支架，倾角为15°。光伏场区共分为20个光伏发电单元，配置20台3300kVA箱逆变一体机，配置330台直流汇流箱。箱逆变一体机基础采用PHC400（AB）-95预应力管桩架高钢平台型式，共120根。</w:t>
            </w:r>
          </w:p>
          <w:p>
            <w:pPr>
              <w:pStyle w:val="21"/>
              <w:adjustRightInd w:val="0"/>
              <w:snapToGrid w:val="0"/>
              <w:spacing w:line="440" w:lineRule="exact"/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  <w:t>35kV集电线路采用电缆线路，共4回，采用直埋和电缆桥架方式敷设，总长度约12.2km，其中直埋电缆约1.08km。</w:t>
            </w:r>
          </w:p>
          <w:p>
            <w:pPr>
              <w:pStyle w:val="21"/>
              <w:adjustRightInd w:val="0"/>
              <w:snapToGrid w:val="0"/>
              <w:spacing w:line="440" w:lineRule="exact"/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  <w:t>本期升压站在已建成的原一期项目升压站内进行扩建，其中110kVGIS的2号主变间隔已在一期项目安装完成。土建工程主要包括：2号主变基础、SVG无功补偿装置基础、35kV配电装置预制舱基础、接地变小电阻成套装置基础、35kV户外母线桥支架基础。电气安装工程主要包括：安装1台110kV/35kV 75MVA的双绕组有载调压变压器，1台35kV接地变小电阻成套装置，1台容量为±12MVar的SVG无功补偿装置（包括35kV户外配电装置及干式电抗器），35kV高压开关柜8面（1面主变进线柜、4面集电线路进线柜，1面母线电压互感器柜、1面SVG进线柜和1面接地变进线柜）。与一次电气设备配套的二次设备布置于原一期项目综合楼二层。</w:t>
            </w:r>
          </w:p>
          <w:p>
            <w:pPr>
              <w:spacing w:line="360" w:lineRule="auto"/>
              <w:ind w:firstLine="560" w:firstLineChars="200"/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Cs/>
                <w:snapToGrid w:val="0"/>
                <w:kern w:val="0"/>
                <w:sz w:val="28"/>
                <w:szCs w:val="28"/>
                <w:highlight w:val="none"/>
                <w:lang w:val="en-US" w:eastAsia="zh-CN" w:bidi="ar-SA"/>
              </w:rPr>
              <w:t>光伏发电单元输出经箱逆变一体机升压至35kV，经4回35kV电缆集电线路汇流至升压站35kVⅡ段母线，经2号主变压器升压后汇入原一期项目110kV母线，与一期项目共用1回110kV送出线路接至220kV千秋变110kV侧母线。</w:t>
            </w:r>
          </w:p>
          <w:p>
            <w:pPr>
              <w:spacing w:line="360" w:lineRule="auto"/>
              <w:ind w:firstLine="420" w:firstLineChars="200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116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分部工程名称</w:t>
            </w:r>
          </w:p>
        </w:tc>
        <w:tc>
          <w:tcPr>
            <w:tcW w:w="2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开工时间</w:t>
            </w:r>
          </w:p>
        </w:tc>
        <w:tc>
          <w:tcPr>
            <w:tcW w:w="19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完工时间</w:t>
            </w:r>
          </w:p>
        </w:tc>
        <w:tc>
          <w:tcPr>
            <w:tcW w:w="2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20" w:after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备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116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土建工程</w:t>
            </w:r>
          </w:p>
        </w:tc>
        <w:tc>
          <w:tcPr>
            <w:tcW w:w="2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03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  <w:tc>
          <w:tcPr>
            <w:tcW w:w="19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  <w:tc>
          <w:tcPr>
            <w:tcW w:w="2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116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电气工程</w:t>
            </w:r>
          </w:p>
        </w:tc>
        <w:tc>
          <w:tcPr>
            <w:tcW w:w="2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05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  <w:tc>
          <w:tcPr>
            <w:tcW w:w="19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ind w:firstLine="210" w:firstLineChars="100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  <w:tc>
          <w:tcPr>
            <w:tcW w:w="2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310" w:hRule="atLeast"/>
          <w:jc w:val="center"/>
        </w:trPr>
        <w:tc>
          <w:tcPr>
            <w:tcW w:w="9467" w:type="dxa"/>
            <w:gridSpan w:val="7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16" w:after="116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参加验收人员：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监理单位：王立杰  周飞  李小忘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业主单位：王亚飞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运维单位：杨伟龙  居小东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施工单位：赵立军  郭云龙</w:t>
            </w:r>
          </w:p>
        </w:tc>
      </w:tr>
    </w:tbl>
    <w:p/>
    <w:p>
      <w:pPr>
        <w:pStyle w:val="8"/>
      </w:pPr>
    </w:p>
    <w:p/>
    <w:p>
      <w:pPr>
        <w:pStyle w:val="8"/>
      </w:pPr>
    </w:p>
    <w:p/>
    <w:p>
      <w:pPr>
        <w:pStyle w:val="8"/>
      </w:pPr>
    </w:p>
    <w:p/>
    <w:p>
      <w:pPr>
        <w:pStyle w:val="8"/>
      </w:pPr>
    </w:p>
    <w:p/>
    <w:p>
      <w:pPr>
        <w:pStyle w:val="8"/>
      </w:pPr>
    </w:p>
    <w:p/>
    <w:p>
      <w:pPr>
        <w:pStyle w:val="8"/>
      </w:pPr>
    </w:p>
    <w:p/>
    <w:p>
      <w:pPr>
        <w:pStyle w:val="8"/>
      </w:pPr>
    </w:p>
    <w:p/>
    <w:p>
      <w:pPr>
        <w:pStyle w:val="8"/>
      </w:pPr>
    </w:p>
    <w:p>
      <w:pPr>
        <w:pStyle w:val="8"/>
      </w:pPr>
    </w:p>
    <w:p/>
    <w:p>
      <w:pPr>
        <w:pStyle w:val="8"/>
      </w:pPr>
    </w:p>
    <w:p/>
    <w:p/>
    <w:p>
      <w:pPr>
        <w:pStyle w:val="8"/>
      </w:pPr>
    </w:p>
    <w:tbl>
      <w:tblPr>
        <w:tblStyle w:val="11"/>
        <w:tblW w:w="9467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699"/>
        <w:gridCol w:w="876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946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30" w:after="130"/>
              <w:ind w:firstLine="211" w:firstLineChars="100"/>
              <w:rPr>
                <w:sz w:val="21"/>
                <w:szCs w:val="21"/>
              </w:rPr>
            </w:pPr>
            <w:r>
              <w:rPr>
                <w:rFonts w:hint="eastAsia" w:hAnsi="宋体"/>
                <w:b/>
                <w:bCs/>
                <w:sz w:val="21"/>
                <w:szCs w:val="21"/>
              </w:rPr>
              <w:t>三、综合评价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jc w:val="center"/>
        </w:trPr>
        <w:tc>
          <w:tcPr>
            <w:tcW w:w="69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30" w:after="130"/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质量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体系</w:t>
            </w:r>
            <w:r>
              <w:rPr>
                <w:rFonts w:hAnsi="宋体"/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及实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施情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况</w:t>
            </w:r>
          </w:p>
        </w:tc>
        <w:tc>
          <w:tcPr>
            <w:tcW w:w="8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30" w:after="130"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1、工程开工前各参建单位已进行图纸会检，详见图纸会检纪要；</w:t>
            </w:r>
          </w:p>
          <w:p>
            <w:pPr>
              <w:topLinePunct/>
              <w:snapToGrid w:val="0"/>
              <w:spacing w:before="130" w:after="130"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2、施工前期策划文件齐全，符合工程实际，审批规范，对施工起到有效指导作用；</w:t>
            </w:r>
          </w:p>
          <w:p>
            <w:pPr>
              <w:topLinePunct/>
              <w:snapToGrid w:val="0"/>
              <w:spacing w:before="130" w:after="130"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3、质量管理机构设置及人员配备齐全，质量目标明确，特殊工种人员能持证上岗；</w:t>
            </w:r>
          </w:p>
          <w:p>
            <w:pPr>
              <w:topLinePunct/>
              <w:snapToGrid w:val="0"/>
              <w:spacing w:before="130" w:after="130"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4、施工前已对作业人员进行质量技术交底，施工员、质检员在场，分工明确合理；</w:t>
            </w:r>
          </w:p>
          <w:p>
            <w:pPr>
              <w:topLinePunct/>
              <w:snapToGrid w:val="0"/>
              <w:spacing w:before="130" w:after="130"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5、计量器具及称量装置在有效期内使用，在全过程中严把质量关；</w:t>
            </w:r>
          </w:p>
          <w:p>
            <w:pPr>
              <w:topLinePunct/>
              <w:snapToGrid w:val="0"/>
              <w:spacing w:before="130" w:after="130"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6、本工程质保体系健全，质量管理程序到位并符合要求；</w:t>
            </w:r>
          </w:p>
          <w:p>
            <w:pPr>
              <w:topLinePunct/>
              <w:snapToGrid w:val="0"/>
              <w:spacing w:before="130" w:after="130"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7、施工单位进行了三级自检，监理单位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对</w:t>
            </w:r>
            <w:r>
              <w:rPr>
                <w:rFonts w:hint="eastAsia" w:ascii="宋体" w:hAnsi="宋体" w:cs="宋体"/>
                <w:color w:val="000000"/>
                <w:kern w:val="21"/>
                <w:sz w:val="21"/>
                <w:szCs w:val="21"/>
                <w:lang w:eastAsia="zh-CN"/>
              </w:rPr>
              <w:t>二期</w:t>
            </w:r>
            <w:r>
              <w:rPr>
                <w:rFonts w:hint="eastAsia" w:ascii="宋体" w:hAnsi="宋体" w:eastAsia="宋体" w:cs="宋体"/>
                <w:color w:val="000000"/>
                <w:kern w:val="21"/>
                <w:sz w:val="21"/>
                <w:szCs w:val="21"/>
                <w:lang w:val="en-US" w:eastAsia="zh-CN"/>
              </w:rPr>
              <w:t>W渔光互补发</w:t>
            </w:r>
            <w:r>
              <w:rPr>
                <w:rFonts w:hint="eastAsia" w:ascii="宋体" w:hAnsi="宋体" w:cs="宋体"/>
                <w:color w:val="000000"/>
                <w:kern w:val="21"/>
                <w:sz w:val="21"/>
                <w:szCs w:val="21"/>
                <w:lang w:val="en-US" w:eastAsia="zh-CN"/>
              </w:rPr>
              <w:t>70MW</w:t>
            </w:r>
            <w:r>
              <w:rPr>
                <w:rFonts w:hint="eastAsia" w:ascii="宋体" w:hAnsi="宋体" w:eastAsia="宋体" w:cs="宋体"/>
                <w:color w:val="000000"/>
                <w:kern w:val="21"/>
                <w:sz w:val="21"/>
                <w:szCs w:val="21"/>
                <w:lang w:val="en-US" w:eastAsia="zh-CN"/>
              </w:rPr>
              <w:t>电项目</w:t>
            </w:r>
            <w:r>
              <w:rPr>
                <w:rFonts w:hint="eastAsia"/>
                <w:sz w:val="21"/>
                <w:szCs w:val="21"/>
              </w:rPr>
              <w:t>进行了竣工</w:t>
            </w:r>
            <w:r>
              <w:rPr>
                <w:rFonts w:hint="eastAsia"/>
                <w:sz w:val="21"/>
                <w:szCs w:val="21"/>
                <w:lang w:eastAsia="zh-CN"/>
              </w:rPr>
              <w:t>初步验收</w:t>
            </w:r>
            <w:r>
              <w:rPr>
                <w:rFonts w:hint="eastAsia"/>
                <w:sz w:val="21"/>
                <w:szCs w:val="21"/>
              </w:rPr>
              <w:t>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jc w:val="center"/>
        </w:trPr>
        <w:tc>
          <w:tcPr>
            <w:tcW w:w="69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opLinePunct/>
              <w:snapToGrid w:val="0"/>
              <w:spacing w:before="130" w:after="130"/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主要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技术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资料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检查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情况</w:t>
            </w:r>
          </w:p>
        </w:tc>
        <w:tc>
          <w:tcPr>
            <w:tcW w:w="8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30" w:after="130" w:line="360" w:lineRule="auto"/>
              <w:jc w:val="left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 工程资料  </w:t>
            </w:r>
          </w:p>
          <w:p>
            <w:pPr>
              <w:topLinePunct/>
              <w:snapToGrid w:val="0"/>
              <w:spacing w:before="130" w:after="130" w:line="360" w:lineRule="auto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1、本工程的开工、分部工程的动工、竣工报验手续齐全，设计文件齐全；所用原材料、供货商资质、材料合格证符合规范要求；施工检查评级记录齐全，安全、质量活动开展符合要求，记录详实；</w:t>
            </w:r>
          </w:p>
          <w:p>
            <w:pPr>
              <w:topLinePunct/>
              <w:snapToGrid w:val="0"/>
              <w:spacing w:before="130" w:after="130" w:line="360" w:lineRule="auto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2、本工程施工技术管理规范，有项目管理实施规划、施工方案、质量通病防治措施等前期主要策划文件资料；施工方案进行了技术交底；</w:t>
            </w:r>
          </w:p>
          <w:p>
            <w:pPr>
              <w:topLinePunct/>
              <w:snapToGrid w:val="0"/>
              <w:spacing w:before="130" w:after="130" w:line="360" w:lineRule="auto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3、验评资料真实完整；</w:t>
            </w:r>
          </w:p>
          <w:p>
            <w:pPr>
              <w:topLinePunct/>
              <w:snapToGrid w:val="0"/>
              <w:spacing w:before="130" w:after="130" w:line="360" w:lineRule="auto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4、分部、检验批工程报审符合设计、规范要求；</w:t>
            </w:r>
          </w:p>
          <w:p>
            <w:pPr>
              <w:topLinePunct/>
              <w:snapToGrid w:val="0"/>
              <w:spacing w:before="130" w:after="130" w:line="360" w:lineRule="auto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5、工程施工资料未与工程同步，不能反映施工过程；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90" w:hRule="atLeast"/>
          <w:jc w:val="center"/>
        </w:trPr>
        <w:tc>
          <w:tcPr>
            <w:tcW w:w="69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snapToGrid w:val="0"/>
              <w:spacing w:before="130" w:after="130" w:line="240" w:lineRule="auto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工程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重点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抽查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rFonts w:hint="eastAsia" w:hAnsi="宋体"/>
                <w:sz w:val="21"/>
                <w:szCs w:val="21"/>
              </w:rPr>
              <w:t>情况</w:t>
            </w:r>
          </w:p>
        </w:tc>
        <w:tc>
          <w:tcPr>
            <w:tcW w:w="8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现场实体</w:t>
            </w:r>
            <w:r>
              <w:rPr>
                <w:rFonts w:hint="eastAsia"/>
                <w:lang w:eastAsia="zh-CN"/>
              </w:rPr>
              <w:t>：箱逆变基础、电气，围栏、支架组件安装、防火封堵、电缆沟回填、防雷接地、汇流箱等检查。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9467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30" w:after="130"/>
              <w:ind w:firstLine="210" w:firstLineChars="10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四、主要改进建议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/>
              <w:autoSpaceDE/>
              <w:autoSpaceDN/>
              <w:bidi w:val="0"/>
              <w:snapToGrid w:val="0"/>
              <w:spacing w:before="130" w:after="130" w:line="240" w:lineRule="auto"/>
              <w:ind w:firstLine="420" w:firstLineChars="20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/>
                <w:sz w:val="21"/>
                <w:szCs w:val="21"/>
              </w:rPr>
              <w:t>对初检缺陷及时处理，不留患；</w:t>
            </w:r>
            <w:r>
              <w:rPr>
                <w:rFonts w:hint="eastAsia"/>
                <w:sz w:val="21"/>
                <w:szCs w:val="21"/>
                <w:lang w:eastAsia="zh-CN"/>
              </w:rPr>
              <w:t>对未完成的项逐一完善；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autoSpaceDE/>
              <w:autoSpaceDN/>
              <w:bidi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hAnsi="宋体"/>
                <w:sz w:val="21"/>
                <w:szCs w:val="21"/>
              </w:rPr>
              <w:t>、对施工资料</w:t>
            </w:r>
            <w:r>
              <w:rPr>
                <w:rFonts w:hint="eastAsia" w:hAnsi="宋体"/>
                <w:sz w:val="21"/>
                <w:szCs w:val="21"/>
                <w:lang w:eastAsia="zh-CN"/>
              </w:rPr>
              <w:t>按规范要求</w:t>
            </w:r>
            <w:r>
              <w:rPr>
                <w:rFonts w:hint="eastAsia" w:hAnsi="宋体"/>
                <w:sz w:val="21"/>
                <w:szCs w:val="21"/>
              </w:rPr>
              <w:t>进行</w:t>
            </w:r>
            <w:r>
              <w:rPr>
                <w:rFonts w:hint="eastAsia" w:hAnsi="宋体"/>
                <w:sz w:val="21"/>
                <w:szCs w:val="21"/>
                <w:lang w:eastAsia="zh-CN"/>
              </w:rPr>
              <w:t>整理、</w:t>
            </w:r>
            <w:r>
              <w:rPr>
                <w:rFonts w:hint="eastAsia" w:hAnsi="宋体"/>
                <w:sz w:val="21"/>
                <w:szCs w:val="21"/>
              </w:rPr>
              <w:t>完善</w:t>
            </w:r>
            <w:r>
              <w:rPr>
                <w:rFonts w:hint="eastAsia" w:hAnsi="宋体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646" w:hRule="atLeast"/>
          <w:jc w:val="center"/>
        </w:trPr>
        <w:tc>
          <w:tcPr>
            <w:tcW w:w="9467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240" w:lineRule="auto"/>
              <w:ind w:firstLine="210" w:firstLineChars="100"/>
              <w:textAlignment w:val="auto"/>
            </w:pPr>
            <w:r>
              <w:rPr>
                <w:rFonts w:hint="eastAsia"/>
              </w:rPr>
              <w:t>五、结论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312" w:lineRule="auto"/>
              <w:textAlignment w:val="auto"/>
            </w:pPr>
            <w:r>
              <w:rPr>
                <w:rFonts w:hint="eastAsia"/>
              </w:rPr>
              <w:t xml:space="preserve">    1、本工程质保体系健全，质量管理机构设置及人员配置齐全；质量目标明确；施工人员等持证上岗，过程中能正常运转与实施；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240" w:lineRule="auto"/>
              <w:ind w:firstLine="420"/>
              <w:textAlignment w:val="auto"/>
            </w:pPr>
            <w:r>
              <w:rPr>
                <w:rFonts w:hint="eastAsia"/>
              </w:rPr>
              <w:t>2、施工组织设计、作业指导书、施工方案齐全，对施工起到有效的指导作用；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240" w:lineRule="auto"/>
              <w:ind w:firstLine="420"/>
              <w:textAlignment w:val="auto"/>
            </w:pPr>
            <w:r>
              <w:rPr>
                <w:rFonts w:hint="eastAsia"/>
              </w:rPr>
              <w:t>3、质量管理程序到位并符合要求；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240" w:lineRule="auto"/>
              <w:ind w:firstLine="42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4、工程</w:t>
            </w:r>
            <w:r>
              <w:rPr>
                <w:rFonts w:hint="eastAsia"/>
                <w:lang w:eastAsia="zh-CN"/>
              </w:rPr>
              <w:t>设备、</w:t>
            </w:r>
            <w:r>
              <w:rPr>
                <w:rFonts w:hint="eastAsia"/>
              </w:rPr>
              <w:t>材料供货商资质合格，</w:t>
            </w:r>
            <w:r>
              <w:rPr>
                <w:rFonts w:hint="eastAsia"/>
                <w:lang w:eastAsia="zh-CN"/>
              </w:rPr>
              <w:t>设备、</w:t>
            </w:r>
            <w:r>
              <w:rPr>
                <w:rFonts w:hint="eastAsia"/>
              </w:rPr>
              <w:t>材料合格证及相关资料齐全</w:t>
            </w:r>
            <w:r>
              <w:rPr>
                <w:rFonts w:hint="eastAsia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360" w:lineRule="auto"/>
              <w:ind w:firstLine="42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eastAsia="zh-CN"/>
              </w:rPr>
              <w:t>二期</w:t>
            </w:r>
            <w:r>
              <w:rPr>
                <w:rFonts w:hint="eastAsia"/>
                <w:lang w:val="en-US" w:eastAsia="zh-CN"/>
              </w:rPr>
              <w:t>渔光互补发电项目</w:t>
            </w:r>
            <w:r>
              <w:rPr>
                <w:rFonts w:hint="eastAsia"/>
              </w:rPr>
              <w:t>初检过程中未发现</w:t>
            </w:r>
            <w:r>
              <w:rPr>
                <w:rFonts w:hint="eastAsia"/>
                <w:lang w:eastAsia="zh-CN"/>
              </w:rPr>
              <w:t>重大</w:t>
            </w:r>
            <w:r>
              <w:rPr>
                <w:rFonts w:hint="eastAsia"/>
              </w:rPr>
              <w:t>工程质量的问题</w:t>
            </w:r>
            <w:r>
              <w:rPr>
                <w:rFonts w:hint="eastAsia"/>
                <w:lang w:val="en-US" w:eastAsia="zh-CN"/>
              </w:rPr>
              <w:t>,检查过程中发现部分问题。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360" w:lineRule="auto"/>
              <w:ind w:firstLine="42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6、电站运行正常，之后需抓紧时间对缺陷进行排查、整改、完善；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 w:val="0"/>
              <w:spacing w:before="130" w:after="130" w:line="360" w:lineRule="auto"/>
              <w:textAlignment w:val="auto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364" w:hRule="atLeast"/>
          <w:jc w:val="center"/>
        </w:trPr>
        <w:tc>
          <w:tcPr>
            <w:tcW w:w="9467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topLinePunct/>
              <w:snapToGrid w:val="0"/>
              <w:spacing w:before="130" w:after="130"/>
            </w:pPr>
            <w:r>
              <w:rPr>
                <w:rFonts w:hint="eastAsia"/>
              </w:rPr>
              <w:t>验收负责人（签字）：</w:t>
            </w:r>
            <w:r>
              <w:t xml:space="preserve">                  </w:t>
            </w:r>
          </w:p>
          <w:p>
            <w:pPr>
              <w:topLinePunct/>
              <w:snapToGrid w:val="0"/>
              <w:spacing w:before="130" w:after="130"/>
            </w:pPr>
            <w:r>
              <w:t xml:space="preserve">           </w:t>
            </w:r>
          </w:p>
          <w:p>
            <w:pPr>
              <w:pStyle w:val="8"/>
            </w:pPr>
          </w:p>
          <w:p/>
          <w:p>
            <w:pPr>
              <w:topLinePunct/>
              <w:snapToGrid w:val="0"/>
              <w:spacing w:before="130" w:after="130"/>
            </w:pPr>
            <w:r>
              <w:t xml:space="preserve">          </w:t>
            </w:r>
          </w:p>
          <w:p>
            <w:pPr>
              <w:topLinePunct/>
              <w:snapToGrid w:val="0"/>
              <w:spacing w:before="130" w:after="130"/>
              <w:ind w:firstLine="6090" w:firstLineChars="2900"/>
            </w:pPr>
            <w:r>
              <w:t xml:space="preserve"> </w:t>
            </w:r>
            <w:r>
              <w:rPr>
                <w:rFonts w:hint="eastAsia"/>
              </w:rPr>
              <w:t>日</w:t>
            </w:r>
            <w:r>
              <w:t xml:space="preserve">  </w:t>
            </w:r>
            <w:r>
              <w:rPr>
                <w:rFonts w:hint="eastAsia"/>
              </w:rPr>
              <w:t>期：</w:t>
            </w:r>
            <w:r>
              <w:t xml:space="preserve"> 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 </w:t>
            </w:r>
            <w:r>
              <w:rPr>
                <w:rFonts w:hint="eastAsia"/>
              </w:rPr>
              <w:t>日</w:t>
            </w:r>
          </w:p>
        </w:tc>
      </w:tr>
    </w:tbl>
    <w:p>
      <w:pPr>
        <w:rPr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21"/>
          <w:sz w:val="36"/>
          <w:szCs w:val="36"/>
          <w:lang w:eastAsia="zh-CN"/>
        </w:rPr>
        <w:t>天长市</w:t>
      </w:r>
      <w:r>
        <w:rPr>
          <w:rFonts w:hint="eastAsia" w:ascii="宋体" w:hAnsi="宋体" w:cs="宋体"/>
          <w:b/>
          <w:bCs/>
          <w:color w:val="000000"/>
          <w:kern w:val="21"/>
          <w:sz w:val="36"/>
          <w:szCs w:val="36"/>
          <w:lang w:val="en-US" w:eastAsia="zh-CN"/>
        </w:rPr>
        <w:t>华晖</w:t>
      </w:r>
      <w:r>
        <w:rPr>
          <w:rFonts w:hint="eastAsia" w:ascii="宋体" w:hAnsi="宋体" w:eastAsia="宋体" w:cs="宋体"/>
          <w:b/>
          <w:bCs/>
          <w:color w:val="000000"/>
          <w:kern w:val="21"/>
          <w:sz w:val="36"/>
          <w:szCs w:val="36"/>
          <w:lang w:val="en-US" w:eastAsia="zh-CN"/>
        </w:rPr>
        <w:t>光</w:t>
      </w:r>
      <w:r>
        <w:rPr>
          <w:rFonts w:hint="eastAsia" w:ascii="宋体" w:hAnsi="宋体" w:cs="宋体"/>
          <w:b/>
          <w:bCs/>
          <w:color w:val="000000"/>
          <w:kern w:val="21"/>
          <w:sz w:val="36"/>
          <w:szCs w:val="36"/>
          <w:lang w:val="en-US" w:eastAsia="zh-CN"/>
        </w:rPr>
        <w:t>伏电力有限公司300MW渔光互补</w:t>
      </w:r>
      <w:r>
        <w:rPr>
          <w:rFonts w:hint="eastAsia" w:ascii="宋体" w:hAnsi="宋体" w:eastAsia="宋体" w:cs="宋体"/>
          <w:b/>
          <w:bCs/>
          <w:color w:val="000000"/>
          <w:kern w:val="21"/>
          <w:sz w:val="36"/>
          <w:szCs w:val="36"/>
          <w:lang w:val="en-US" w:eastAsia="zh-CN"/>
        </w:rPr>
        <w:t>发电项目</w:t>
      </w:r>
    </w:p>
    <w:p>
      <w:pPr>
        <w:pStyle w:val="10"/>
        <w:jc w:val="center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21"/>
          <w:sz w:val="36"/>
          <w:szCs w:val="36"/>
          <w:lang w:val="en-US" w:eastAsia="zh-CN"/>
        </w:rPr>
        <w:t>（二期70MW）</w:t>
      </w:r>
      <w:r>
        <w:rPr>
          <w:rFonts w:hint="eastAsia" w:ascii="宋体" w:hAnsi="宋体"/>
          <w:b/>
          <w:bCs/>
          <w:sz w:val="36"/>
          <w:szCs w:val="36"/>
          <w:lang w:eastAsia="zh-CN"/>
        </w:rPr>
        <w:t>光伏区初步验收缺陷统计</w:t>
      </w:r>
    </w:p>
    <w:tbl>
      <w:tblPr>
        <w:tblStyle w:val="12"/>
        <w:tblW w:w="0" w:type="auto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424"/>
        <w:gridCol w:w="4636"/>
        <w:gridCol w:w="29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5、6#集电线路桥架盖板未安装</w:t>
            </w:r>
          </w:p>
        </w:tc>
        <w:tc>
          <w:tcPr>
            <w:tcW w:w="4636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795905" cy="1933575"/>
                  <wp:effectExtent l="0" t="0" r="10795" b="9525"/>
                  <wp:docPr id="2" name="图片 2" descr="c372192436c5c7785e27161f83db5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372192436c5c7785e27161f83db5b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集电线路防火墙未修复</w:t>
            </w:r>
          </w:p>
        </w:tc>
        <w:tc>
          <w:tcPr>
            <w:tcW w:w="4636" w:type="dxa"/>
          </w:tcPr>
          <w:p>
            <w:pPr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6065" cy="2105025"/>
                  <wp:effectExtent l="0" t="0" r="635" b="3175"/>
                  <wp:docPr id="3" name="图片 3" descr="7cf51ee00de74eaa3d84b9a9c6a4f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cf51ee00de74eaa3d84b9a9c6a4f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424" w:type="dxa"/>
            <w:vAlign w:val="center"/>
          </w:tcPr>
          <w:p>
            <w:pPr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直流电缆未安装线号牌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541905"/>
                  <wp:effectExtent l="0" t="0" r="2540" b="10795"/>
                  <wp:docPr id="4" name="图片 4" descr="d7f04ca9f2ed259d85dc58ecd5dd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7f04ca9f2ed259d85dc58ecd5ddcc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5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通讯线保护套管未封堵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261235"/>
                  <wp:effectExtent l="0" t="0" r="2540" b="12065"/>
                  <wp:docPr id="5" name="图片 5" descr="13c6145d31cc1937041aa21b02afe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3c6145d31cc1937041aa21b02afee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直流电缆未穿管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172970"/>
                  <wp:effectExtent l="0" t="0" r="2540" b="11430"/>
                  <wp:docPr id="6" name="图片 6" descr="501032d8ef7836fef75aa1468f9d4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01032d8ef7836fef75aa1468f9d4e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光伏电缆未加线号牌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335530"/>
                  <wp:effectExtent l="0" t="0" r="2540" b="1270"/>
                  <wp:docPr id="7" name="图片 7" descr="0fd368852bfb9c4d2bf2172c5029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fd368852bfb9c4d2bf2172c5029e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汇流箱底部直流电缆套管封堵不规范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6065" cy="2105025"/>
                  <wp:effectExtent l="0" t="0" r="635" b="3175"/>
                  <wp:docPr id="8" name="图片 8" descr="1d6a1704e380a69a608c44880a143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d6a1704e380a69a608c44880a1439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汇流箱支架焊接处未做防腐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393315"/>
                  <wp:effectExtent l="0" t="0" r="2540" b="6985"/>
                  <wp:docPr id="9" name="图片 9" descr="3eff806b0e5fc6859b0113e12842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eff806b0e5fc6859b0113e12842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汇流箱未编号码牌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3049270"/>
                  <wp:effectExtent l="0" t="0" r="2540" b="11430"/>
                  <wp:docPr id="10" name="图片 10" descr="20a4cd7895617672f1a051ad4ea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a4cd7895617672f1a051ad4ea33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304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视频监控电源线未安装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626360"/>
                  <wp:effectExtent l="0" t="0" r="2540" b="2540"/>
                  <wp:docPr id="11" name="图片 11" descr="62bbb3ef6144e84a6852d0d96fa61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2bbb3ef6144e84a6852d0d96fa61b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62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箱变接地未按照图纸要求做防腐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933065"/>
                  <wp:effectExtent l="0" t="0" r="2540" b="635"/>
                  <wp:docPr id="12" name="图片 12" descr="9392612af86bb90d5c99475b098b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392612af86bb90d5c99475b098b5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箱变底部交直流电缆未涂防火涂料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869565"/>
                  <wp:effectExtent l="0" t="0" r="2540" b="635"/>
                  <wp:docPr id="13" name="图片 13" descr="1a8c7bb43a3cabea9ac079e6b713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a8c7bb43a3cabea9ac079e6b713d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86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5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箱变格栅未安装到位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2546985"/>
                  <wp:effectExtent l="0" t="0" r="2540" b="5715"/>
                  <wp:docPr id="14" name="图片 14" descr="1b8df2a8c76df36d231f4bdb6a62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b8df2a8c76df36d231f4bdb6a627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逆变器未做接地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6065" cy="2105025"/>
                  <wp:effectExtent l="0" t="0" r="635" b="3175"/>
                  <wp:docPr id="15" name="图片 15" descr="224811fabaa1a9d7bf0b1f333b0d5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24811fabaa1a9d7bf0b1f333b0d5d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箱变未安装警示标牌</w:t>
            </w:r>
          </w:p>
        </w:tc>
        <w:tc>
          <w:tcPr>
            <w:tcW w:w="4636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6065" cy="2105025"/>
                  <wp:effectExtent l="0" t="0" r="635" b="3175"/>
                  <wp:docPr id="16" name="图片 16" descr="bf811b1df55620e2581b794d040ab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f811b1df55620e2581b794d040abf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箱变底部电缆敷设杂乱未整理</w:t>
            </w:r>
          </w:p>
        </w:tc>
        <w:tc>
          <w:tcPr>
            <w:tcW w:w="4636" w:type="dxa"/>
            <w:vAlign w:val="top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795" cy="1656715"/>
                  <wp:effectExtent l="0" t="0" r="1905" b="6985"/>
                  <wp:docPr id="19" name="图片 19" descr="4ceee8b9b7bcb08542411e2bdb9f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ceee8b9b7bcb08542411e2bdb9f4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  <w:vAlign w:val="top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箱变接地扁铁未安装规范涂刷黄绿漆</w:t>
            </w:r>
          </w:p>
        </w:tc>
        <w:tc>
          <w:tcPr>
            <w:tcW w:w="4636" w:type="dxa"/>
            <w:vAlign w:val="top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796540" cy="2038350"/>
                  <wp:effectExtent l="0" t="0" r="10160" b="6350"/>
                  <wp:docPr id="20" name="图片 2" descr="a519affc9bc826024849b47e415d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a519affc9bc826024849b47e415d5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  <w:vAlign w:val="top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36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</w:t>
            </w: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箱变事故油池泄水阀未做防腐</w:t>
            </w:r>
          </w:p>
        </w:tc>
        <w:tc>
          <w:tcPr>
            <w:tcW w:w="4636" w:type="dxa"/>
            <w:vAlign w:val="top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04160" cy="1968500"/>
                  <wp:effectExtent l="0" t="0" r="2540" b="0"/>
                  <wp:docPr id="21" name="图片 3" descr="fd0c2c797a1d3f0976d58e168c737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fd0c2c797a1d3f0976d58e168c737f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3141" b="21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  <w:vAlign w:val="top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竣工验收前必须整改</w:t>
            </w:r>
            <w:r>
              <w:rPr>
                <w:rFonts w:hint="eastAsia"/>
                <w:vertAlign w:val="baseline"/>
                <w:lang w:val="en-US" w:eastAsia="zh-CN"/>
              </w:rPr>
              <w:t>完成。</w:t>
            </w:r>
          </w:p>
        </w:tc>
      </w:tr>
    </w:tbl>
    <w:p>
      <w:pPr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</w:p>
    <w:p>
      <w:bookmarkStart w:id="0" w:name="_GoBack"/>
      <w:bookmarkEnd w:id="0"/>
    </w:p>
    <w:sectPr>
      <w:pgSz w:w="11906" w:h="16838"/>
      <w:pgMar w:top="1417" w:right="850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JhYWYyOGFjMDVjMjhhMGZkMGE3ZTZlMmQ3YWRiOWIifQ=="/>
  </w:docVars>
  <w:rsids>
    <w:rsidRoot w:val="007B77A0"/>
    <w:rsid w:val="00000F43"/>
    <w:rsid w:val="00036AF0"/>
    <w:rsid w:val="00044256"/>
    <w:rsid w:val="00085324"/>
    <w:rsid w:val="000F6009"/>
    <w:rsid w:val="00141994"/>
    <w:rsid w:val="0037015B"/>
    <w:rsid w:val="0054636A"/>
    <w:rsid w:val="00690ADA"/>
    <w:rsid w:val="006F5240"/>
    <w:rsid w:val="007B1DC5"/>
    <w:rsid w:val="007B77A0"/>
    <w:rsid w:val="00806F86"/>
    <w:rsid w:val="009F5670"/>
    <w:rsid w:val="00A56F95"/>
    <w:rsid w:val="00A65C7E"/>
    <w:rsid w:val="00D76CCA"/>
    <w:rsid w:val="00F329CD"/>
    <w:rsid w:val="01521C8D"/>
    <w:rsid w:val="03037876"/>
    <w:rsid w:val="0335403F"/>
    <w:rsid w:val="033A0C2B"/>
    <w:rsid w:val="04061DE9"/>
    <w:rsid w:val="044C76C4"/>
    <w:rsid w:val="09C57DFA"/>
    <w:rsid w:val="0A7140AB"/>
    <w:rsid w:val="0AB21923"/>
    <w:rsid w:val="0B5525EB"/>
    <w:rsid w:val="0B5A790E"/>
    <w:rsid w:val="0BE1200C"/>
    <w:rsid w:val="0C0F0709"/>
    <w:rsid w:val="0C3A022C"/>
    <w:rsid w:val="0C82544D"/>
    <w:rsid w:val="0E16675C"/>
    <w:rsid w:val="0EB07E19"/>
    <w:rsid w:val="0F436363"/>
    <w:rsid w:val="10B35BCD"/>
    <w:rsid w:val="12BC340B"/>
    <w:rsid w:val="13AE3E36"/>
    <w:rsid w:val="14D072CD"/>
    <w:rsid w:val="151B6DCF"/>
    <w:rsid w:val="1526213F"/>
    <w:rsid w:val="15A72150"/>
    <w:rsid w:val="15CD469A"/>
    <w:rsid w:val="177867F9"/>
    <w:rsid w:val="188A6E37"/>
    <w:rsid w:val="19082D71"/>
    <w:rsid w:val="19543903"/>
    <w:rsid w:val="1A9A2283"/>
    <w:rsid w:val="1B277ED1"/>
    <w:rsid w:val="1BA603E3"/>
    <w:rsid w:val="1BEE6973"/>
    <w:rsid w:val="1BF336B2"/>
    <w:rsid w:val="1C4D665D"/>
    <w:rsid w:val="1DBF5E59"/>
    <w:rsid w:val="1E0E11AD"/>
    <w:rsid w:val="1E504349"/>
    <w:rsid w:val="200C37E7"/>
    <w:rsid w:val="20104D96"/>
    <w:rsid w:val="201777BB"/>
    <w:rsid w:val="20947775"/>
    <w:rsid w:val="20B0564D"/>
    <w:rsid w:val="2152293E"/>
    <w:rsid w:val="21936C62"/>
    <w:rsid w:val="21A03801"/>
    <w:rsid w:val="21E24C36"/>
    <w:rsid w:val="22C03A04"/>
    <w:rsid w:val="233F2574"/>
    <w:rsid w:val="260B2287"/>
    <w:rsid w:val="26765FA5"/>
    <w:rsid w:val="26F70445"/>
    <w:rsid w:val="2A1A2AE8"/>
    <w:rsid w:val="2A4D6802"/>
    <w:rsid w:val="2AB3781B"/>
    <w:rsid w:val="2AB522F1"/>
    <w:rsid w:val="2C8B52A5"/>
    <w:rsid w:val="2D8C7E42"/>
    <w:rsid w:val="2DCB1FF8"/>
    <w:rsid w:val="2DD221FB"/>
    <w:rsid w:val="2E3A74FC"/>
    <w:rsid w:val="2E4C59A2"/>
    <w:rsid w:val="2EDC78EF"/>
    <w:rsid w:val="300A4EE8"/>
    <w:rsid w:val="30E12AF1"/>
    <w:rsid w:val="32A15B00"/>
    <w:rsid w:val="32C92299"/>
    <w:rsid w:val="33F858C4"/>
    <w:rsid w:val="34261326"/>
    <w:rsid w:val="34C5396E"/>
    <w:rsid w:val="352F4120"/>
    <w:rsid w:val="35751A4C"/>
    <w:rsid w:val="36A11EF5"/>
    <w:rsid w:val="37242F7E"/>
    <w:rsid w:val="376A0049"/>
    <w:rsid w:val="383D105D"/>
    <w:rsid w:val="388A34DF"/>
    <w:rsid w:val="38AF3E43"/>
    <w:rsid w:val="38DD3CB7"/>
    <w:rsid w:val="39A76461"/>
    <w:rsid w:val="3AA4733C"/>
    <w:rsid w:val="3C3A397A"/>
    <w:rsid w:val="3C5C425D"/>
    <w:rsid w:val="3CCD6C17"/>
    <w:rsid w:val="3D0C0967"/>
    <w:rsid w:val="3D8F3346"/>
    <w:rsid w:val="3DF50D1D"/>
    <w:rsid w:val="3E805D1F"/>
    <w:rsid w:val="3ECC73A3"/>
    <w:rsid w:val="40BF0F1A"/>
    <w:rsid w:val="40DF3FFB"/>
    <w:rsid w:val="40F953F8"/>
    <w:rsid w:val="41207A25"/>
    <w:rsid w:val="42F17522"/>
    <w:rsid w:val="43BD6545"/>
    <w:rsid w:val="443F1622"/>
    <w:rsid w:val="44D668F1"/>
    <w:rsid w:val="45115F61"/>
    <w:rsid w:val="46D25499"/>
    <w:rsid w:val="46F8393B"/>
    <w:rsid w:val="479A3013"/>
    <w:rsid w:val="47AC77FD"/>
    <w:rsid w:val="47B30DCA"/>
    <w:rsid w:val="48181540"/>
    <w:rsid w:val="484F2EC8"/>
    <w:rsid w:val="489677B8"/>
    <w:rsid w:val="49733A2F"/>
    <w:rsid w:val="4A190430"/>
    <w:rsid w:val="4A1D4227"/>
    <w:rsid w:val="4A657396"/>
    <w:rsid w:val="4A71503B"/>
    <w:rsid w:val="4BFD52BA"/>
    <w:rsid w:val="4C1C049B"/>
    <w:rsid w:val="4D6B6B87"/>
    <w:rsid w:val="4D7808E6"/>
    <w:rsid w:val="4D9F293E"/>
    <w:rsid w:val="4E253194"/>
    <w:rsid w:val="4EA51C9D"/>
    <w:rsid w:val="4F2C6C47"/>
    <w:rsid w:val="4F556365"/>
    <w:rsid w:val="50C2336F"/>
    <w:rsid w:val="513C4C6C"/>
    <w:rsid w:val="530C3017"/>
    <w:rsid w:val="556C28B5"/>
    <w:rsid w:val="57EB7FD4"/>
    <w:rsid w:val="57F75DF6"/>
    <w:rsid w:val="581923E6"/>
    <w:rsid w:val="585D43B2"/>
    <w:rsid w:val="59584CC5"/>
    <w:rsid w:val="59691490"/>
    <w:rsid w:val="599C4F7F"/>
    <w:rsid w:val="5A0F2905"/>
    <w:rsid w:val="5A894F78"/>
    <w:rsid w:val="5B135E3A"/>
    <w:rsid w:val="5B6F3BD4"/>
    <w:rsid w:val="5BDE72E8"/>
    <w:rsid w:val="5D711656"/>
    <w:rsid w:val="5DAC1124"/>
    <w:rsid w:val="5E777B5D"/>
    <w:rsid w:val="5ECF310E"/>
    <w:rsid w:val="5F1C36CB"/>
    <w:rsid w:val="5F1F40D2"/>
    <w:rsid w:val="5F652E65"/>
    <w:rsid w:val="604D6EA4"/>
    <w:rsid w:val="60EE6A53"/>
    <w:rsid w:val="60FA7682"/>
    <w:rsid w:val="615A73E6"/>
    <w:rsid w:val="62561D6E"/>
    <w:rsid w:val="627673A3"/>
    <w:rsid w:val="63BE0AFD"/>
    <w:rsid w:val="65F217FE"/>
    <w:rsid w:val="66B07D06"/>
    <w:rsid w:val="67FD70A9"/>
    <w:rsid w:val="68377315"/>
    <w:rsid w:val="692C014C"/>
    <w:rsid w:val="69E8450C"/>
    <w:rsid w:val="6AE22D3B"/>
    <w:rsid w:val="6BE77499"/>
    <w:rsid w:val="6CA55BDA"/>
    <w:rsid w:val="6D8279C1"/>
    <w:rsid w:val="6E1348B2"/>
    <w:rsid w:val="6F1A0E4E"/>
    <w:rsid w:val="6FD1380C"/>
    <w:rsid w:val="729A33BB"/>
    <w:rsid w:val="72CE4305"/>
    <w:rsid w:val="73992CEA"/>
    <w:rsid w:val="73A83819"/>
    <w:rsid w:val="73B9644B"/>
    <w:rsid w:val="75B82DD3"/>
    <w:rsid w:val="75BB77B0"/>
    <w:rsid w:val="763224E5"/>
    <w:rsid w:val="76C33626"/>
    <w:rsid w:val="776C5829"/>
    <w:rsid w:val="77926BBF"/>
    <w:rsid w:val="77AD6128"/>
    <w:rsid w:val="782F4930"/>
    <w:rsid w:val="78977281"/>
    <w:rsid w:val="79DD3F55"/>
    <w:rsid w:val="7A19550F"/>
    <w:rsid w:val="7ACE3D23"/>
    <w:rsid w:val="7B43025B"/>
    <w:rsid w:val="7C6A06A6"/>
    <w:rsid w:val="7D16739E"/>
    <w:rsid w:val="7DB409ED"/>
    <w:rsid w:val="7F817325"/>
    <w:rsid w:val="7FB3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5">
    <w:name w:val="heading 1"/>
    <w:basedOn w:val="1"/>
    <w:next w:val="1"/>
    <w:link w:val="1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autoRedefine/>
    <w:qFormat/>
    <w:uiPriority w:val="0"/>
    <w:pPr>
      <w:keepNext/>
      <w:keepLines/>
      <w:adjustRightInd w:val="0"/>
      <w:spacing w:before="260" w:after="260" w:line="360" w:lineRule="auto"/>
      <w:textAlignment w:val="baseline"/>
      <w:outlineLvl w:val="1"/>
    </w:pPr>
    <w:rPr>
      <w:rFonts w:ascii="Arial" w:hAnsi="Arial" w:eastAsia="宋体" w:cs="Times New Roman"/>
      <w:b/>
      <w:bCs/>
      <w:kern w:val="0"/>
      <w:sz w:val="28"/>
      <w:szCs w:val="32"/>
      <w:lang w:val="zh-CN"/>
    </w:rPr>
  </w:style>
  <w:style w:type="paragraph" w:styleId="7">
    <w:name w:val="heading 3"/>
    <w:basedOn w:val="1"/>
    <w:next w:val="1"/>
    <w:autoRedefine/>
    <w:qFormat/>
    <w:uiPriority w:val="9"/>
    <w:pPr>
      <w:keepNext/>
      <w:tabs>
        <w:tab w:val="left" w:pos="525"/>
        <w:tab w:val="left" w:pos="1155"/>
      </w:tabs>
      <w:spacing w:before="120" w:beforeLines="50" w:line="360" w:lineRule="auto"/>
      <w:ind w:left="527"/>
      <w:outlineLvl w:val="2"/>
    </w:pPr>
    <w:rPr>
      <w:sz w:val="24"/>
    </w:rPr>
  </w:style>
  <w:style w:type="paragraph" w:styleId="8">
    <w:name w:val="heading 4"/>
    <w:basedOn w:val="1"/>
    <w:next w:val="1"/>
    <w:autoRedefine/>
    <w:qFormat/>
    <w:uiPriority w:val="0"/>
    <w:pPr>
      <w:adjustRightInd w:val="0"/>
      <w:snapToGrid w:val="0"/>
      <w:spacing w:line="500" w:lineRule="atLeast"/>
      <w:outlineLvl w:val="3"/>
    </w:pPr>
    <w:rPr>
      <w:bCs/>
      <w:kern w:val="0"/>
      <w:sz w:val="28"/>
      <w:szCs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0"/>
    <w:pPr>
      <w:ind w:firstLine="420"/>
    </w:pPr>
    <w:rPr>
      <w:rFonts w:ascii="仿宋_GB2312" w:eastAsia="仿宋_GB2312" w:cs="仿宋_GB2312"/>
      <w:sz w:val="32"/>
      <w:szCs w:val="32"/>
    </w:rPr>
  </w:style>
  <w:style w:type="paragraph" w:styleId="3">
    <w:name w:val="Body Text Indent"/>
    <w:basedOn w:val="1"/>
    <w:next w:val="4"/>
    <w:autoRedefine/>
    <w:qFormat/>
    <w:uiPriority w:val="0"/>
    <w:pPr>
      <w:spacing w:after="120"/>
      <w:ind w:left="420" w:leftChars="200"/>
    </w:pPr>
  </w:style>
  <w:style w:type="paragraph" w:customStyle="1" w:styleId="4">
    <w:name w:val="正文文本缩进1"/>
    <w:basedOn w:val="1"/>
    <w:next w:val="1"/>
    <w:autoRedefine/>
    <w:qFormat/>
    <w:uiPriority w:val="0"/>
    <w:pPr>
      <w:adjustRightInd w:val="0"/>
      <w:ind w:firstLine="600"/>
      <w:jc w:val="left"/>
      <w:textAlignment w:val="baseline"/>
    </w:pPr>
    <w:rPr>
      <w:spacing w:val="30"/>
      <w:kern w:val="0"/>
      <w:szCs w:val="28"/>
    </w:rPr>
  </w:style>
  <w:style w:type="paragraph" w:styleId="9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6">
    <w:name w:val="样式 标题 1 + (符号) 宋体 一号 加粗1 Char"/>
    <w:basedOn w:val="13"/>
    <w:link w:val="17"/>
    <w:autoRedefine/>
    <w:qFormat/>
    <w:locked/>
    <w:uiPriority w:val="0"/>
    <w:rPr>
      <w:rFonts w:ascii="宋体" w:hAnsi="宋体" w:eastAsia="宋体"/>
      <w:b/>
      <w:kern w:val="44"/>
      <w:sz w:val="52"/>
    </w:rPr>
  </w:style>
  <w:style w:type="paragraph" w:customStyle="1" w:styleId="17">
    <w:name w:val="样式 标题 1 + (符号) 宋体 一号 加粗1"/>
    <w:basedOn w:val="5"/>
    <w:link w:val="16"/>
    <w:autoRedefine/>
    <w:qFormat/>
    <w:uiPriority w:val="0"/>
    <w:pPr>
      <w:adjustRightInd w:val="0"/>
      <w:snapToGrid w:val="0"/>
      <w:spacing w:before="0" w:after="0" w:line="300" w:lineRule="auto"/>
      <w:jc w:val="center"/>
    </w:pPr>
    <w:rPr>
      <w:rFonts w:ascii="宋体" w:hAnsi="宋体" w:cstheme="minorBidi"/>
      <w:bCs w:val="0"/>
      <w:sz w:val="52"/>
      <w:szCs w:val="22"/>
    </w:rPr>
  </w:style>
  <w:style w:type="character" w:customStyle="1" w:styleId="18">
    <w:name w:val="标题 1 Char"/>
    <w:basedOn w:val="13"/>
    <w:link w:val="5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9">
    <w:name w:val="样式 样式 标题 3 + 仿宋 黑色 + 段前: 0.5 行"/>
    <w:basedOn w:val="20"/>
    <w:autoRedefine/>
    <w:qFormat/>
    <w:uiPriority w:val="0"/>
    <w:pPr>
      <w:tabs>
        <w:tab w:val="left" w:pos="525"/>
        <w:tab w:val="left" w:pos="1155"/>
      </w:tabs>
      <w:spacing w:before="120"/>
    </w:pPr>
    <w:rPr>
      <w:rFonts w:cs="宋体"/>
      <w:b/>
    </w:rPr>
  </w:style>
  <w:style w:type="paragraph" w:customStyle="1" w:styleId="20">
    <w:name w:val="样式 标题 3 + 仿宋 黑色"/>
    <w:basedOn w:val="7"/>
    <w:autoRedefine/>
    <w:qFormat/>
    <w:uiPriority w:val="0"/>
    <w:pPr>
      <w:spacing w:before="50"/>
      <w:ind w:left="0"/>
      <w:jc w:val="left"/>
    </w:pPr>
    <w:rPr>
      <w:rFonts w:ascii="仿宋" w:hAnsi="仿宋" w:eastAsia="仿宋"/>
      <w:color w:val="000000"/>
    </w:rPr>
  </w:style>
  <w:style w:type="paragraph" w:customStyle="1" w:styleId="21">
    <w:name w:val="正文格式"/>
    <w:basedOn w:val="1"/>
    <w:autoRedefine/>
    <w:qFormat/>
    <w:uiPriority w:val="0"/>
    <w:pPr>
      <w:ind w:firstLine="480"/>
    </w:pPr>
    <w:rPr>
      <w:rFonts w:ascii="Times New Roman" w:eastAsia="宋体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256</Words>
  <Characters>1463</Characters>
  <Lines>12</Lines>
  <Paragraphs>3</Paragraphs>
  <TotalTime>0</TotalTime>
  <ScaleCrop>false</ScaleCrop>
  <LinksUpToDate>false</LinksUpToDate>
  <CharactersWithSpaces>1716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2017-07-23T08:29:00Z</dcterms:created>
  <dc:creator>微软用户</dc:creator>
  <cp:lastModifiedBy>王玄风</cp:lastModifiedBy>
  <cp:lastPrinted>2023-12-24T02:42:00Z</cp:lastPrinted>
  <dcterms:modified xsi:type="dcterms:W3CDTF">2024-01-02T08:30:42Z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5BEBEAFBC59141D29F4C4FDDC403B9CC_12</vt:lpwstr>
  </property>
</Properties>
</file>