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宋体"/>
          <w:bCs/>
          <w:sz w:val="24"/>
        </w:rPr>
      </w:pPr>
    </w:p>
    <w:p>
      <w:pPr>
        <w:adjustRightInd w:val="0"/>
        <w:snapToGrid w:val="0"/>
        <w:spacing w:line="360" w:lineRule="auto"/>
        <w:rPr>
          <w:rFonts w:ascii="宋体"/>
          <w:bCs/>
          <w:sz w:val="24"/>
        </w:rPr>
      </w:pPr>
    </w:p>
    <w:p>
      <w:pPr>
        <w:pStyle w:val="12"/>
        <w:ind w:firstLine="0" w:firstLineChars="0"/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沂南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49MWp光伏并网电站中草药种植一体化项目工程</w:t>
      </w:r>
    </w:p>
    <w:p>
      <w:pPr>
        <w:tabs>
          <w:tab w:val="left" w:pos="1130"/>
          <w:tab w:val="center" w:pos="432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shadow/>
          <w:sz w:val="32"/>
          <w:szCs w:val="32"/>
        </w:rPr>
      </w:pPr>
      <w:r>
        <w:rPr>
          <w:rFonts w:ascii="宋体" w:hAnsi="宋体" w:cs="宋体"/>
          <w:b/>
          <w:bCs/>
          <w:shadow/>
          <w:sz w:val="24"/>
        </w:rPr>
        <w:t xml:space="preserve">            </w:t>
      </w:r>
      <w:r>
        <w:rPr>
          <w:rFonts w:ascii="宋体" w:hAnsi="宋体" w:cs="宋体"/>
          <w:b/>
          <w:bCs/>
          <w:shadow/>
          <w:sz w:val="32"/>
          <w:szCs w:val="32"/>
        </w:rPr>
        <w:t xml:space="preserve">    </w:t>
      </w:r>
    </w:p>
    <w:p>
      <w:pPr>
        <w:tabs>
          <w:tab w:val="left" w:pos="1130"/>
          <w:tab w:val="center" w:pos="4320"/>
        </w:tabs>
        <w:autoSpaceDE w:val="0"/>
        <w:autoSpaceDN w:val="0"/>
        <w:adjustRightInd w:val="0"/>
        <w:spacing w:line="360" w:lineRule="auto"/>
        <w:jc w:val="center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zh-CN"/>
        </w:rPr>
        <w:t>工</w:t>
      </w:r>
      <w:r>
        <w:rPr>
          <w:rFonts w:ascii="宋体" w:hAnsi="宋体" w:cs="宋体"/>
          <w:b/>
          <w:bCs/>
          <w:kern w:val="0"/>
          <w:sz w:val="36"/>
          <w:szCs w:val="36"/>
          <w:lang w:val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zh-CN"/>
        </w:rPr>
        <w:t>程</w:t>
      </w:r>
      <w:r>
        <w:rPr>
          <w:rFonts w:ascii="宋体" w:hAnsi="宋体" w:cs="宋体"/>
          <w:b/>
          <w:bCs/>
          <w:kern w:val="0"/>
          <w:sz w:val="36"/>
          <w:szCs w:val="36"/>
          <w:lang w:val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zh-CN"/>
        </w:rPr>
        <w:t>质</w:t>
      </w:r>
      <w:r>
        <w:rPr>
          <w:rFonts w:ascii="宋体" w:hAnsi="宋体" w:cs="宋体"/>
          <w:b/>
          <w:bCs/>
          <w:kern w:val="0"/>
          <w:sz w:val="36"/>
          <w:szCs w:val="36"/>
          <w:lang w:val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zh-CN"/>
        </w:rPr>
        <w:t>量</w:t>
      </w:r>
      <w:r>
        <w:rPr>
          <w:rFonts w:ascii="宋体" w:hAnsi="宋体" w:cs="宋体"/>
          <w:b/>
          <w:bCs/>
          <w:kern w:val="0"/>
          <w:sz w:val="36"/>
          <w:szCs w:val="36"/>
          <w:lang w:val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zh-CN"/>
        </w:rPr>
        <w:t>评</w:t>
      </w:r>
      <w:r>
        <w:rPr>
          <w:rFonts w:ascii="宋体" w:hAnsi="宋体" w:cs="宋体"/>
          <w:b/>
          <w:bCs/>
          <w:kern w:val="0"/>
          <w:sz w:val="36"/>
          <w:szCs w:val="36"/>
          <w:lang w:val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zh-CN"/>
        </w:rPr>
        <w:t>估</w:t>
      </w:r>
      <w:r>
        <w:rPr>
          <w:rFonts w:ascii="宋体" w:hAnsi="宋体" w:cs="宋体"/>
          <w:b/>
          <w:bCs/>
          <w:kern w:val="0"/>
          <w:sz w:val="36"/>
          <w:szCs w:val="36"/>
          <w:lang w:val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zh-CN"/>
        </w:rPr>
        <w:t>报</w:t>
      </w:r>
      <w:r>
        <w:rPr>
          <w:rFonts w:ascii="宋体" w:hAnsi="宋体" w:cs="宋体"/>
          <w:b/>
          <w:bCs/>
          <w:kern w:val="0"/>
          <w:sz w:val="36"/>
          <w:szCs w:val="36"/>
          <w:lang w:val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zh-CN"/>
        </w:rPr>
        <w:t>告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24"/>
        </w:rPr>
      </w:pPr>
    </w:p>
    <w:p>
      <w:pPr>
        <w:pStyle w:val="12"/>
        <w:ind w:firstLine="711"/>
        <w:rPr>
          <w:rFonts w:ascii="宋体" w:hAnsi="宋体" w:eastAsia="宋体" w:cs="宋体"/>
          <w:sz w:val="24"/>
          <w:szCs w:val="24"/>
        </w:rPr>
      </w:pPr>
    </w:p>
    <w:p>
      <w:pPr>
        <w:pStyle w:val="12"/>
        <w:ind w:firstLine="711"/>
        <w:rPr>
          <w:rFonts w:ascii="宋体" w:hAnsi="宋体" w:eastAsia="宋体" w:cs="宋体"/>
          <w:sz w:val="24"/>
          <w:szCs w:val="24"/>
        </w:rPr>
      </w:pPr>
    </w:p>
    <w:p>
      <w:pPr>
        <w:pStyle w:val="12"/>
        <w:ind w:firstLine="711"/>
        <w:rPr>
          <w:rFonts w:ascii="宋体" w:hAnsi="宋体" w:eastAsia="宋体" w:cs="宋体"/>
          <w:sz w:val="24"/>
          <w:szCs w:val="24"/>
        </w:rPr>
      </w:pPr>
    </w:p>
    <w:p>
      <w:pPr>
        <w:pStyle w:val="12"/>
        <w:ind w:firstLine="711"/>
        <w:rPr>
          <w:rFonts w:ascii="宋体" w:hAnsi="宋体" w:eastAsia="宋体" w:cs="宋体"/>
          <w:sz w:val="24"/>
          <w:szCs w:val="24"/>
        </w:rPr>
      </w:pPr>
    </w:p>
    <w:p>
      <w:pPr>
        <w:pStyle w:val="12"/>
        <w:ind w:firstLine="711"/>
        <w:rPr>
          <w:rFonts w:ascii="宋体" w:hAnsi="宋体" w:eastAsia="宋体" w:cs="宋体"/>
          <w:sz w:val="24"/>
          <w:szCs w:val="24"/>
        </w:rPr>
      </w:pPr>
    </w:p>
    <w:p>
      <w:pPr>
        <w:pStyle w:val="12"/>
        <w:ind w:firstLine="711"/>
        <w:rPr>
          <w:rFonts w:ascii="宋体" w:hAnsi="宋体" w:eastAsia="宋体" w:cs="宋体"/>
          <w:sz w:val="24"/>
          <w:szCs w:val="24"/>
        </w:rPr>
      </w:pPr>
    </w:p>
    <w:p>
      <w:pPr>
        <w:pStyle w:val="12"/>
        <w:ind w:firstLine="708"/>
        <w:rPr>
          <w:rFonts w:ascii="宋体" w:hAnsi="宋体" w:eastAsia="宋体" w:cs="宋体"/>
          <w:b w:val="0"/>
          <w:sz w:val="24"/>
          <w:szCs w:val="24"/>
        </w:rPr>
      </w:pPr>
    </w:p>
    <w:p>
      <w:pPr>
        <w:pStyle w:val="12"/>
        <w:ind w:firstLine="708"/>
        <w:rPr>
          <w:rFonts w:ascii="宋体" w:hAnsi="宋体" w:eastAsia="宋体" w:cs="宋体"/>
          <w:b w:val="0"/>
          <w:sz w:val="24"/>
          <w:szCs w:val="24"/>
        </w:rPr>
      </w:pPr>
    </w:p>
    <w:p>
      <w:pPr>
        <w:pStyle w:val="12"/>
        <w:ind w:firstLine="708"/>
        <w:rPr>
          <w:rFonts w:ascii="宋体" w:hAnsi="宋体" w:eastAsia="宋体" w:cs="宋体"/>
          <w:b w:val="0"/>
          <w:sz w:val="24"/>
          <w:szCs w:val="24"/>
        </w:rPr>
      </w:pPr>
    </w:p>
    <w:p>
      <w:pPr>
        <w:pStyle w:val="15"/>
        <w:spacing w:line="360" w:lineRule="auto"/>
        <w:ind w:firstLine="708" w:firstLineChars="295"/>
        <w:rPr>
          <w:rFonts w:ascii="宋体" w:cs="宋体"/>
        </w:rPr>
      </w:pPr>
    </w:p>
    <w:p>
      <w:pPr>
        <w:pStyle w:val="15"/>
        <w:spacing w:line="360" w:lineRule="auto"/>
        <w:ind w:firstLine="708" w:firstLineChars="295"/>
        <w:rPr>
          <w:rFonts w:ascii="宋体" w:cs="宋体"/>
          <w:sz w:val="28"/>
          <w:szCs w:val="28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监理单位：常州正衡电力工程监理有限公司</w:t>
      </w:r>
    </w:p>
    <w:p>
      <w:pPr>
        <w:tabs>
          <w:tab w:val="left" w:pos="6450"/>
        </w:tabs>
        <w:autoSpaceDE w:val="0"/>
        <w:autoSpaceDN w:val="0"/>
        <w:adjustRightInd w:val="0"/>
        <w:spacing w:line="360" w:lineRule="auto"/>
        <w:ind w:firstLine="700" w:firstLineChars="250"/>
        <w:rPr>
          <w:rFonts w:ascii="宋体" w:cs="宋体"/>
          <w:bCs/>
          <w:sz w:val="28"/>
          <w:szCs w:val="28"/>
          <w:lang w:val="zh-CN"/>
        </w:rPr>
      </w:pPr>
      <w:r>
        <w:rPr>
          <w:rFonts w:ascii="宋体" w:hAnsi="宋体" w:cs="宋体"/>
          <w:bCs/>
          <w:sz w:val="28"/>
          <w:szCs w:val="28"/>
        </w:rPr>
        <w:t xml:space="preserve">     </w:t>
      </w:r>
      <w:r>
        <w:rPr>
          <w:rFonts w:ascii="宋体" w:hAnsi="宋体" w:cs="宋体"/>
          <w:sz w:val="28"/>
          <w:szCs w:val="28"/>
        </w:rPr>
        <w:t xml:space="preserve">                 </w:t>
      </w:r>
    </w:p>
    <w:p>
      <w:pPr>
        <w:autoSpaceDE w:val="0"/>
        <w:autoSpaceDN w:val="0"/>
        <w:adjustRightInd w:val="0"/>
        <w:spacing w:line="360" w:lineRule="auto"/>
        <w:ind w:firstLine="700" w:firstLineChars="250"/>
        <w:rPr>
          <w:rFonts w:ascii="宋体" w:cs="宋体"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  <w:lang w:val="zh-CN"/>
        </w:rPr>
        <w:t xml:space="preserve">   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 xml:space="preserve">             </w:t>
      </w:r>
      <w:r>
        <w:rPr>
          <w:rFonts w:ascii="宋体" w:hAnsi="宋体" w:cs="宋体"/>
          <w:sz w:val="28"/>
          <w:szCs w:val="28"/>
        </w:rPr>
        <w:t>2016</w:t>
      </w:r>
      <w:r>
        <w:rPr>
          <w:rFonts w:hint="eastAsia" w:ascii="宋体" w:hAnsi="宋体" w:cs="宋体"/>
          <w:sz w:val="28"/>
          <w:szCs w:val="28"/>
          <w:lang w:val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  <w:lang w:val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cs="宋体"/>
          <w:sz w:val="28"/>
          <w:szCs w:val="28"/>
          <w:lang w:val="zh-CN"/>
        </w:rPr>
        <w:t>日</w:t>
      </w:r>
    </w:p>
    <w:p>
      <w:pPr>
        <w:autoSpaceDE w:val="0"/>
        <w:autoSpaceDN w:val="0"/>
        <w:adjustRightInd w:val="0"/>
        <w:spacing w:before="163" w:after="163" w:line="360" w:lineRule="auto"/>
        <w:rPr>
          <w:rFonts w:ascii="宋体" w:cs="宋体"/>
          <w:b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before="163" w:after="163" w:line="360" w:lineRule="auto"/>
        <w:rPr>
          <w:rFonts w:ascii="宋体" w:cs="宋体"/>
          <w:sz w:val="24"/>
          <w:lang w:val="zh-CN"/>
        </w:rPr>
      </w:pPr>
    </w:p>
    <w:p>
      <w:pPr>
        <w:autoSpaceDE w:val="0"/>
        <w:autoSpaceDN w:val="0"/>
        <w:adjustRightInd w:val="0"/>
        <w:spacing w:before="163" w:after="163" w:line="360" w:lineRule="auto"/>
        <w:rPr>
          <w:rFonts w:ascii="宋体" w:cs="宋体"/>
          <w:sz w:val="24"/>
          <w:lang w:val="zh-CN"/>
        </w:rPr>
      </w:pPr>
    </w:p>
    <w:p>
      <w:pPr>
        <w:autoSpaceDE w:val="0"/>
        <w:autoSpaceDN w:val="0"/>
        <w:adjustRightInd w:val="0"/>
        <w:spacing w:before="163" w:after="163" w:line="360" w:lineRule="auto"/>
        <w:rPr>
          <w:rFonts w:ascii="宋体" w:cs="宋体"/>
          <w:b/>
          <w:sz w:val="24"/>
        </w:rPr>
      </w:pPr>
      <w:bookmarkStart w:id="0" w:name="_Toc279929491"/>
      <w:r>
        <w:rPr>
          <w:rFonts w:hint="eastAsia" w:ascii="宋体" w:hAnsi="宋体" w:cs="宋体"/>
          <w:b/>
          <w:sz w:val="24"/>
        </w:rPr>
        <w:t>一、参建单位：</w:t>
      </w:r>
    </w:p>
    <w:p>
      <w:pPr>
        <w:adjustRightInd w:val="0"/>
        <w:snapToGrid w:val="0"/>
        <w:spacing w:line="360" w:lineRule="auto"/>
        <w:ind w:left="178" w:leftChars="85"/>
        <w:rPr>
          <w:rFonts w:ascii="宋体"/>
          <w:bCs/>
          <w:sz w:val="24"/>
          <w:lang w:val="en-US"/>
        </w:rPr>
      </w:pPr>
      <w:r>
        <w:rPr>
          <w:rFonts w:hint="eastAsia" w:ascii="宋体" w:hAnsi="宋体" w:cs="宋体"/>
          <w:sz w:val="24"/>
        </w:rPr>
        <w:t>工程名称：</w:t>
      </w:r>
      <w:r>
        <w:rPr>
          <w:rFonts w:hint="eastAsia" w:ascii="宋体" w:hAnsi="宋体"/>
          <w:bCs/>
          <w:sz w:val="24"/>
        </w:rPr>
        <w:t>沂南</w:t>
      </w:r>
      <w:r>
        <w:rPr>
          <w:rFonts w:hint="eastAsia" w:ascii="宋体" w:hAnsi="宋体"/>
          <w:bCs/>
          <w:sz w:val="24"/>
          <w:lang w:val="en-US" w:eastAsia="zh-CN"/>
        </w:rPr>
        <w:t>49MWp光伏并网电站中草药种植一体化项目工程</w:t>
      </w:r>
    </w:p>
    <w:p>
      <w:pPr>
        <w:numPr>
          <w:ilvl w:val="0"/>
          <w:numId w:val="1"/>
        </w:numPr>
        <w:spacing w:line="360" w:lineRule="auto"/>
        <w:ind w:left="178" w:leftChars="85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工程地点：山东省临沂市沂南县</w:t>
      </w:r>
      <w:r>
        <w:rPr>
          <w:rFonts w:hint="eastAsia" w:ascii="宋体" w:hAnsi="宋体" w:cs="宋体"/>
          <w:sz w:val="24"/>
          <w:lang w:eastAsia="zh-CN"/>
        </w:rPr>
        <w:t>岸</w:t>
      </w:r>
      <w:r>
        <w:rPr>
          <w:rFonts w:hint="eastAsia" w:ascii="宋体" w:hAnsi="宋体" w:cs="宋体"/>
          <w:sz w:val="24"/>
        </w:rPr>
        <w:t>堤镇</w:t>
      </w:r>
      <w:r>
        <w:rPr>
          <w:rFonts w:hint="eastAsia" w:ascii="宋体" w:hAnsi="宋体" w:cs="宋体"/>
          <w:sz w:val="24"/>
          <w:lang w:eastAsia="zh-CN"/>
        </w:rPr>
        <w:t>兴旺庄村</w:t>
      </w:r>
    </w:p>
    <w:p>
      <w:pPr>
        <w:numPr>
          <w:ilvl w:val="0"/>
          <w:numId w:val="1"/>
        </w:numPr>
        <w:spacing w:line="360" w:lineRule="auto"/>
        <w:ind w:left="178" w:leftChars="85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建设单位：沂南力诺太阳能电力工程有限公司</w:t>
      </w:r>
    </w:p>
    <w:p>
      <w:pPr>
        <w:numPr>
          <w:ilvl w:val="0"/>
          <w:numId w:val="1"/>
        </w:numPr>
        <w:spacing w:line="360" w:lineRule="auto"/>
        <w:ind w:left="178" w:leftChars="85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总包单位：山东力诺设计咨询有限公司</w:t>
      </w:r>
    </w:p>
    <w:p>
      <w:pPr>
        <w:numPr>
          <w:ilvl w:val="0"/>
          <w:numId w:val="1"/>
        </w:numPr>
        <w:spacing w:line="360" w:lineRule="auto"/>
        <w:ind w:left="178" w:leftChars="85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设计单位：山东力诺电力设计咨询有限公司</w:t>
      </w:r>
      <w:bookmarkStart w:id="1" w:name="_GoBack"/>
      <w:bookmarkEnd w:id="1"/>
    </w:p>
    <w:p>
      <w:pPr>
        <w:numPr>
          <w:ilvl w:val="0"/>
          <w:numId w:val="1"/>
        </w:numPr>
        <w:spacing w:line="360" w:lineRule="auto"/>
        <w:ind w:left="178" w:leftChars="85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监理单位：常州正衡电力工程监理有限公司</w:t>
      </w:r>
    </w:p>
    <w:p>
      <w:pPr>
        <w:spacing w:line="360" w:lineRule="auto"/>
        <w:jc w:val="left"/>
        <w:rPr>
          <w:rFonts w:asci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二、工程概况：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光伏电站类型：本工程为大型并网地面光伏电站。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组件选择：本工程电池组件全部采用</w:t>
      </w:r>
      <w:r>
        <w:rPr>
          <w:rFonts w:ascii="宋体" w:hAnsi="宋体" w:cs="宋体"/>
          <w:sz w:val="24"/>
        </w:rPr>
        <w:t>260W</w:t>
      </w:r>
      <w:r>
        <w:rPr>
          <w:rFonts w:hint="eastAsia" w:ascii="宋体" w:hAnsi="宋体" w:cs="宋体"/>
          <w:sz w:val="24"/>
        </w:rPr>
        <w:t>多晶硅电池组件。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安装方式：本工程电池组件全部采用固定式安装。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系统描述：本工程共分为</w:t>
      </w:r>
      <w:r>
        <w:rPr>
          <w:rFonts w:hint="eastAsia" w:ascii="宋体" w:hAnsi="宋体" w:cs="宋体"/>
          <w:sz w:val="24"/>
          <w:lang w:val="en-US" w:eastAsia="zh-CN"/>
        </w:rPr>
        <w:t>34</w:t>
      </w:r>
      <w:r>
        <w:rPr>
          <w:rFonts w:hint="eastAsia" w:ascii="宋体" w:hAnsi="宋体" w:cs="宋体"/>
          <w:sz w:val="24"/>
        </w:rPr>
        <w:t>个单元，采用多晶</w:t>
      </w:r>
      <w:r>
        <w:rPr>
          <w:rFonts w:ascii="宋体" w:hAnsi="宋体" w:cs="宋体"/>
          <w:sz w:val="24"/>
        </w:rPr>
        <w:t>260p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lang w:val="en-US" w:eastAsia="zh-CN"/>
        </w:rPr>
        <w:t>255p</w:t>
      </w:r>
      <w:r>
        <w:rPr>
          <w:rFonts w:hint="eastAsia" w:ascii="宋体" w:hAnsi="宋体" w:cs="宋体"/>
          <w:sz w:val="24"/>
        </w:rPr>
        <w:t>组件，共计</w:t>
      </w:r>
      <w:r>
        <w:rPr>
          <w:rFonts w:hint="eastAsia" w:ascii="宋体" w:hAnsi="宋体" w:cs="宋体"/>
          <w:sz w:val="24"/>
          <w:lang w:val="en-US" w:eastAsia="zh-CN"/>
        </w:rPr>
        <w:t>155033</w:t>
      </w:r>
      <w:r>
        <w:rPr>
          <w:rFonts w:hint="eastAsia" w:ascii="宋体" w:hAnsi="宋体" w:cs="宋体"/>
          <w:sz w:val="24"/>
        </w:rPr>
        <w:t>块，分块发电，就地升压，集中并网。每个发电单元中，组件采用</w:t>
      </w:r>
      <w:r>
        <w:rPr>
          <w:rFonts w:ascii="宋体" w:hAnsi="宋体" w:cs="宋体"/>
          <w:sz w:val="24"/>
        </w:rPr>
        <w:t>22</w:t>
      </w:r>
      <w:r>
        <w:rPr>
          <w:rFonts w:hint="eastAsia" w:ascii="宋体" w:hAnsi="宋体" w:cs="宋体"/>
          <w:sz w:val="24"/>
        </w:rPr>
        <w:t>块组件为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串的电气连接方式，安装时采用独立支架，组件固定在支架上。分别以</w:t>
      </w:r>
      <w:r>
        <w:rPr>
          <w:rFonts w:ascii="宋体" w:hAnsi="宋体" w:cs="宋体"/>
          <w:sz w:val="24"/>
        </w:rPr>
        <w:t>8/10/12/14/16/18/20</w:t>
      </w:r>
      <w:r>
        <w:rPr>
          <w:rFonts w:hint="eastAsia" w:ascii="宋体" w:hAnsi="宋体" w:cs="宋体"/>
          <w:sz w:val="24"/>
        </w:rPr>
        <w:t>路并联接入一个直流汇流箱，直流汇流箱安装在预应力混凝土管桩上，每</w:t>
      </w:r>
      <w:r>
        <w:rPr>
          <w:rFonts w:ascii="宋体" w:hAnsi="宋体" w:cs="宋体"/>
          <w:sz w:val="24"/>
        </w:rPr>
        <w:t>12</w:t>
      </w:r>
      <w:r>
        <w:rPr>
          <w:rFonts w:hint="eastAsia" w:ascii="宋体" w:hAnsi="宋体" w:cs="宋体"/>
          <w:sz w:val="24"/>
        </w:rPr>
        <w:t>台汇流箱接入一个直流配电柜，每个直流配电柜对应一台逆变器，逆变器和直流配电柜都安装在逆变器室内。全场</w:t>
      </w:r>
      <w:r>
        <w:rPr>
          <w:rFonts w:hint="eastAsia" w:ascii="宋体" w:hAnsi="宋体" w:cs="宋体"/>
          <w:sz w:val="24"/>
          <w:lang w:val="en-US" w:eastAsia="zh-CN"/>
        </w:rPr>
        <w:t>33</w:t>
      </w:r>
      <w:r>
        <w:rPr>
          <w:rFonts w:hint="eastAsia" w:ascii="宋体" w:hAnsi="宋体" w:cs="宋体"/>
          <w:sz w:val="24"/>
        </w:rPr>
        <w:t>个升压逆变单元，每</w:t>
      </w:r>
      <w:r>
        <w:rPr>
          <w:rFonts w:ascii="宋体" w:hAnsi="宋体" w:cs="宋体"/>
          <w:sz w:val="24"/>
        </w:rPr>
        <w:t>1MW</w:t>
      </w:r>
      <w:r>
        <w:rPr>
          <w:rFonts w:hint="eastAsia" w:ascii="宋体" w:hAnsi="宋体" w:cs="宋体"/>
          <w:sz w:val="24"/>
        </w:rPr>
        <w:t>多为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个逆变升压单元，</w:t>
      </w:r>
      <w:r>
        <w:rPr>
          <w:rFonts w:hint="eastAsia" w:ascii="宋体" w:hAnsi="宋体" w:cs="宋体"/>
          <w:sz w:val="24"/>
          <w:lang w:val="en-US" w:eastAsia="zh-CN"/>
        </w:rPr>
        <w:t>34#升压发电单元为2.5MW。31#、32#、33#、单位采用40KW组串逆变器+交流汇流箱+</w:t>
      </w:r>
      <w:r>
        <w:rPr>
          <w:rFonts w:hint="eastAsia" w:ascii="宋体" w:hAnsi="宋体" w:cs="宋体"/>
          <w:sz w:val="24"/>
        </w:rPr>
        <w:t>双绕组箱变的组合形式</w:t>
      </w:r>
      <w:r>
        <w:rPr>
          <w:rFonts w:hint="eastAsia" w:ascii="宋体" w:hAnsi="宋体" w:cs="宋体"/>
          <w:sz w:val="24"/>
          <w:lang w:eastAsia="zh-CN"/>
        </w:rPr>
        <w:t>。</w:t>
      </w:r>
      <w:r>
        <w:rPr>
          <w:rFonts w:ascii="宋体" w:hAnsi="宋体" w:cs="宋体"/>
          <w:sz w:val="24"/>
        </w:rPr>
        <w:t>15#</w:t>
      </w:r>
      <w:r>
        <w:rPr>
          <w:rFonts w:hint="eastAsia" w:ascii="宋体" w:hAnsi="宋体" w:cs="宋体"/>
          <w:sz w:val="24"/>
        </w:rPr>
        <w:t>单元采用</w:t>
      </w:r>
      <w:r>
        <w:rPr>
          <w:rFonts w:hint="eastAsia" w:ascii="宋体" w:hAnsi="宋体" w:cs="宋体"/>
          <w:sz w:val="24"/>
          <w:lang w:val="en-US" w:eastAsia="zh-CN"/>
        </w:rPr>
        <w:t>28</w:t>
      </w:r>
      <w:r>
        <w:rPr>
          <w:rFonts w:ascii="宋体" w:hAnsi="宋体" w:cs="宋体"/>
          <w:sz w:val="24"/>
        </w:rPr>
        <w:t>KW</w:t>
      </w:r>
      <w:r>
        <w:rPr>
          <w:rFonts w:hint="eastAsia" w:ascii="宋体" w:hAnsi="宋体" w:cs="宋体"/>
          <w:sz w:val="24"/>
        </w:rPr>
        <w:t>组串逆变器</w:t>
      </w:r>
      <w:r>
        <w:rPr>
          <w:rFonts w:ascii="宋体" w:hAnsi="宋体" w:cs="宋体"/>
          <w:sz w:val="24"/>
        </w:rPr>
        <w:t>+</w:t>
      </w:r>
      <w:r>
        <w:rPr>
          <w:rFonts w:hint="eastAsia" w:ascii="宋体" w:hAnsi="宋体" w:cs="宋体"/>
          <w:sz w:val="24"/>
        </w:rPr>
        <w:t>交流汇流箱</w:t>
      </w:r>
      <w:r>
        <w:rPr>
          <w:rFonts w:ascii="宋体" w:hAnsi="宋体" w:cs="宋体"/>
          <w:sz w:val="24"/>
        </w:rPr>
        <w:t>+</w:t>
      </w:r>
      <w:r>
        <w:rPr>
          <w:rFonts w:hint="eastAsia" w:ascii="宋体" w:hAnsi="宋体" w:cs="宋体"/>
          <w:sz w:val="24"/>
        </w:rPr>
        <w:t>双绕组箱变的组合形式，</w:t>
      </w:r>
      <w:r>
        <w:rPr>
          <w:rFonts w:ascii="宋体" w:hAnsi="宋体" w:cs="宋体"/>
          <w:sz w:val="24"/>
        </w:rPr>
        <w:t>1#</w:t>
      </w:r>
      <w:r>
        <w:rPr>
          <w:rFonts w:hint="eastAsia" w:ascii="宋体" w:hAnsi="宋体" w:cs="宋体"/>
          <w:sz w:val="24"/>
        </w:rPr>
        <w:t>到</w:t>
      </w:r>
      <w:r>
        <w:rPr>
          <w:rFonts w:ascii="宋体" w:hAnsi="宋体" w:cs="宋体"/>
          <w:sz w:val="24"/>
        </w:rPr>
        <w:t>14#</w:t>
      </w:r>
      <w:r>
        <w:rPr>
          <w:rFonts w:hint="eastAsia" w:ascii="宋体" w:hAnsi="宋体" w:cs="宋体"/>
          <w:sz w:val="24"/>
        </w:rPr>
        <w:t>单元、</w:t>
      </w:r>
      <w:r>
        <w:rPr>
          <w:rFonts w:ascii="宋体" w:hAnsi="宋体" w:cs="宋体"/>
          <w:sz w:val="24"/>
        </w:rPr>
        <w:t>16#</w:t>
      </w:r>
      <w:r>
        <w:rPr>
          <w:rFonts w:hint="eastAsia" w:ascii="宋体" w:hAnsi="宋体" w:cs="宋体"/>
          <w:sz w:val="24"/>
        </w:rPr>
        <w:t>到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ascii="宋体" w:hAnsi="宋体" w:cs="宋体"/>
          <w:sz w:val="24"/>
        </w:rPr>
        <w:t>0#</w:t>
      </w:r>
      <w:r>
        <w:rPr>
          <w:rFonts w:hint="eastAsia" w:ascii="宋体" w:hAnsi="宋体" w:cs="宋体"/>
          <w:sz w:val="24"/>
        </w:rPr>
        <w:t>单元采用直流汇流箱</w:t>
      </w:r>
      <w:r>
        <w:rPr>
          <w:rFonts w:ascii="宋体" w:hAnsi="宋体" w:cs="宋体"/>
          <w:sz w:val="24"/>
        </w:rPr>
        <w:t>+1MW</w:t>
      </w:r>
      <w:r>
        <w:rPr>
          <w:rFonts w:hint="eastAsia" w:ascii="宋体" w:hAnsi="宋体" w:cs="宋体"/>
          <w:sz w:val="24"/>
        </w:rPr>
        <w:t>预装箱式逆变器</w:t>
      </w:r>
      <w:r>
        <w:rPr>
          <w:rFonts w:ascii="宋体" w:hAnsi="宋体" w:cs="宋体"/>
          <w:sz w:val="24"/>
        </w:rPr>
        <w:t>+</w:t>
      </w:r>
      <w:r>
        <w:rPr>
          <w:rFonts w:hint="eastAsia" w:ascii="宋体" w:hAnsi="宋体" w:cs="宋体"/>
          <w:sz w:val="24"/>
        </w:rPr>
        <w:t>双分裂箱变的组合形式，光伏发电站根据规范及使用维护要求设置监控系统，监控主要包括以下内容：汇流箱光伏发电监控，逆变室光伏发电监控，环境气象监测，发电区视频监控。</w:t>
      </w:r>
    </w:p>
    <w:p>
      <w:pPr>
        <w:autoSpaceDE w:val="0"/>
        <w:autoSpaceDN w:val="0"/>
        <w:adjustRightInd w:val="0"/>
        <w:spacing w:before="163" w:after="163" w:line="360" w:lineRule="auto"/>
        <w:rPr>
          <w:rFonts w:ascii="宋体" w:cs="宋体"/>
          <w:sz w:val="24"/>
        </w:rPr>
      </w:pPr>
    </w:p>
    <w:p>
      <w:pPr>
        <w:autoSpaceDE w:val="0"/>
        <w:autoSpaceDN w:val="0"/>
        <w:adjustRightInd w:val="0"/>
        <w:spacing w:before="163" w:after="163" w:line="360" w:lineRule="auto"/>
        <w:rPr>
          <w:rFonts w:ascii="宋体" w:cs="宋体"/>
          <w:sz w:val="24"/>
        </w:rPr>
      </w:pPr>
    </w:p>
    <w:p>
      <w:pPr>
        <w:autoSpaceDE w:val="0"/>
        <w:autoSpaceDN w:val="0"/>
        <w:adjustRightInd w:val="0"/>
        <w:spacing w:before="163" w:after="163" w:line="360" w:lineRule="auto"/>
        <w:rPr>
          <w:rFonts w:ascii="宋体" w:cs="宋体"/>
          <w:sz w:val="24"/>
        </w:rPr>
      </w:pPr>
    </w:p>
    <w:p>
      <w:pPr>
        <w:autoSpaceDE w:val="0"/>
        <w:autoSpaceDN w:val="0"/>
        <w:adjustRightInd w:val="0"/>
        <w:spacing w:before="163" w:after="163" w:line="360" w:lineRule="auto"/>
        <w:rPr>
          <w:rFonts w:ascii="宋体" w:cs="宋体"/>
          <w:sz w:val="24"/>
        </w:rPr>
      </w:pPr>
    </w:p>
    <w:p>
      <w:pPr>
        <w:autoSpaceDE w:val="0"/>
        <w:autoSpaceDN w:val="0"/>
        <w:adjustRightInd w:val="0"/>
        <w:spacing w:before="163" w:after="163" w:line="360" w:lineRule="auto"/>
        <w:rPr>
          <w:rFonts w:asci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三：工程进度：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3943"/>
        <w:gridCol w:w="3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pacing w:val="176"/>
                <w:position w:val="-6"/>
                <w:sz w:val="24"/>
              </w:rPr>
            </w:pPr>
            <w:r>
              <w:rPr>
                <w:rFonts w:hint="eastAsia"/>
                <w:b/>
                <w:spacing w:val="176"/>
                <w:position w:val="-6"/>
                <w:sz w:val="24"/>
              </w:rPr>
              <w:t>主要形象进度</w:t>
            </w:r>
          </w:p>
        </w:tc>
        <w:tc>
          <w:tcPr>
            <w:tcW w:w="394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</w:t>
            </w:r>
            <w:r>
              <w:rPr>
                <w:b/>
                <w:sz w:val="24"/>
              </w:rPr>
              <w:t xml:space="preserve">       </w:t>
            </w:r>
            <w:r>
              <w:rPr>
                <w:rFonts w:hint="eastAsia"/>
                <w:b/>
                <w:sz w:val="24"/>
              </w:rPr>
              <w:t>目</w:t>
            </w:r>
          </w:p>
        </w:tc>
        <w:tc>
          <w:tcPr>
            <w:tcW w:w="371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   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工程开工</w:t>
            </w:r>
          </w:p>
        </w:tc>
        <w:tc>
          <w:tcPr>
            <w:tcW w:w="37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土建完工</w:t>
            </w:r>
          </w:p>
        </w:tc>
        <w:tc>
          <w:tcPr>
            <w:tcW w:w="37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支架完成</w:t>
            </w:r>
          </w:p>
        </w:tc>
        <w:tc>
          <w:tcPr>
            <w:tcW w:w="37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14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第一块电池板安装</w:t>
            </w:r>
          </w:p>
        </w:tc>
        <w:tc>
          <w:tcPr>
            <w:tcW w:w="37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0" w:type="dxa"/>
            <w:vMerge w:val="continue"/>
            <w:vAlign w:val="bottom"/>
          </w:tcPr>
          <w:p>
            <w:pPr>
              <w:jc w:val="center"/>
            </w:pPr>
          </w:p>
        </w:tc>
        <w:tc>
          <w:tcPr>
            <w:tcW w:w="39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全部电池板安装完成</w:t>
            </w:r>
          </w:p>
        </w:tc>
        <w:tc>
          <w:tcPr>
            <w:tcW w:w="37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0" w:type="dxa"/>
            <w:vMerge w:val="continue"/>
            <w:vAlign w:val="bottom"/>
          </w:tcPr>
          <w:p>
            <w:pPr>
              <w:jc w:val="center"/>
            </w:pPr>
          </w:p>
        </w:tc>
        <w:tc>
          <w:tcPr>
            <w:tcW w:w="39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电气设备安装完成</w:t>
            </w:r>
          </w:p>
        </w:tc>
        <w:tc>
          <w:tcPr>
            <w:tcW w:w="37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0" w:type="dxa"/>
            <w:vMerge w:val="continue"/>
            <w:vAlign w:val="bottom"/>
          </w:tcPr>
          <w:p>
            <w:pPr>
              <w:jc w:val="center"/>
            </w:pPr>
          </w:p>
        </w:tc>
        <w:tc>
          <w:tcPr>
            <w:tcW w:w="39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电气交接试验及单体调试完成</w:t>
            </w:r>
          </w:p>
        </w:tc>
        <w:tc>
          <w:tcPr>
            <w:tcW w:w="37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0" w:type="dxa"/>
            <w:vMerge w:val="continue"/>
            <w:vAlign w:val="bottom"/>
          </w:tcPr>
          <w:p>
            <w:pPr>
              <w:jc w:val="center"/>
            </w:pPr>
          </w:p>
        </w:tc>
        <w:tc>
          <w:tcPr>
            <w:tcW w:w="39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全站电缆线路施工</w:t>
            </w:r>
          </w:p>
        </w:tc>
        <w:tc>
          <w:tcPr>
            <w:tcW w:w="37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17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0" w:type="dxa"/>
            <w:vMerge w:val="continue"/>
            <w:vAlign w:val="bottom"/>
          </w:tcPr>
          <w:p>
            <w:pPr>
              <w:jc w:val="center"/>
            </w:pPr>
          </w:p>
        </w:tc>
        <w:tc>
          <w:tcPr>
            <w:tcW w:w="39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电缆防火与阻燃</w:t>
            </w:r>
          </w:p>
        </w:tc>
        <w:tc>
          <w:tcPr>
            <w:tcW w:w="37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28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0" w:type="dxa"/>
            <w:vMerge w:val="continue"/>
            <w:vAlign w:val="bottom"/>
          </w:tcPr>
          <w:p>
            <w:pPr>
              <w:jc w:val="center"/>
            </w:pPr>
          </w:p>
        </w:tc>
        <w:tc>
          <w:tcPr>
            <w:tcW w:w="39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全场接地装置安装</w:t>
            </w:r>
          </w:p>
        </w:tc>
        <w:tc>
          <w:tcPr>
            <w:tcW w:w="37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0" w:type="dxa"/>
            <w:vMerge w:val="continue"/>
            <w:vAlign w:val="bottom"/>
          </w:tcPr>
          <w:p>
            <w:pPr>
              <w:jc w:val="center"/>
            </w:pPr>
          </w:p>
        </w:tc>
        <w:tc>
          <w:tcPr>
            <w:tcW w:w="39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送出线路施工完毕</w:t>
            </w:r>
          </w:p>
        </w:tc>
        <w:tc>
          <w:tcPr>
            <w:tcW w:w="37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25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60" w:type="dxa"/>
            <w:vMerge w:val="continue"/>
            <w:vAlign w:val="bottom"/>
          </w:tcPr>
          <w:p>
            <w:pPr>
              <w:jc w:val="center"/>
            </w:pPr>
          </w:p>
        </w:tc>
        <w:tc>
          <w:tcPr>
            <w:tcW w:w="39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送出线路联调</w:t>
            </w:r>
          </w:p>
        </w:tc>
        <w:tc>
          <w:tcPr>
            <w:tcW w:w="37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28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60" w:type="dxa"/>
            <w:vMerge w:val="continue"/>
            <w:vAlign w:val="bottom"/>
          </w:tcPr>
          <w:p>
            <w:pPr>
              <w:jc w:val="center"/>
            </w:pPr>
          </w:p>
        </w:tc>
        <w:tc>
          <w:tcPr>
            <w:tcW w:w="39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倒送电</w:t>
            </w:r>
          </w:p>
        </w:tc>
        <w:tc>
          <w:tcPr>
            <w:tcW w:w="37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29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60" w:type="dxa"/>
            <w:vMerge w:val="continue"/>
            <w:vAlign w:val="bottom"/>
          </w:tcPr>
          <w:p>
            <w:pPr>
              <w:jc w:val="center"/>
            </w:pPr>
          </w:p>
        </w:tc>
        <w:tc>
          <w:tcPr>
            <w:tcW w:w="39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并网发电</w:t>
            </w:r>
          </w:p>
        </w:tc>
        <w:tc>
          <w:tcPr>
            <w:tcW w:w="37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autoSpaceDE w:val="0"/>
        <w:autoSpaceDN w:val="0"/>
        <w:adjustRightInd w:val="0"/>
        <w:spacing w:before="163" w:after="163" w:line="360" w:lineRule="auto"/>
        <w:rPr>
          <w:rFonts w:ascii="宋体" w:cs="宋体"/>
          <w:sz w:val="24"/>
        </w:rPr>
      </w:pPr>
    </w:p>
    <w:bookmarkEnd w:id="0"/>
    <w:p>
      <w:pPr>
        <w:spacing w:line="360" w:lineRule="auto"/>
        <w:rPr>
          <w:rFonts w:ascii="宋体" w:cs="宋体"/>
          <w:b/>
          <w:sz w:val="24"/>
        </w:rPr>
      </w:pPr>
      <w:r>
        <w:rPr>
          <w:rFonts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sz w:val="24"/>
        </w:rPr>
        <w:t>四、评估依据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、《建筑工程施工质量验收统一标准》</w:t>
      </w:r>
      <w:r>
        <w:rPr>
          <w:rFonts w:ascii="宋体" w:hAnsi="宋体" w:cs="宋体"/>
          <w:sz w:val="24"/>
        </w:rPr>
        <w:t>GB50300-2001</w:t>
      </w:r>
      <w:r>
        <w:rPr>
          <w:rFonts w:hint="eastAsia" w:ascii="宋体" w:hAnsi="宋体" w:cs="宋体"/>
          <w:sz w:val="24"/>
        </w:rPr>
        <w:t>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、电气装置安装工程质量检验及评定规程</w:t>
      </w:r>
      <w:r>
        <w:rPr>
          <w:rFonts w:ascii="宋体" w:hAnsi="宋体" w:cs="宋体"/>
          <w:sz w:val="24"/>
        </w:rPr>
        <w:t xml:space="preserve"> DL/T5161—2013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、国家和地方颁布的现行的工程施工质量验收规范；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、现行的基本试验方法标准、现场检测方法标准；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、正式的施工设计图纸及其它设计文件；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6</w:t>
      </w:r>
      <w:r>
        <w:rPr>
          <w:rFonts w:hint="eastAsia" w:ascii="宋体" w:hAnsi="宋体" w:cs="宋体"/>
          <w:sz w:val="24"/>
        </w:rPr>
        <w:t>、工程施工合同；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、委托监理合同。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</w:p>
    <w:p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五、（</w:t>
      </w:r>
      <w:r>
        <w:rPr>
          <w:rFonts w:ascii="宋体" w:hAnsi="宋体" w:cs="宋体"/>
          <w:b/>
          <w:sz w:val="24"/>
        </w:rPr>
        <w:t>1</w:t>
      </w:r>
      <w:r>
        <w:rPr>
          <w:rFonts w:hint="eastAsia" w:ascii="宋体" w:hAnsi="宋体" w:cs="宋体"/>
          <w:b/>
          <w:sz w:val="24"/>
        </w:rPr>
        <w:t>）工程建设依据性文件</w:t>
      </w:r>
      <w:r>
        <w:rPr>
          <w:rFonts w:ascii="宋体" w:hAnsi="宋体" w:cs="宋体"/>
          <w:b/>
          <w:sz w:val="24"/>
        </w:rPr>
        <w:t xml:space="preserve"> </w:t>
      </w:r>
    </w:p>
    <w:tbl>
      <w:tblPr>
        <w:tblStyle w:val="7"/>
        <w:tblW w:w="9360" w:type="dxa"/>
        <w:tblInd w:w="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340"/>
        <w:gridCol w:w="63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20" w:type="dxa"/>
            <w:vAlign w:val="center"/>
          </w:tcPr>
          <w:p>
            <w:pPr>
              <w:spacing w:beforeLines="30" w:afterLines="3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项目核准文件</w:t>
            </w:r>
          </w:p>
        </w:tc>
        <w:tc>
          <w:tcPr>
            <w:tcW w:w="6300" w:type="dxa"/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“项目核准的批复”手续齐全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20" w:type="dxa"/>
            <w:vAlign w:val="center"/>
          </w:tcPr>
          <w:p>
            <w:pPr>
              <w:spacing w:beforeLines="30" w:afterLines="3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项目环境影响报告表审批意见及环保同意试生产（运营）的文件</w:t>
            </w:r>
          </w:p>
        </w:tc>
        <w:tc>
          <w:tcPr>
            <w:tcW w:w="6300" w:type="dxa"/>
            <w:vAlign w:val="center"/>
          </w:tcPr>
          <w:p>
            <w:pPr>
              <w:spacing w:line="360" w:lineRule="auto"/>
              <w:ind w:firstLine="353" w:firstLineChars="147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审批意见的函”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20" w:type="dxa"/>
            <w:vAlign w:val="center"/>
          </w:tcPr>
          <w:p>
            <w:pPr>
              <w:spacing w:beforeLines="30" w:afterLines="3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消防经地方主管部门审查验收的意见</w:t>
            </w:r>
          </w:p>
        </w:tc>
        <w:tc>
          <w:tcPr>
            <w:tcW w:w="6300" w:type="dxa"/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有批文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720" w:type="dxa"/>
            <w:vAlign w:val="center"/>
          </w:tcPr>
          <w:p>
            <w:pPr>
              <w:spacing w:beforeLines="30" w:afterLines="3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施工图审查意见、接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入系统（一、二次）审查意见</w:t>
            </w:r>
          </w:p>
        </w:tc>
        <w:tc>
          <w:tcPr>
            <w:tcW w:w="6300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已批复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20" w:type="dxa"/>
            <w:vAlign w:val="center"/>
          </w:tcPr>
          <w:p>
            <w:pPr>
              <w:spacing w:beforeLines="30" w:afterLines="3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建筑荷载的复核</w:t>
            </w:r>
          </w:p>
        </w:tc>
        <w:tc>
          <w:tcPr>
            <w:tcW w:w="6300" w:type="dxa"/>
            <w:vAlign w:val="center"/>
          </w:tcPr>
          <w:p>
            <w:pPr>
              <w:spacing w:line="360" w:lineRule="auto"/>
              <w:ind w:firstLine="353" w:firstLineChars="147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已复核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20" w:type="dxa"/>
            <w:vAlign w:val="center"/>
          </w:tcPr>
          <w:p>
            <w:pPr>
              <w:spacing w:beforeLines="30" w:afterLines="3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并网协议、购售电合同</w:t>
            </w:r>
          </w:p>
        </w:tc>
        <w:tc>
          <w:tcPr>
            <w:tcW w:w="6300" w:type="dxa"/>
            <w:vAlign w:val="center"/>
          </w:tcPr>
          <w:p>
            <w:pPr>
              <w:spacing w:line="360" w:lineRule="auto"/>
              <w:ind w:firstLine="353" w:firstLineChars="147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并网调度管理协议、购售电合同已经办理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20" w:type="dxa"/>
            <w:vAlign w:val="center"/>
          </w:tcPr>
          <w:p>
            <w:pPr>
              <w:spacing w:beforeLines="30" w:afterLines="3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规划、施工许可</w:t>
            </w:r>
          </w:p>
        </w:tc>
        <w:tc>
          <w:tcPr>
            <w:tcW w:w="6300" w:type="dxa"/>
            <w:vAlign w:val="center"/>
          </w:tcPr>
          <w:p>
            <w:pPr>
              <w:spacing w:line="360" w:lineRule="auto"/>
              <w:ind w:left="105" w:leftChars="50" w:firstLine="350" w:firstLineChars="146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已办理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0" w:type="dxa"/>
            <w:vAlign w:val="center"/>
          </w:tcPr>
          <w:p>
            <w:pPr>
              <w:spacing w:beforeLines="30" w:afterLines="3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2340" w:type="dxa"/>
            <w:vAlign w:val="center"/>
          </w:tcPr>
          <w:p>
            <w:pPr>
              <w:spacing w:beforeLines="30" w:afterLines="30"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土地使用证</w:t>
            </w:r>
          </w:p>
        </w:tc>
        <w:tc>
          <w:tcPr>
            <w:tcW w:w="6300" w:type="dxa"/>
            <w:vAlign w:val="center"/>
          </w:tcPr>
          <w:p>
            <w:pPr>
              <w:spacing w:beforeLines="30" w:afterLines="30"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已办理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20" w:type="dxa"/>
            <w:vAlign w:val="center"/>
          </w:tcPr>
          <w:p>
            <w:pPr>
              <w:spacing w:beforeLines="30" w:afterLines="3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2340" w:type="dxa"/>
            <w:vAlign w:val="center"/>
          </w:tcPr>
          <w:p>
            <w:pPr>
              <w:spacing w:beforeLines="30" w:afterLines="30"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工程试运指挥部</w:t>
            </w:r>
          </w:p>
        </w:tc>
        <w:tc>
          <w:tcPr>
            <w:tcW w:w="6300" w:type="dxa"/>
            <w:vAlign w:val="center"/>
          </w:tcPr>
          <w:p>
            <w:pPr>
              <w:spacing w:beforeLines="30" w:afterLines="30" w:line="360" w:lineRule="auto"/>
              <w:ind w:firstLine="235" w:firstLineChars="98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试运指挥部及下设的工作组已成立</w:t>
            </w:r>
          </w:p>
        </w:tc>
      </w:tr>
    </w:tbl>
    <w:p>
      <w:pPr>
        <w:spacing w:line="360" w:lineRule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（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）各参建单位质量行为</w:t>
      </w:r>
    </w:p>
    <w:tbl>
      <w:tblPr>
        <w:tblStyle w:val="7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1</w:t>
            </w:r>
          </w:p>
        </w:tc>
        <w:tc>
          <w:tcPr>
            <w:tcW w:w="8640" w:type="dxa"/>
          </w:tcPr>
          <w:p>
            <w:pPr>
              <w:spacing w:beforeLines="30" w:afterLines="30"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建设单位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：</w:t>
            </w:r>
          </w:p>
          <w:p>
            <w:pPr>
              <w:spacing w:line="360" w:lineRule="auto"/>
              <w:ind w:firstLine="353" w:firstLineChars="147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组织机构能满足工程需要，制定了项目管理制度。工程建设执行了“五制”，档案管理制度已编制，明确了归档范围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2</w:t>
            </w:r>
          </w:p>
        </w:tc>
        <w:tc>
          <w:tcPr>
            <w:tcW w:w="8640" w:type="dxa"/>
          </w:tcPr>
          <w:p>
            <w:pPr>
              <w:spacing w:beforeLines="30" w:afterLines="30"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设计单位</w:t>
            </w:r>
            <w:r>
              <w:rPr>
                <w:rFonts w:ascii="宋体" w:hAnsi="宋体" w:cs="宋体"/>
                <w:sz w:val="24"/>
              </w:rPr>
              <w:t>: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资质与设计项目相符，设计交底、图纸会审已进行，设计交底记录齐全。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3</w:t>
            </w:r>
          </w:p>
        </w:tc>
        <w:tc>
          <w:tcPr>
            <w:tcW w:w="8640" w:type="dxa"/>
          </w:tcPr>
          <w:p>
            <w:pPr>
              <w:spacing w:beforeLines="30" w:afterLines="30"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监理单位：</w:t>
            </w:r>
          </w:p>
          <w:p>
            <w:pPr>
              <w:spacing w:beforeLines="30" w:afterLines="30"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编制了监理大纲、监理规划、实施细则，对施工单位的报验进行了审核，并按验收规范和验评标准进行验评签证，对安装的分部、分项检验批，调试验收项均已验收合格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4</w:t>
            </w:r>
          </w:p>
        </w:tc>
        <w:tc>
          <w:tcPr>
            <w:tcW w:w="8640" w:type="dxa"/>
          </w:tcPr>
          <w:p>
            <w:pPr>
              <w:spacing w:beforeLines="30" w:afterLines="30"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施工单位：</w:t>
            </w:r>
          </w:p>
          <w:p>
            <w:pPr>
              <w:spacing w:beforeLines="30" w:afterLines="30"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施工单位资质与承担项目相符，组织机构、管理制度与项目相适应，施工报验齐全。施工组织设计、作业指导书均报审、交底记录，三级验收、技术记录齐全。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5</w:t>
            </w:r>
          </w:p>
        </w:tc>
        <w:tc>
          <w:tcPr>
            <w:tcW w:w="8640" w:type="dxa"/>
          </w:tcPr>
          <w:p>
            <w:pPr>
              <w:spacing w:beforeLines="30" w:afterLines="30"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调试单位：</w:t>
            </w:r>
          </w:p>
          <w:p>
            <w:pPr>
              <w:spacing w:beforeLines="30" w:afterLines="30" w:line="360" w:lineRule="auto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调试资质与项目相符。电气整套启动调试措施已编审，并经参建单位会签、试运指挥部批准，并经隆化县供电公司审查，调试组织机构与人员能满足调试要求。分系统调试验收签证齐全</w:t>
            </w:r>
          </w:p>
          <w:p>
            <w:pPr>
              <w:spacing w:beforeLines="30" w:afterLines="30" w:line="360" w:lineRule="auto"/>
              <w:ind w:firstLine="240" w:firstLineChars="10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编制了安装、分系统调试项目质量验评统计表及未完项目清单，验评签证、试验报告、调试报告齐全。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6</w:t>
            </w:r>
          </w:p>
        </w:tc>
        <w:tc>
          <w:tcPr>
            <w:tcW w:w="8640" w:type="dxa"/>
          </w:tcPr>
          <w:p>
            <w:pPr>
              <w:spacing w:beforeLines="30" w:afterLines="30"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生产单位：运行规程、系统图、管理制度等生产准备工作就绪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7</w:t>
            </w:r>
          </w:p>
        </w:tc>
        <w:tc>
          <w:tcPr>
            <w:tcW w:w="8640" w:type="dxa"/>
          </w:tcPr>
          <w:p>
            <w:pPr>
              <w:spacing w:beforeLines="30" w:afterLines="30"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主要设备质量证明文件（合格证、说明书、质保书、试验报告）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资料齐全，</w:t>
            </w:r>
          </w:p>
          <w:p>
            <w:pPr>
              <w:spacing w:beforeLines="30" w:afterLines="30"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原材料质量证明文件（合格证、材质报告、复检报告）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资料齐全，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8</w:t>
            </w:r>
          </w:p>
        </w:tc>
        <w:tc>
          <w:tcPr>
            <w:tcW w:w="8640" w:type="dxa"/>
            <w:vAlign w:val="center"/>
          </w:tcPr>
          <w:p>
            <w:pPr>
              <w:spacing w:beforeLines="30" w:afterLines="30"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有“强条”执行计划及检查记录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9</w:t>
            </w:r>
          </w:p>
        </w:tc>
        <w:tc>
          <w:tcPr>
            <w:tcW w:w="864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光伏系统：</w:t>
            </w:r>
          </w:p>
          <w:p>
            <w:pPr>
              <w:spacing w:beforeLines="30" w:afterLines="30"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spacing w:val="2"/>
                <w:kern w:val="0"/>
                <w:sz w:val="24"/>
                <w:lang w:val="zh-CN"/>
              </w:rPr>
              <w:t>方阵支架已安装合格，支架接地系统规范，接地电阻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符合要求</w:t>
            </w:r>
            <w:r>
              <w:rPr>
                <w:rFonts w:hint="eastAsia" w:ascii="宋体" w:hAnsi="宋体" w:cs="宋体"/>
                <w:spacing w:val="2"/>
                <w:kern w:val="0"/>
                <w:sz w:val="24"/>
                <w:lang w:val="zh-CN"/>
              </w:rPr>
              <w:t>。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光伏组件安装符合要求；</w:t>
            </w:r>
            <w:r>
              <w:rPr>
                <w:rFonts w:hint="eastAsia" w:ascii="宋体" w:hAnsi="宋体" w:cs="宋体"/>
                <w:spacing w:val="2"/>
                <w:kern w:val="0"/>
                <w:sz w:val="24"/>
                <w:lang w:val="zh-CN"/>
              </w:rPr>
              <w:t>安装验收有签证。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8640" w:type="dxa"/>
            <w:vAlign w:val="center"/>
          </w:tcPr>
          <w:p>
            <w:pPr>
              <w:spacing w:beforeLines="30" w:afterLines="30"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pacing w:val="2"/>
                <w:kern w:val="0"/>
                <w:sz w:val="24"/>
                <w:lang w:val="zh-CN"/>
              </w:rPr>
              <w:t>与电网管理部门的并网调度协议及购售电合同已签署完毕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</w:t>
            </w:r>
          </w:p>
        </w:tc>
        <w:tc>
          <w:tcPr>
            <w:tcW w:w="8640" w:type="dxa"/>
            <w:vAlign w:val="center"/>
          </w:tcPr>
          <w:p>
            <w:pPr>
              <w:spacing w:beforeLines="30" w:afterLines="30"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pacing w:val="2"/>
                <w:kern w:val="0"/>
                <w:sz w:val="24"/>
                <w:lang w:val="zh-CN"/>
              </w:rPr>
              <w:t>设备命名和编号等标识齐全、正确、统一、规范；电气设备的双重编号已确定，现场的标识已完成。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12</w:t>
            </w:r>
          </w:p>
        </w:tc>
        <w:tc>
          <w:tcPr>
            <w:tcW w:w="8640" w:type="dxa"/>
            <w:vAlign w:val="center"/>
          </w:tcPr>
          <w:p>
            <w:pPr>
              <w:spacing w:beforeLines="30" w:afterLines="30"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pacing w:val="2"/>
                <w:kern w:val="0"/>
                <w:sz w:val="24"/>
                <w:lang w:val="zh-CN"/>
              </w:rPr>
              <w:t>工器具和试验仪器及检测仪表等置备齐全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</w:t>
            </w:r>
          </w:p>
        </w:tc>
        <w:tc>
          <w:tcPr>
            <w:tcW w:w="8640" w:type="dxa"/>
            <w:vAlign w:val="center"/>
          </w:tcPr>
          <w:p>
            <w:pPr>
              <w:spacing w:beforeLines="30" w:afterLines="30" w:line="360" w:lineRule="auto"/>
              <w:rPr>
                <w:rFonts w:ascii="宋体" w:cs="宋体"/>
                <w:spacing w:val="2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spacing w:val="2"/>
                <w:kern w:val="0"/>
                <w:sz w:val="24"/>
                <w:lang w:val="zh-CN"/>
              </w:rPr>
              <w:t>总控室对各逆变器的监控功能已调试，逆变器已静态调试，动态调试已进行。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14</w:t>
            </w:r>
          </w:p>
        </w:tc>
        <w:tc>
          <w:tcPr>
            <w:tcW w:w="864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spacing w:val="2"/>
                <w:kern w:val="0"/>
                <w:sz w:val="24"/>
                <w:lang w:val="zh-CN"/>
              </w:rPr>
              <w:t>反事故措施、事故应急预案已编制出版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；</w:t>
            </w:r>
          </w:p>
        </w:tc>
      </w:tr>
    </w:tbl>
    <w:p>
      <w:pPr>
        <w:spacing w:line="360" w:lineRule="auto"/>
        <w:rPr>
          <w:rFonts w:asci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六、分项工程验评统计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．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二次设备回路，接线正确、连接可靠、绝缘良好。</w:t>
      </w:r>
    </w:p>
    <w:p>
      <w:pPr>
        <w:tabs>
          <w:tab w:val="left" w:pos="4525"/>
        </w:tabs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．高压开关装置静态检查及传动试验，分、合闸时间、同期性符合厂家要求；操作机构动作可靠、正确；跳、合闸线圈的动作电压符合规程要求。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3. </w:t>
      </w:r>
      <w:r>
        <w:rPr>
          <w:rFonts w:hint="eastAsia" w:ascii="宋体" w:hAnsi="宋体" w:cs="宋体"/>
          <w:sz w:val="24"/>
        </w:rPr>
        <w:t>微机保护的静态试验及检查，整定值复测，动作值符合要求；控制、信号、保护的传动试验正确。</w:t>
      </w:r>
    </w:p>
    <w:p>
      <w:pPr>
        <w:tabs>
          <w:tab w:val="left" w:pos="4525"/>
        </w:tabs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．逆变器静态试验，一次系统设备试验符合设计要求，各逆变器系统通电试验正常，启停及防孤岛响应试验正确。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5. </w:t>
      </w:r>
      <w:r>
        <w:rPr>
          <w:rFonts w:hint="eastAsia" w:ascii="宋体" w:hAnsi="宋体" w:cs="宋体"/>
          <w:sz w:val="24"/>
        </w:rPr>
        <w:t>后台监控系统试验正常，遥控遥测遥讯系统投入正常。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6.</w:t>
      </w:r>
      <w:r>
        <w:rPr>
          <w:rFonts w:hint="eastAsia" w:ascii="宋体" w:hAnsi="宋体" w:cs="宋体"/>
          <w:sz w:val="24"/>
        </w:rPr>
        <w:t>汇流箱回路检查测试正确。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七、综合评价：</w:t>
      </w:r>
    </w:p>
    <w:p>
      <w:pPr>
        <w:adjustRightInd w:val="0"/>
        <w:snapToGrid w:val="0"/>
        <w:spacing w:line="360" w:lineRule="auto"/>
        <w:ind w:left="178" w:leftChars="85"/>
        <w:rPr>
          <w:rFonts w:ascii="宋体"/>
          <w:bCs/>
          <w:sz w:val="24"/>
        </w:rPr>
      </w:pPr>
      <w:r>
        <w:rPr>
          <w:rFonts w:hint="eastAsia" w:ascii="宋体" w:hAnsi="宋体" w:cs="宋体"/>
          <w:sz w:val="24"/>
        </w:rPr>
        <w:t>本项目依据该工程建设情况：已取得建设工程规划手续，施工许可证正在办理。试运指挥部及下设专业组已成立并运作。建设单位工程建设执行了“五制”，编制了项目管理制度，保护定值已审批、设置完善。各参建单位的资质与承担项目相符，组织机构能满足工程需要，管理制度基本齐全。设计交底、图纸会审已进行，记录齐全。施工报验齐全。施工组织设计和作业指导书已报审并交底。调试单位编制了电气整套启动调试措施，已经试运总指挥批准。监理单位按验收规范和验评标准进行验评签证。本项目施工记录、试验报告、调试报告、验收签证齐全，安装、调试的验评签证统计及未完项目消缺清单已提供。</w:t>
      </w:r>
      <w:r>
        <w:rPr>
          <w:rFonts w:hint="eastAsia" w:ascii="宋体" w:hAnsi="宋体"/>
          <w:bCs/>
          <w:sz w:val="24"/>
        </w:rPr>
        <w:t>沂南</w:t>
      </w:r>
      <w:r>
        <w:rPr>
          <w:rFonts w:hint="eastAsia" w:ascii="宋体" w:hAnsi="宋体"/>
          <w:bCs/>
          <w:sz w:val="24"/>
          <w:lang w:val="en-US" w:eastAsia="zh-CN"/>
        </w:rPr>
        <w:t>49MWp光伏并网电站中草药种植一体化项目工程</w:t>
      </w:r>
      <w:r>
        <w:rPr>
          <w:rFonts w:hint="eastAsia" w:ascii="宋体" w:hAnsi="宋体"/>
          <w:bCs/>
          <w:sz w:val="24"/>
        </w:rPr>
        <w:t>，</w:t>
      </w:r>
      <w:r>
        <w:rPr>
          <w:rFonts w:hint="eastAsia" w:ascii="宋体" w:hAnsi="宋体" w:cs="宋体"/>
          <w:sz w:val="24"/>
        </w:rPr>
        <w:t>各参建单位质量保证体系健全，运行良好，贯穿项目实施全过程。质量验收项目签证完成，施工记录齐全，数据真实，质量验收制度执行有效，工程总体质量受控。监理综合评定该项目为合格工程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具备并网条件。</w:t>
      </w:r>
    </w:p>
    <w:p>
      <w:pPr>
        <w:spacing w:line="360" w:lineRule="auto"/>
        <w:ind w:firstLine="600" w:firstLineChars="25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                     </w:t>
      </w:r>
    </w:p>
    <w:p>
      <w:pPr>
        <w:spacing w:line="360" w:lineRule="auto"/>
        <w:ind w:firstLine="637" w:firstLineChars="249"/>
        <w:rPr>
          <w:rFonts w:ascii="宋体" w:cs="宋体"/>
          <w:sz w:val="24"/>
        </w:rPr>
      </w:pPr>
      <w:r>
        <w:rPr>
          <w:rFonts w:ascii="宋体" w:hAnsi="宋体" w:cs="宋体"/>
          <w:bCs/>
          <w:spacing w:val="8"/>
          <w:kern w:val="0"/>
          <w:sz w:val="24"/>
          <w:lang w:val="zh-CN"/>
        </w:rPr>
        <w:t xml:space="preserve"> </w:t>
      </w:r>
    </w:p>
    <w:p>
      <w:pPr>
        <w:tabs>
          <w:tab w:val="left" w:pos="480"/>
        </w:tabs>
        <w:autoSpaceDE w:val="0"/>
        <w:autoSpaceDN w:val="0"/>
        <w:adjustRightInd w:val="0"/>
        <w:spacing w:line="360" w:lineRule="auto"/>
        <w:ind w:firstLine="4800" w:firstLineChars="2000"/>
        <w:rPr>
          <w:rFonts w:ascii="宋体" w:cs="宋体"/>
          <w:bCs/>
          <w:sz w:val="24"/>
          <w:lang w:val="zh-CN"/>
        </w:rPr>
      </w:pPr>
      <w:r>
        <w:rPr>
          <w:rFonts w:hint="eastAsia" w:ascii="宋体" w:hAnsi="宋体" w:cs="宋体"/>
          <w:sz w:val="24"/>
        </w:rPr>
        <w:t>常州正衡电力工程监理有限公司</w:t>
      </w:r>
    </w:p>
    <w:p>
      <w:pPr>
        <w:tabs>
          <w:tab w:val="left" w:pos="480"/>
        </w:tabs>
        <w:autoSpaceDE w:val="0"/>
        <w:autoSpaceDN w:val="0"/>
        <w:adjustRightInd w:val="0"/>
        <w:spacing w:line="360" w:lineRule="auto"/>
        <w:ind w:left="3780" w:leftChars="1800" w:firstLine="706" w:firstLineChars="294"/>
        <w:rPr>
          <w:rFonts w:ascii="宋体" w:cs="宋体"/>
          <w:bCs/>
          <w:sz w:val="24"/>
          <w:lang w:val="zh-CN"/>
        </w:rPr>
      </w:pPr>
    </w:p>
    <w:p>
      <w:pPr>
        <w:tabs>
          <w:tab w:val="left" w:pos="480"/>
        </w:tabs>
        <w:autoSpaceDE w:val="0"/>
        <w:autoSpaceDN w:val="0"/>
        <w:adjustRightInd w:val="0"/>
        <w:spacing w:line="360" w:lineRule="auto"/>
        <w:ind w:left="3780" w:leftChars="1800" w:firstLine="1906" w:firstLineChars="794"/>
        <w:rPr>
          <w:rFonts w:ascii="宋体" w:cs="宋体"/>
          <w:bCs/>
          <w:sz w:val="24"/>
          <w:lang w:val="zh-CN"/>
        </w:rPr>
      </w:pPr>
      <w:r>
        <w:rPr>
          <w:rFonts w:ascii="宋体" w:hAnsi="宋体" w:cs="宋体"/>
          <w:bCs/>
          <w:sz w:val="24"/>
        </w:rPr>
        <w:t>2016</w:t>
      </w:r>
      <w:r>
        <w:rPr>
          <w:rFonts w:hint="eastAsia" w:ascii="宋体" w:hAnsi="宋体" w:cs="宋体"/>
          <w:bCs/>
          <w:sz w:val="24"/>
          <w:lang w:val="zh-CN"/>
        </w:rPr>
        <w:t>年</w:t>
      </w:r>
      <w:r>
        <w:rPr>
          <w:rFonts w:hint="eastAsia" w:ascii="宋体" w:hAnsi="宋体" w:cs="宋体"/>
          <w:bCs/>
          <w:sz w:val="24"/>
          <w:lang w:val="en-US" w:eastAsia="zh-CN"/>
        </w:rPr>
        <w:t>6</w:t>
      </w:r>
      <w:r>
        <w:rPr>
          <w:rFonts w:hint="eastAsia" w:ascii="宋体" w:hAnsi="宋体" w:cs="宋体"/>
          <w:bCs/>
          <w:sz w:val="24"/>
          <w:lang w:val="zh-CN"/>
        </w:rPr>
        <w:t>月</w:t>
      </w:r>
      <w:r>
        <w:rPr>
          <w:rFonts w:hint="eastAsia" w:ascii="宋体" w:hAnsi="宋体" w:cs="宋体"/>
          <w:bCs/>
          <w:sz w:val="24"/>
          <w:lang w:val="en-US" w:eastAsia="zh-CN"/>
        </w:rPr>
        <w:t>25</w:t>
      </w:r>
      <w:r>
        <w:rPr>
          <w:rFonts w:hint="eastAsia" w:ascii="宋体" w:hAnsi="宋体" w:cs="宋体"/>
          <w:bCs/>
          <w:sz w:val="24"/>
          <w:lang w:val="zh-CN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90851"/>
    <w:multiLevelType w:val="singleLevel"/>
    <w:tmpl w:val="55190851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5190972"/>
    <w:multiLevelType w:val="singleLevel"/>
    <w:tmpl w:val="55190972"/>
    <w:lvl w:ilvl="0" w:tentative="0">
      <w:start w:val="1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424B"/>
    <w:rsid w:val="0006264E"/>
    <w:rsid w:val="001616CA"/>
    <w:rsid w:val="00181DFA"/>
    <w:rsid w:val="0018424B"/>
    <w:rsid w:val="00194932"/>
    <w:rsid w:val="001C77E6"/>
    <w:rsid w:val="0023064F"/>
    <w:rsid w:val="00265C7A"/>
    <w:rsid w:val="002B03DB"/>
    <w:rsid w:val="003876EA"/>
    <w:rsid w:val="003A21BA"/>
    <w:rsid w:val="003A2AA3"/>
    <w:rsid w:val="003D2A4C"/>
    <w:rsid w:val="003E1FFD"/>
    <w:rsid w:val="00447351"/>
    <w:rsid w:val="00472821"/>
    <w:rsid w:val="004904E2"/>
    <w:rsid w:val="0049656D"/>
    <w:rsid w:val="004B7F1B"/>
    <w:rsid w:val="004C1B48"/>
    <w:rsid w:val="00584633"/>
    <w:rsid w:val="005D42DF"/>
    <w:rsid w:val="005D7AF0"/>
    <w:rsid w:val="0062310B"/>
    <w:rsid w:val="006F18AF"/>
    <w:rsid w:val="00710601"/>
    <w:rsid w:val="007529F7"/>
    <w:rsid w:val="007E4A5A"/>
    <w:rsid w:val="00876F5A"/>
    <w:rsid w:val="00886717"/>
    <w:rsid w:val="008C49AE"/>
    <w:rsid w:val="008D7297"/>
    <w:rsid w:val="00986695"/>
    <w:rsid w:val="009A049A"/>
    <w:rsid w:val="009A1CFF"/>
    <w:rsid w:val="009B273B"/>
    <w:rsid w:val="00A0147A"/>
    <w:rsid w:val="00A0570C"/>
    <w:rsid w:val="00A22CC7"/>
    <w:rsid w:val="00A61074"/>
    <w:rsid w:val="00B25E9D"/>
    <w:rsid w:val="00B75BEC"/>
    <w:rsid w:val="00B92C86"/>
    <w:rsid w:val="00BD591E"/>
    <w:rsid w:val="00C207B8"/>
    <w:rsid w:val="00C31AF8"/>
    <w:rsid w:val="00C3347B"/>
    <w:rsid w:val="00C50DC8"/>
    <w:rsid w:val="00CA1EA8"/>
    <w:rsid w:val="00CC11D1"/>
    <w:rsid w:val="00CD7838"/>
    <w:rsid w:val="00D15722"/>
    <w:rsid w:val="00D468D1"/>
    <w:rsid w:val="00D84D89"/>
    <w:rsid w:val="00DF7A87"/>
    <w:rsid w:val="00E1155A"/>
    <w:rsid w:val="00E80A5A"/>
    <w:rsid w:val="00EF096D"/>
    <w:rsid w:val="00EF6A19"/>
    <w:rsid w:val="00F1661F"/>
    <w:rsid w:val="00F2601A"/>
    <w:rsid w:val="00F53841"/>
    <w:rsid w:val="00FD0CF7"/>
    <w:rsid w:val="01E777A4"/>
    <w:rsid w:val="0874794A"/>
    <w:rsid w:val="098751B4"/>
    <w:rsid w:val="101A5133"/>
    <w:rsid w:val="107804CF"/>
    <w:rsid w:val="1EDC10E9"/>
    <w:rsid w:val="263A715D"/>
    <w:rsid w:val="27F421E8"/>
    <w:rsid w:val="28C02F6A"/>
    <w:rsid w:val="464505A4"/>
    <w:rsid w:val="5BA0204F"/>
    <w:rsid w:val="604B0C8E"/>
    <w:rsid w:val="6AF841B7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semiHidden/>
    <w:qFormat/>
    <w:uiPriority w:val="99"/>
    <w:pPr>
      <w:spacing w:after="120"/>
    </w:p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table" w:styleId="8">
    <w:name w:val="Table Grid"/>
    <w:basedOn w:val="7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er Char"/>
    <w:basedOn w:val="5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正文（左悬挂） Char Char"/>
    <w:link w:val="12"/>
    <w:qFormat/>
    <w:locked/>
    <w:uiPriority w:val="99"/>
    <w:rPr>
      <w:rFonts w:ascii="楷体" w:hAnsi="楷体" w:eastAsia="楷体"/>
      <w:b/>
      <w:snapToGrid w:val="0"/>
      <w:kern w:val="15"/>
      <w:sz w:val="28"/>
    </w:rPr>
  </w:style>
  <w:style w:type="paragraph" w:customStyle="1" w:styleId="12">
    <w:name w:val="正文（左悬挂）"/>
    <w:basedOn w:val="1"/>
    <w:link w:val="11"/>
    <w:qFormat/>
    <w:uiPriority w:val="99"/>
    <w:pPr>
      <w:snapToGrid w:val="0"/>
      <w:spacing w:line="360" w:lineRule="auto"/>
      <w:ind w:firstLine="829" w:firstLineChars="295"/>
    </w:pPr>
    <w:rPr>
      <w:rFonts w:ascii="楷体" w:hAnsi="楷体" w:eastAsia="楷体"/>
      <w:b/>
      <w:kern w:val="15"/>
      <w:sz w:val="28"/>
      <w:szCs w:val="20"/>
    </w:rPr>
  </w:style>
  <w:style w:type="character" w:customStyle="1" w:styleId="13">
    <w:name w:val="正文样式 Char Char"/>
    <w:link w:val="14"/>
    <w:qFormat/>
    <w:locked/>
    <w:uiPriority w:val="99"/>
    <w:rPr>
      <w:rFonts w:ascii="宋体" w:hAnsi="宋体" w:eastAsia="宋体"/>
      <w:snapToGrid w:val="0"/>
      <w:kern w:val="15"/>
      <w:sz w:val="28"/>
    </w:rPr>
  </w:style>
  <w:style w:type="paragraph" w:customStyle="1" w:styleId="14">
    <w:name w:val="正文样式"/>
    <w:basedOn w:val="1"/>
    <w:link w:val="13"/>
    <w:qFormat/>
    <w:uiPriority w:val="99"/>
    <w:pPr>
      <w:snapToGrid w:val="0"/>
      <w:spacing w:line="360" w:lineRule="auto"/>
      <w:ind w:firstLine="560" w:firstLineChars="200"/>
    </w:pPr>
    <w:rPr>
      <w:rFonts w:ascii="宋体" w:hAnsi="宋体"/>
      <w:kern w:val="15"/>
      <w:sz w:val="28"/>
      <w:szCs w:val="20"/>
    </w:rPr>
  </w:style>
  <w:style w:type="paragraph" w:customStyle="1" w:styleId="15">
    <w:name w:val="Char1"/>
    <w:basedOn w:val="1"/>
    <w:qFormat/>
    <w:uiPriority w:val="99"/>
    <w:rPr>
      <w:sz w:val="24"/>
    </w:rPr>
  </w:style>
  <w:style w:type="paragraph" w:customStyle="1" w:styleId="16">
    <w:name w:val="表格内容"/>
    <w:basedOn w:val="2"/>
    <w:qFormat/>
    <w:uiPriority w:val="99"/>
    <w:pPr>
      <w:suppressLineNumbers/>
      <w:suppressAutoHyphens/>
    </w:pPr>
    <w:rPr>
      <w:kern w:val="20481"/>
      <w:szCs w:val="20"/>
    </w:rPr>
  </w:style>
  <w:style w:type="character" w:customStyle="1" w:styleId="17">
    <w:name w:val="Body Text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442</Words>
  <Characters>2520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2016-03-24T10:22:00Z</dcterms:created>
  <dc:creator>HZT</dc:creator>
  <cp:lastModifiedBy>Administrator</cp:lastModifiedBy>
  <dcterms:modified xsi:type="dcterms:W3CDTF">2016-07-30T00:59:05Z</dcterms:modified>
  <dc:title>沂南中草药种植一体化一期20MW光伏电站项目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