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rPr>
          <w:rFonts w:hint="eastAsia" w:hAnsi="宋体"/>
          <w:kern w:val="21"/>
          <w:szCs w:val="21"/>
          <w:u w:val="single"/>
        </w:rPr>
      </w:pPr>
    </w:p>
    <w:p>
      <w:pPr>
        <w:tabs>
          <w:tab w:val="right" w:pos="8845"/>
        </w:tabs>
        <w:topLinePunct/>
        <w:ind w:firstLine="420"/>
        <w:rPr>
          <w:rFonts w:hint="eastAsia" w:hAnsi="宋体"/>
          <w:kern w:val="21"/>
          <w:szCs w:val="21"/>
          <w:u w:val="single"/>
        </w:rPr>
      </w:pPr>
    </w:p>
    <w:p>
      <w:pPr>
        <w:tabs>
          <w:tab w:val="right" w:pos="8845"/>
        </w:tabs>
        <w:topLinePunct/>
        <w:ind w:firstLine="420"/>
        <w:rPr>
          <w:rFonts w:hint="eastAsia" w:hAnsi="宋体"/>
          <w:kern w:val="21"/>
          <w:szCs w:val="21"/>
          <w:u w:val="single"/>
        </w:rPr>
      </w:pPr>
    </w:p>
    <w:p>
      <w:pPr>
        <w:tabs>
          <w:tab w:val="right" w:pos="8845"/>
        </w:tabs>
        <w:topLinePunct/>
        <w:ind w:firstLine="420"/>
        <w:rPr>
          <w:rFonts w:hint="eastAsia" w:hAnsi="宋体"/>
          <w:kern w:val="21"/>
          <w:szCs w:val="21"/>
          <w:u w:val="single"/>
        </w:rPr>
      </w:pPr>
    </w:p>
    <w:p>
      <w:pPr>
        <w:topLinePunct/>
        <w:jc w:val="center"/>
        <w:rPr>
          <w:rFonts w:hint="eastAsia" w:ascii="方正小标宋_GBK" w:hAnsi="宋体" w:eastAsia="方正小标宋_GBK"/>
          <w:kern w:val="21"/>
          <w:sz w:val="40"/>
          <w:szCs w:val="40"/>
          <w:lang w:eastAsia="zh-CN"/>
        </w:rPr>
      </w:pPr>
      <w:r>
        <w:rPr>
          <w:rFonts w:hint="eastAsia" w:ascii="方正小标宋_GBK" w:hAnsi="宋体" w:eastAsia="方正小标宋_GBK"/>
          <w:kern w:val="21"/>
          <w:sz w:val="32"/>
          <w:szCs w:val="32"/>
          <w:lang w:eastAsia="zh-CN"/>
        </w:rPr>
        <w:t>银星一井矿产压覆区</w:t>
      </w:r>
      <w:r>
        <w:rPr>
          <w:rFonts w:hint="eastAsia" w:ascii="方正小标宋_GBK" w:hAnsi="宋体" w:eastAsia="方正小标宋_GBK"/>
          <w:kern w:val="21"/>
          <w:sz w:val="32"/>
          <w:szCs w:val="32"/>
          <w:lang w:val="en-US" w:eastAsia="zh-CN"/>
        </w:rPr>
        <w:t>30MWp光伏发电项目</w:t>
      </w:r>
    </w:p>
    <w:p>
      <w:pPr>
        <w:topLinePunct/>
        <w:jc w:val="center"/>
        <w:rPr>
          <w:rFonts w:hint="eastAsia" w:ascii="方正小标宋_GBK" w:hAnsi="宋体" w:eastAsia="方正小标宋_GBK"/>
          <w:kern w:val="21"/>
          <w:sz w:val="40"/>
          <w:szCs w:val="40"/>
          <w:lang w:eastAsia="zh-CN"/>
        </w:rPr>
      </w:pPr>
      <w:r>
        <w:rPr>
          <w:rFonts w:hint="eastAsia" w:hAnsi="宋体"/>
          <w:b/>
          <w:kern w:val="21"/>
          <w:sz w:val="52"/>
          <w:szCs w:val="52"/>
          <w:lang w:eastAsia="zh-CN"/>
        </w:rPr>
        <w:t>监理质量评估报告</w:t>
      </w:r>
    </w:p>
    <w:p>
      <w:pPr>
        <w:topLinePunct/>
        <w:ind w:firstLine="420"/>
        <w:jc w:val="center"/>
        <w:rPr>
          <w:rFonts w:hint="eastAsia" w:eastAsiaTheme="minorEastAsia"/>
          <w:kern w:val="21"/>
          <w:sz w:val="28"/>
          <w:szCs w:val="28"/>
          <w:lang w:eastAsia="zh-CN"/>
        </w:rPr>
      </w:pPr>
      <w:r>
        <w:rPr>
          <w:rFonts w:hint="eastAsia"/>
          <w:kern w:val="21"/>
          <w:sz w:val="28"/>
          <w:szCs w:val="28"/>
          <w:lang w:eastAsia="zh-CN"/>
        </w:rPr>
        <w:t>（土建）</w:t>
      </w: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ind w:firstLine="420"/>
        <w:rPr>
          <w:rFonts w:hint="eastAsia"/>
          <w:kern w:val="21"/>
          <w:szCs w:val="21"/>
        </w:rPr>
      </w:pPr>
    </w:p>
    <w:p>
      <w:pPr>
        <w:topLinePunct/>
        <w:jc w:val="center"/>
        <w:rPr>
          <w:rFonts w:hint="eastAsia"/>
          <w:kern w:val="21"/>
          <w:szCs w:val="21"/>
        </w:rPr>
      </w:pPr>
      <w:r>
        <w:rPr>
          <w:rFonts w:hint="eastAsia" w:eastAsia="楷体_GB2312"/>
          <w:kern w:val="21"/>
          <w:sz w:val="28"/>
          <w:szCs w:val="28"/>
          <w:lang w:eastAsia="zh-CN"/>
        </w:rPr>
        <w:t>银星一井矿产压覆区</w:t>
      </w:r>
      <w:r>
        <w:rPr>
          <w:rFonts w:hint="eastAsia" w:eastAsia="楷体_GB2312"/>
          <w:kern w:val="21"/>
          <w:sz w:val="28"/>
          <w:szCs w:val="28"/>
          <w:lang w:val="en-US" w:eastAsia="zh-CN"/>
        </w:rPr>
        <w:t>30MWp光伏发电项目</w:t>
      </w:r>
    </w:p>
    <w:p>
      <w:pPr>
        <w:topLinePunct/>
        <w:jc w:val="center"/>
        <w:rPr>
          <w:rFonts w:hint="eastAsia" w:eastAsia="楷体_GB2312"/>
          <w:kern w:val="21"/>
          <w:sz w:val="28"/>
          <w:szCs w:val="28"/>
        </w:rPr>
      </w:pPr>
      <w:r>
        <w:rPr>
          <w:rFonts w:hint="eastAsia" w:eastAsia="楷体_GB2312"/>
          <w:kern w:val="21"/>
          <w:sz w:val="28"/>
          <w:szCs w:val="28"/>
        </w:rPr>
        <w:t>监理项目部</w:t>
      </w:r>
    </w:p>
    <w:p>
      <w:pPr>
        <w:topLinePunct/>
        <w:jc w:val="center"/>
        <w:rPr>
          <w:rFonts w:hint="eastAsia" w:eastAsia="楷体_GB2312"/>
          <w:kern w:val="21"/>
          <w:sz w:val="28"/>
          <w:szCs w:val="28"/>
        </w:rPr>
      </w:pPr>
      <w:r>
        <w:rPr>
          <w:rFonts w:hint="eastAsia" w:eastAsia="楷体_GB2312"/>
          <w:kern w:val="21"/>
          <w:sz w:val="28"/>
          <w:szCs w:val="28"/>
          <w:lang w:val="en-US" w:eastAsia="zh-CN"/>
        </w:rPr>
        <w:t>2016</w:t>
      </w:r>
      <w:r>
        <w:rPr>
          <w:rFonts w:hint="eastAsia" w:eastAsia="楷体_GB2312"/>
          <w:kern w:val="21"/>
          <w:sz w:val="28"/>
          <w:szCs w:val="28"/>
        </w:rPr>
        <w:t>年</w:t>
      </w:r>
      <w:r>
        <w:rPr>
          <w:rFonts w:hint="eastAsia" w:eastAsia="楷体_GB2312"/>
          <w:kern w:val="21"/>
          <w:sz w:val="28"/>
          <w:szCs w:val="28"/>
          <w:lang w:val="en-US" w:eastAsia="zh-CN"/>
        </w:rPr>
        <w:t>7</w:t>
      </w:r>
      <w:r>
        <w:rPr>
          <w:rFonts w:hint="eastAsia" w:eastAsia="楷体_GB2312"/>
          <w:kern w:val="21"/>
          <w:sz w:val="28"/>
          <w:szCs w:val="28"/>
        </w:rPr>
        <w:t>月</w:t>
      </w:r>
    </w:p>
    <w:sdt>
      <w:sdtPr>
        <w:rPr>
          <w:rFonts w:ascii="Times New Roman" w:hAnsi="Times New Roman" w:eastAsia="宋体" w:cs="Times New Roman"/>
          <w:b w:val="0"/>
          <w:bCs w:val="0"/>
          <w:color w:val="auto"/>
          <w:kern w:val="2"/>
          <w:sz w:val="21"/>
          <w:szCs w:val="24"/>
          <w:lang w:val="zh-CN"/>
        </w:rPr>
        <w:id w:val="-1765222821"/>
      </w:sdtPr>
      <w:sdtEndPr>
        <w:rPr>
          <w:rFonts w:ascii="Times New Roman" w:hAnsi="Times New Roman" w:eastAsia="宋体" w:cs="Times New Roman"/>
          <w:b w:val="0"/>
          <w:bCs w:val="0"/>
          <w:color w:val="auto"/>
          <w:kern w:val="2"/>
          <w:sz w:val="21"/>
          <w:szCs w:val="24"/>
          <w:lang w:val="zh-CN"/>
        </w:rPr>
      </w:sdtEndPr>
      <w:sdtContent>
        <w:p>
          <w:pPr>
            <w:pStyle w:val="21"/>
            <w:spacing w:after="780" w:afterLines="250"/>
            <w:jc w:val="center"/>
            <w:rPr>
              <w:color w:val="000000" w:themeColor="text1"/>
              <w:sz w:val="40"/>
              <w14:textFill>
                <w14:solidFill>
                  <w14:schemeClr w14:val="tx1"/>
                </w14:solidFill>
              </w14:textFill>
            </w:rPr>
          </w:pPr>
          <w:r>
            <w:rPr>
              <w:color w:val="000000" w:themeColor="text1"/>
              <w:sz w:val="40"/>
              <w:lang w:val="zh-CN"/>
              <w14:textFill>
                <w14:solidFill>
                  <w14:schemeClr w14:val="tx1"/>
                </w14:solidFill>
              </w14:textFill>
            </w:rPr>
            <w:t>目</w:t>
          </w:r>
          <w:r>
            <w:rPr>
              <w:rFonts w:hint="eastAsia"/>
              <w:color w:val="000000" w:themeColor="text1"/>
              <w:sz w:val="40"/>
              <w:lang w:val="zh-CN"/>
              <w14:textFill>
                <w14:solidFill>
                  <w14:schemeClr w14:val="tx1"/>
                </w14:solidFill>
              </w14:textFill>
            </w:rPr>
            <w:t xml:space="preserve">  </w:t>
          </w:r>
          <w:r>
            <w:rPr>
              <w:color w:val="000000" w:themeColor="text1"/>
              <w:sz w:val="40"/>
              <w:lang w:val="zh-CN"/>
              <w14:textFill>
                <w14:solidFill>
                  <w14:schemeClr w14:val="tx1"/>
                </w14:solidFill>
              </w14:textFill>
            </w:rPr>
            <w:t>录</w:t>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TOC \o "1-3" \h \z \u </w:instrText>
          </w:r>
          <w:r>
            <w:fldChar w:fldCharType="separate"/>
          </w:r>
          <w:r>
            <w:fldChar w:fldCharType="begin"/>
          </w:r>
          <w:r>
            <w:instrText xml:space="preserve"> HYPERLINK \l "_Toc408316941" </w:instrText>
          </w:r>
          <w:r>
            <w:fldChar w:fldCharType="separate"/>
          </w:r>
          <w:r>
            <w:rPr>
              <w:rStyle w:val="10"/>
              <w:rFonts w:hint="eastAsia"/>
              <w:sz w:val="22"/>
            </w:rPr>
            <w:t>一、工程概况</w:t>
          </w:r>
          <w:r>
            <w:rPr>
              <w:sz w:val="22"/>
            </w:rPr>
            <w:tab/>
          </w:r>
          <w:r>
            <w:rPr>
              <w:sz w:val="22"/>
            </w:rPr>
            <w:fldChar w:fldCharType="begin"/>
          </w:r>
          <w:r>
            <w:rPr>
              <w:sz w:val="22"/>
            </w:rPr>
            <w:instrText xml:space="preserve"> PAGEREF _Toc408316941 \h </w:instrText>
          </w:r>
          <w:r>
            <w:rPr>
              <w:sz w:val="22"/>
            </w:rPr>
            <w:fldChar w:fldCharType="separate"/>
          </w:r>
          <w:r>
            <w:rPr>
              <w:sz w:val="22"/>
            </w:rPr>
            <w:t>2</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"_Toc408316942" </w:instrText>
          </w:r>
          <w:r>
            <w:fldChar w:fldCharType="separate"/>
          </w:r>
          <w:r>
            <w:rPr>
              <w:rStyle w:val="10"/>
              <w:rFonts w:hint="eastAsia"/>
              <w:sz w:val="22"/>
            </w:rPr>
            <w:t>二、参建单位：</w:t>
          </w:r>
          <w:r>
            <w:rPr>
              <w:sz w:val="22"/>
            </w:rPr>
            <w:tab/>
          </w:r>
          <w:r>
            <w:rPr>
              <w:sz w:val="22"/>
            </w:rPr>
            <w:fldChar w:fldCharType="begin"/>
          </w:r>
          <w:r>
            <w:rPr>
              <w:sz w:val="22"/>
            </w:rPr>
            <w:instrText xml:space="preserve"> PAGEREF _Toc408316942 \h </w:instrText>
          </w:r>
          <w:r>
            <w:rPr>
              <w:sz w:val="22"/>
            </w:rPr>
            <w:fldChar w:fldCharType="separate"/>
          </w:r>
          <w:r>
            <w:rPr>
              <w:sz w:val="22"/>
            </w:rPr>
            <w:t>2</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"_Toc408316943" </w:instrText>
          </w:r>
          <w:r>
            <w:fldChar w:fldCharType="separate"/>
          </w:r>
          <w:r>
            <w:rPr>
              <w:rStyle w:val="10"/>
              <w:rFonts w:hint="eastAsia"/>
              <w:sz w:val="22"/>
            </w:rPr>
            <w:t>三、</w:t>
          </w:r>
          <w:r>
            <w:rPr>
              <w:rStyle w:val="10"/>
              <w:rFonts w:hint="eastAsia" w:ascii="宋体" w:hAnsi="宋体"/>
              <w:kern w:val="21"/>
              <w:sz w:val="22"/>
            </w:rPr>
            <w:t>质量评估范围</w:t>
          </w:r>
          <w:r>
            <w:rPr>
              <w:sz w:val="22"/>
            </w:rPr>
            <w:tab/>
          </w:r>
          <w:r>
            <w:rPr>
              <w:sz w:val="22"/>
            </w:rPr>
            <w:fldChar w:fldCharType="begin"/>
          </w:r>
          <w:r>
            <w:rPr>
              <w:sz w:val="22"/>
            </w:rPr>
            <w:instrText xml:space="preserve"> PAGEREF _Toc408316943 \h </w:instrText>
          </w:r>
          <w:r>
            <w:rPr>
              <w:sz w:val="22"/>
            </w:rPr>
            <w:fldChar w:fldCharType="separate"/>
          </w:r>
          <w:r>
            <w:rPr>
              <w:sz w:val="22"/>
            </w:rPr>
            <w:t>2</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"_Toc408316944" </w:instrText>
          </w:r>
          <w:r>
            <w:fldChar w:fldCharType="separate"/>
          </w:r>
          <w:r>
            <w:rPr>
              <w:rStyle w:val="10"/>
              <w:rFonts w:hint="eastAsia"/>
              <w:sz w:val="22"/>
            </w:rPr>
            <w:t>四、质量评估依据</w:t>
          </w:r>
          <w:r>
            <w:rPr>
              <w:sz w:val="22"/>
            </w:rPr>
            <w:tab/>
          </w:r>
          <w:r>
            <w:rPr>
              <w:sz w:val="22"/>
            </w:rPr>
            <w:fldChar w:fldCharType="begin"/>
          </w:r>
          <w:r>
            <w:rPr>
              <w:sz w:val="22"/>
            </w:rPr>
            <w:instrText xml:space="preserve"> PAGEREF _Toc408316944 \h </w:instrText>
          </w:r>
          <w:r>
            <w:rPr>
              <w:sz w:val="22"/>
            </w:rPr>
            <w:fldChar w:fldCharType="separate"/>
          </w:r>
          <w:r>
            <w:rPr>
              <w:sz w:val="22"/>
            </w:rPr>
            <w:t>3</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"_Toc408316945" </w:instrText>
          </w:r>
          <w:r>
            <w:fldChar w:fldCharType="separate"/>
          </w:r>
          <w:r>
            <w:rPr>
              <w:rStyle w:val="10"/>
              <w:rFonts w:hint="eastAsia"/>
              <w:sz w:val="22"/>
            </w:rPr>
            <w:t>五、施工过程质量控制综述</w:t>
          </w:r>
          <w:r>
            <w:rPr>
              <w:sz w:val="22"/>
            </w:rPr>
            <w:tab/>
          </w:r>
          <w:r>
            <w:rPr>
              <w:sz w:val="22"/>
            </w:rPr>
            <w:fldChar w:fldCharType="begin"/>
          </w:r>
          <w:r>
            <w:rPr>
              <w:sz w:val="22"/>
            </w:rPr>
            <w:instrText xml:space="preserve"> PAGEREF _Toc408316945 \h </w:instrText>
          </w:r>
          <w:r>
            <w:rPr>
              <w:sz w:val="22"/>
            </w:rPr>
            <w:fldChar w:fldCharType="separate"/>
          </w:r>
          <w:r>
            <w:rPr>
              <w:sz w:val="22"/>
            </w:rPr>
            <w:t>4</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"_Toc408316946" </w:instrText>
          </w:r>
          <w:r>
            <w:fldChar w:fldCharType="separate"/>
          </w:r>
          <w:r>
            <w:rPr>
              <w:rStyle w:val="10"/>
              <w:rFonts w:hint="eastAsia"/>
              <w:sz w:val="22"/>
            </w:rPr>
            <w:t>六、工程质量监理控制概述</w:t>
          </w:r>
          <w:r>
            <w:rPr>
              <w:sz w:val="22"/>
            </w:rPr>
            <w:tab/>
          </w:r>
          <w:r>
            <w:rPr>
              <w:sz w:val="22"/>
            </w:rPr>
            <w:fldChar w:fldCharType="begin"/>
          </w:r>
          <w:r>
            <w:rPr>
              <w:sz w:val="22"/>
            </w:rPr>
            <w:instrText xml:space="preserve"> PAGEREF _Toc408316946 \h </w:instrText>
          </w:r>
          <w:r>
            <w:rPr>
              <w:sz w:val="22"/>
            </w:rPr>
            <w:fldChar w:fldCharType="separate"/>
          </w:r>
          <w:r>
            <w:rPr>
              <w:sz w:val="22"/>
            </w:rPr>
            <w:t>4</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"_Toc408316947" </w:instrText>
          </w:r>
          <w:r>
            <w:fldChar w:fldCharType="separate"/>
          </w:r>
          <w:r>
            <w:rPr>
              <w:rStyle w:val="10"/>
              <w:rFonts w:hint="eastAsia"/>
              <w:sz w:val="22"/>
            </w:rPr>
            <w:t>七、检验批、分项、分部工程和单位工程质量核查情况</w:t>
          </w:r>
          <w:r>
            <w:rPr>
              <w:sz w:val="22"/>
            </w:rPr>
            <w:tab/>
          </w:r>
          <w:r>
            <w:rPr>
              <w:sz w:val="22"/>
            </w:rPr>
            <w:fldChar w:fldCharType="begin"/>
          </w:r>
          <w:r>
            <w:rPr>
              <w:sz w:val="22"/>
            </w:rPr>
            <w:instrText xml:space="preserve"> PAGEREF _Toc408316947 \h </w:instrText>
          </w:r>
          <w:r>
            <w:rPr>
              <w:sz w:val="22"/>
            </w:rPr>
            <w:fldChar w:fldCharType="separate"/>
          </w:r>
          <w:r>
            <w:rPr>
              <w:sz w:val="22"/>
            </w:rPr>
            <w:t>6</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Cs w:val="22"/>
            </w:rPr>
          </w:pPr>
          <w:r>
            <w:fldChar w:fldCharType="begin"/>
          </w:r>
          <w:r>
            <w:instrText xml:space="preserve"> HYPERLINK \l "_Toc408316948" </w:instrText>
          </w:r>
          <w:r>
            <w:fldChar w:fldCharType="separate"/>
          </w:r>
          <w:r>
            <w:rPr>
              <w:rStyle w:val="10"/>
              <w:rFonts w:hint="eastAsia"/>
              <w:sz w:val="22"/>
            </w:rPr>
            <w:t>八、</w:t>
          </w:r>
          <w:r>
            <w:rPr>
              <w:rStyle w:val="10"/>
              <w:rFonts w:hint="eastAsia" w:ascii="宋体" w:hAnsi="宋体"/>
              <w:kern w:val="21"/>
              <w:sz w:val="22"/>
            </w:rPr>
            <w:t>工程质量评估结论</w:t>
          </w:r>
          <w:r>
            <w:rPr>
              <w:sz w:val="22"/>
            </w:rPr>
            <w:tab/>
          </w:r>
          <w:r>
            <w:rPr>
              <w:sz w:val="22"/>
            </w:rPr>
            <w:fldChar w:fldCharType="begin"/>
          </w:r>
          <w:r>
            <w:rPr>
              <w:sz w:val="22"/>
            </w:rPr>
            <w:instrText xml:space="preserve"> PAGEREF _Toc408316948 \h </w:instrText>
          </w:r>
          <w:r>
            <w:rPr>
              <w:sz w:val="22"/>
            </w:rPr>
            <w:fldChar w:fldCharType="separate"/>
          </w:r>
          <w:r>
            <w:rPr>
              <w:sz w:val="22"/>
            </w:rPr>
            <w:t>7</w:t>
          </w:r>
          <w:r>
            <w:rPr>
              <w:sz w:val="22"/>
            </w:rPr>
            <w:fldChar w:fldCharType="end"/>
          </w:r>
          <w:r>
            <w:rPr>
              <w:sz w:val="22"/>
            </w:rPr>
            <w:fldChar w:fldCharType="end"/>
          </w:r>
        </w:p>
        <w:p>
          <w:r>
            <w:rPr>
              <w:b/>
              <w:bCs/>
              <w:lang w:val="zh-CN"/>
            </w:rPr>
            <w:fldChar w:fldCharType="end"/>
          </w:r>
        </w:p>
      </w:sdtContent>
    </w:sdt>
    <w:p>
      <w:pPr>
        <w:widowControl/>
        <w:jc w:val="left"/>
        <w:rPr>
          <w:b/>
          <w:bCs/>
          <w:kern w:val="44"/>
          <w:sz w:val="32"/>
          <w:szCs w:val="44"/>
        </w:rPr>
      </w:pPr>
      <w:r>
        <w:br w:type="page"/>
      </w:r>
    </w:p>
    <w:p>
      <w:pPr>
        <w:pStyle w:val="2"/>
        <w:spacing w:line="360" w:lineRule="auto"/>
        <w:rPr>
          <w:rFonts w:hint="eastAsia" w:asciiTheme="minorEastAsia" w:hAnsiTheme="minorEastAsia" w:eastAsiaTheme="minorEastAsia" w:cstheme="minorEastAsia"/>
          <w:sz w:val="24"/>
          <w:szCs w:val="24"/>
        </w:rPr>
      </w:pPr>
      <w:bookmarkStart w:id="0" w:name="_Toc408316941"/>
      <w:r>
        <w:rPr>
          <w:rFonts w:hint="eastAsia" w:asciiTheme="minorEastAsia" w:hAnsiTheme="minorEastAsia" w:eastAsiaTheme="minorEastAsia" w:cstheme="minorEastAsia"/>
          <w:sz w:val="24"/>
          <w:szCs w:val="24"/>
        </w:rPr>
        <w:t>一、工程概况</w:t>
      </w:r>
      <w:bookmarkEnd w:id="0"/>
    </w:p>
    <w:p>
      <w:pPr>
        <w:pStyle w:val="16"/>
        <w:numPr>
          <w:ilvl w:val="0"/>
          <w:numId w:val="0"/>
        </w:numPr>
        <w:spacing w:line="360" w:lineRule="auto"/>
        <w:ind w:left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1" w:name="_Toc406964564"/>
      <w:bookmarkStart w:id="2" w:name="_Toc408316943"/>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宁夏银星能源股份有限公司银星一井压覆矿区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30MWp光伏发电项目占地61.32公顷，全年光能资源在5800MJ~6000MJ/㎡左右，日照时数约为2999.4h太阳能资源丰富。</w:t>
      </w:r>
    </w:p>
    <w:p>
      <w:pPr>
        <w:pStyle w:val="16"/>
        <w:numPr>
          <w:ilvl w:val="0"/>
          <w:numId w:val="0"/>
        </w:numPr>
        <w:spacing w:line="360" w:lineRule="auto"/>
        <w:ind w:left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工程场地区域为缓坡丘陵状地貌，呈一道道梁状坡地景观，坡地相对高差一般为15m左右，最大可达40余米。总地势为北高南低，地面高程大约在1322m~1358m之间，场地开阔较平坦。</w:t>
      </w:r>
    </w:p>
    <w:p>
      <w:pPr>
        <w:pStyle w:val="16"/>
        <w:numPr>
          <w:ilvl w:val="0"/>
          <w:numId w:val="0"/>
        </w:numPr>
        <w:spacing w:line="360" w:lineRule="auto"/>
        <w:ind w:left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规划30MWp光伏发电项目，全部采取平单轴（手动）跟踪式光伏电池组，18个约1.6MWp光伏方阵；光伏方阵配50KW组串式逆变器，合计605台，配1600kVA油浸式变压器，18台。</w:t>
      </w:r>
    </w:p>
    <w:p>
      <w:pPr>
        <w:pStyle w:val="2"/>
        <w:spacing w:line="360" w:lineRule="auto"/>
        <w:ind w:firstLine="480"/>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配套建设35kV送出，配电楼一栋，（含35kV配电室），框架结构一层，面积：271.32㎡；门卫室砖混结构，面积65.3㎡；35kV送出线路单回方式接入星能第七风电厂110升压站，送至宁夏电网，35kV新建线路全长32,97km。</w:t>
      </w:r>
    </w:p>
    <w:p>
      <w:pPr>
        <w:pStyle w:val="2"/>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二、参建单位：</w:t>
      </w:r>
      <w:bookmarkEnd w:id="1"/>
    </w:p>
    <w:p>
      <w:pPr>
        <w:spacing w:after="78" w:afterLines="25" w:line="360" w:lineRule="auto"/>
        <w:ind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建设单位：</w:t>
      </w:r>
      <w:r>
        <w:rPr>
          <w:rFonts w:hint="eastAsia" w:asciiTheme="minorEastAsia" w:hAnsiTheme="minorEastAsia" w:eastAsiaTheme="minorEastAsia" w:cstheme="minorEastAsia"/>
          <w:color w:val="000000"/>
          <w:sz w:val="24"/>
          <w:szCs w:val="24"/>
          <w:lang w:eastAsia="zh-CN"/>
        </w:rPr>
        <w:t>宁夏银星能源股份有限公司</w:t>
      </w:r>
    </w:p>
    <w:p>
      <w:pPr>
        <w:spacing w:after="78" w:afterLines="25" w:line="360" w:lineRule="auto"/>
        <w:ind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监理单位：常州正衡电力工程监理有限公司</w:t>
      </w:r>
    </w:p>
    <w:p>
      <w:pPr>
        <w:spacing w:after="78" w:afterLines="25" w:line="360" w:lineRule="auto"/>
        <w:ind w:firstLine="540" w:firstLineChars="2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施工单位：</w:t>
      </w:r>
      <w:r>
        <w:rPr>
          <w:rFonts w:hint="eastAsia" w:asciiTheme="minorEastAsia" w:hAnsiTheme="minorEastAsia" w:eastAsiaTheme="minorEastAsia" w:cstheme="minorEastAsia"/>
          <w:sz w:val="24"/>
          <w:szCs w:val="24"/>
          <w:lang w:eastAsia="zh-CN"/>
        </w:rPr>
        <w:t>宁夏中迅电力工程有限公司</w:t>
      </w:r>
    </w:p>
    <w:p>
      <w:pPr>
        <w:spacing w:after="78" w:afterLines="25" w:line="360" w:lineRule="auto"/>
        <w:ind w:firstLine="540" w:firstLineChars="2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宁夏银星能源股份有限公司光伏应用设备制造分公司</w:t>
      </w:r>
    </w:p>
    <w:p>
      <w:pPr>
        <w:spacing w:after="78" w:afterLines="25" w:line="360" w:lineRule="auto"/>
        <w:ind w:firstLine="540" w:firstLineChars="2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宁夏银星能源风电设备制造有限公司</w:t>
      </w:r>
    </w:p>
    <w:p>
      <w:pPr>
        <w:spacing w:after="78" w:afterLines="25" w:line="360" w:lineRule="auto"/>
        <w:ind w:firstLine="540" w:firstLineChars="225"/>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陕西亿金建设有限公司</w:t>
      </w:r>
    </w:p>
    <w:p>
      <w:pPr>
        <w:spacing w:after="78" w:afterLines="25" w:line="360" w:lineRule="auto"/>
        <w:ind w:firstLine="540" w:firstLineChars="225"/>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宁夏长中建筑安装工程有限公司</w:t>
      </w:r>
    </w:p>
    <w:p>
      <w:pPr>
        <w:pStyle w:val="2"/>
        <w:spacing w:line="360" w:lineRule="auto"/>
        <w:rPr>
          <w:rFonts w:hint="eastAsia" w:asciiTheme="minorEastAsia" w:hAnsiTheme="minorEastAsia" w:eastAsiaTheme="minorEastAsia" w:cstheme="minorEastAsia"/>
          <w:color w:val="000000"/>
          <w:kern w:val="21"/>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color w:val="000000"/>
          <w:kern w:val="21"/>
          <w:sz w:val="24"/>
          <w:szCs w:val="24"/>
        </w:rPr>
        <w:t>质量评估范围</w:t>
      </w:r>
      <w:bookmarkEnd w:id="2"/>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根据合同约定条款，我公司承担本项目以下工程施工全过程质量控制工作：</w:t>
      </w:r>
    </w:p>
    <w:p>
      <w:pPr>
        <w:pStyle w:val="16"/>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场平工程；</w:t>
      </w:r>
    </w:p>
    <w:p>
      <w:pPr>
        <w:pStyle w:val="16"/>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箱变基础土建；</w:t>
      </w:r>
    </w:p>
    <w:p>
      <w:pPr>
        <w:pStyle w:val="16"/>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综合楼土建及装饰工程；</w:t>
      </w:r>
    </w:p>
    <w:p>
      <w:pPr>
        <w:pStyle w:val="16"/>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中控楼土建及装饰工程；</w:t>
      </w:r>
    </w:p>
    <w:p>
      <w:pPr>
        <w:pStyle w:val="16"/>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室外设备基础；</w:t>
      </w:r>
    </w:p>
    <w:p>
      <w:pPr>
        <w:pStyle w:val="16"/>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厂区道路硬化、绿化工程；</w:t>
      </w:r>
    </w:p>
    <w:p>
      <w:pPr>
        <w:pStyle w:val="16"/>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消防及给排水工程；</w:t>
      </w:r>
    </w:p>
    <w:p>
      <w:pPr>
        <w:pStyle w:val="16"/>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围栏工程；</w:t>
      </w:r>
    </w:p>
    <w:p>
      <w:pPr>
        <w:pStyle w:val="2"/>
        <w:spacing w:line="360" w:lineRule="auto"/>
        <w:rPr>
          <w:rFonts w:hint="eastAsia" w:asciiTheme="minorEastAsia" w:hAnsiTheme="minorEastAsia" w:eastAsiaTheme="minorEastAsia" w:cstheme="minorEastAsia"/>
          <w:sz w:val="24"/>
          <w:szCs w:val="24"/>
        </w:rPr>
      </w:pPr>
      <w:bookmarkStart w:id="3" w:name="_Toc408316944"/>
      <w:r>
        <w:rPr>
          <w:rFonts w:hint="eastAsia" w:asciiTheme="minorEastAsia" w:hAnsiTheme="minorEastAsia" w:eastAsiaTheme="minorEastAsia" w:cstheme="minorEastAsia"/>
          <w:sz w:val="24"/>
          <w:szCs w:val="24"/>
        </w:rPr>
        <w:t>四、质量评估依据</w:t>
      </w:r>
      <w:bookmarkEnd w:id="3"/>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根据工程监理合同承担本项目的工程监理工作。依据国家现行法律法规及地方法律法规、国家电网公司及其他相关单位制定的光伏电站施工规范的要求，对本电站施工质量进行评估。</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评估规范、条文为：</w:t>
      </w:r>
    </w:p>
    <w:p>
      <w:pPr>
        <w:pStyle w:val="16"/>
        <w:widowControl/>
        <w:numPr>
          <w:ilvl w:val="0"/>
          <w:numId w:val="2"/>
        </w:numPr>
        <w:spacing w:line="360" w:lineRule="auto"/>
        <w:ind w:left="0"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《建筑工程监理规范》（GB50319-2013）；</w:t>
      </w:r>
    </w:p>
    <w:p>
      <w:pPr>
        <w:pStyle w:val="16"/>
        <w:widowControl/>
        <w:numPr>
          <w:ilvl w:val="0"/>
          <w:numId w:val="2"/>
        </w:numPr>
        <w:spacing w:line="360" w:lineRule="auto"/>
        <w:ind w:left="0" w:firstLine="44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《建筑地基基础工程施工质量验收规范》（GB50202-2002）；</w:t>
      </w:r>
    </w:p>
    <w:p>
      <w:pPr>
        <w:pStyle w:val="16"/>
        <w:widowControl/>
        <w:numPr>
          <w:ilvl w:val="0"/>
          <w:numId w:val="2"/>
        </w:numPr>
        <w:spacing w:line="360" w:lineRule="auto"/>
        <w:ind w:left="0" w:firstLine="44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《混凝土结构工程施工质量验收规范》（GB50203-2002）；</w:t>
      </w:r>
    </w:p>
    <w:p>
      <w:pPr>
        <w:pStyle w:val="16"/>
        <w:widowControl/>
        <w:numPr>
          <w:ilvl w:val="0"/>
          <w:numId w:val="2"/>
        </w:numPr>
        <w:spacing w:line="360" w:lineRule="auto"/>
        <w:ind w:left="0" w:firstLine="44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《屋面工程质量验收规范》（GB50207-2002）；</w:t>
      </w:r>
    </w:p>
    <w:p>
      <w:pPr>
        <w:pStyle w:val="16"/>
        <w:widowControl/>
        <w:numPr>
          <w:ilvl w:val="0"/>
          <w:numId w:val="2"/>
        </w:numPr>
        <w:spacing w:line="360" w:lineRule="auto"/>
        <w:ind w:left="0" w:firstLine="44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《建筑装饰装修工程质量验收规范》（GB50210-2001）；</w:t>
      </w:r>
    </w:p>
    <w:p>
      <w:pPr>
        <w:pStyle w:val="16"/>
        <w:widowControl/>
        <w:numPr>
          <w:ilvl w:val="0"/>
          <w:numId w:val="2"/>
        </w:numPr>
        <w:spacing w:line="360" w:lineRule="auto"/>
        <w:ind w:left="0" w:firstLine="44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《建筑给排水及采暖工程施工质量验收规范》（GB50242-2002）；</w:t>
      </w:r>
    </w:p>
    <w:p>
      <w:pPr>
        <w:widowControl/>
        <w:spacing w:line="360" w:lineRule="auto"/>
        <w:ind w:firstLine="44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 《建筑电气工程施工质量验收规范》（GB50303-2002）；</w:t>
      </w:r>
    </w:p>
    <w:p>
      <w:pPr>
        <w:widowControl/>
        <w:spacing w:line="360" w:lineRule="auto"/>
        <w:ind w:firstLine="44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 《光伏发电站施工规范》《GB50794 -2012》；</w:t>
      </w:r>
    </w:p>
    <w:p>
      <w:pPr>
        <w:widowControl/>
        <w:spacing w:line="360" w:lineRule="auto"/>
        <w:ind w:firstLine="44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 《光伏发电工程验收规范》（GB50796 -2012）；</w:t>
      </w:r>
    </w:p>
    <w:p>
      <w:pPr>
        <w:pStyle w:val="3"/>
        <w:shd w:val="clear" w:color="auto" w:fill="auto"/>
        <w:spacing w:line="360" w:lineRule="auto"/>
        <w:ind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10）.《关于开展电力工程建设标准强制性条文实施情况检查的通知》（国家电监会办公厅、建设部办公厅电输（2006）8号）；</w:t>
      </w:r>
    </w:p>
    <w:p>
      <w:pPr>
        <w:spacing w:line="360" w:lineRule="auto"/>
        <w:ind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本项目的建设监理合同、施工承包合同、招投标文件及其他有关合同、协议书。</w:t>
      </w:r>
    </w:p>
    <w:p>
      <w:pPr>
        <w:pStyle w:val="2"/>
        <w:spacing w:line="360" w:lineRule="auto"/>
        <w:rPr>
          <w:rFonts w:hint="eastAsia" w:asciiTheme="minorEastAsia" w:hAnsiTheme="minorEastAsia" w:eastAsiaTheme="minorEastAsia" w:cstheme="minorEastAsia"/>
          <w:sz w:val="24"/>
          <w:szCs w:val="24"/>
        </w:rPr>
      </w:pPr>
      <w:bookmarkStart w:id="4" w:name="_Toc408316945"/>
      <w:r>
        <w:rPr>
          <w:rFonts w:hint="eastAsia" w:asciiTheme="minorEastAsia" w:hAnsiTheme="minorEastAsia" w:eastAsiaTheme="minorEastAsia" w:cstheme="minorEastAsia"/>
          <w:sz w:val="24"/>
          <w:szCs w:val="24"/>
        </w:rPr>
        <w:t>五、施工过程质量控制综述</w:t>
      </w:r>
      <w:bookmarkEnd w:id="4"/>
    </w:p>
    <w:p>
      <w:pPr>
        <w:spacing w:line="360" w:lineRule="auto"/>
        <w:ind w:firstLine="57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Pr>
          <w:rFonts w:hint="eastAsia" w:asciiTheme="minorEastAsia" w:hAnsiTheme="minorEastAsia" w:eastAsiaTheme="minorEastAsia" w:cstheme="minorEastAsia"/>
          <w:color w:val="000000"/>
          <w:kern w:val="0"/>
          <w:sz w:val="24"/>
          <w:szCs w:val="24"/>
        </w:rPr>
        <w:t>度。</w:t>
      </w:r>
    </w:p>
    <w:p>
      <w:pPr>
        <w:spacing w:line="360" w:lineRule="auto"/>
        <w:ind w:firstLine="57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pPr>
        <w:pStyle w:val="2"/>
        <w:spacing w:line="360" w:lineRule="auto"/>
        <w:rPr>
          <w:rFonts w:hint="eastAsia" w:asciiTheme="minorEastAsia" w:hAnsiTheme="minorEastAsia" w:eastAsiaTheme="minorEastAsia" w:cstheme="minorEastAsia"/>
          <w:sz w:val="24"/>
          <w:szCs w:val="24"/>
        </w:rPr>
      </w:pPr>
      <w:bookmarkStart w:id="5" w:name="_Toc408316946"/>
      <w:r>
        <w:rPr>
          <w:rFonts w:hint="eastAsia" w:asciiTheme="minorEastAsia" w:hAnsiTheme="minorEastAsia" w:eastAsiaTheme="minorEastAsia" w:cstheme="minorEastAsia"/>
          <w:sz w:val="24"/>
          <w:szCs w:val="24"/>
        </w:rPr>
        <w:t>六、工程质量监理控制概述</w:t>
      </w:r>
      <w:bookmarkEnd w:id="5"/>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1、进度控制</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以项目建设进度目标和合同工期为依据，实施进度控制。</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①、审批和检查施工进度的落实情况（周进度、总进度），结合实际，提出意见，并督促其修改和执行，确保冬季施工规范要求。</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②、通过日常协调和周例会，检查进度，分析原因，适时纠偏，调整计划，狠抓落实；</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③、帮助施工单位查找和分析影响进度的原因，监督施工单位按建设单位要求的工程进度计划实施，监督施工单位有针对性因不同天气施工制订改善措施。  </w:t>
      </w:r>
    </w:p>
    <w:p>
      <w:pPr>
        <w:widowControl/>
        <w:spacing w:line="360" w:lineRule="auto"/>
        <w:ind w:left="360" w:hanging="36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质量控制：执行百年大计、质量第一的原则，一切服从质量需要。</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（1）、施工前质量的预控</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①施工单位资质、技术责任制、工程管理人员组成及上岗资格、特殊工种人员上岗资格、技术交底管理制度（技技术交底底、公司级交底、工地级交底、班组级交底），质量管理体系的落实。</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② 施工组织设计及专项施工方案的审查及提出切合本工程实际的建设性意见。</w:t>
      </w:r>
    </w:p>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③ 现场施工准备的质量控制（含人员、材料、设备、检测检验实验室、仪器、临建设施、临电设施、机具、机械）。</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（2）、施工过程质量控制</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在施工全过程，监理按检验程序严把质量关；</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a.把好工程材料质量检验关，签认材料报验单，杜绝不合格品用于工程。</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b.对重要分部工程，严格把关，通过验收，指令性文件、旁站等措施进行监理。</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3、安全文明施工</w:t>
      </w:r>
    </w:p>
    <w:p>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监理部自始至终十分重视安全生产及文明施工，平时反复强调安全为本的方针，针对现场安全文明方面的不良苗头及时督促整改。特别强调运输安全，高空作业安全，外脚手架及承重支架安全，规范施工机械操作及施工用电安全。在主体施工过程中，通过全体工程管理人员的努力，没有发生一起施工安全事故。</w:t>
      </w:r>
    </w:p>
    <w:p>
      <w:pPr>
        <w:pStyle w:val="2"/>
        <w:spacing w:line="360" w:lineRule="auto"/>
        <w:rPr>
          <w:rFonts w:hint="eastAsia" w:asciiTheme="minorEastAsia" w:hAnsiTheme="minorEastAsia" w:eastAsiaTheme="minorEastAsia" w:cstheme="minorEastAsia"/>
          <w:sz w:val="24"/>
          <w:szCs w:val="24"/>
        </w:rPr>
      </w:pPr>
      <w:bookmarkStart w:id="6" w:name="_Toc408316947"/>
      <w:r>
        <w:rPr>
          <w:rFonts w:hint="eastAsia" w:asciiTheme="minorEastAsia" w:hAnsiTheme="minorEastAsia" w:eastAsiaTheme="minorEastAsia" w:cstheme="minorEastAsia"/>
          <w:sz w:val="24"/>
          <w:szCs w:val="24"/>
        </w:rPr>
        <w:t>七、检验批、分项、分部工程和单位工程质量核查情况</w:t>
      </w:r>
      <w:bookmarkEnd w:id="6"/>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任何一检验批工程完工后，都要进行质量检测，验收检测在项目部内部，分两级进行，“施工跟检”主要由各工程队实施，项目经理部派人指导和监督；“复检”和“抽检”由项目经理部实施。</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分项工程由监理工程师组织施工单位分项工程技术负责人等进行验收。分项工程的验收在检验批的基础上进行。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分部工程由监理工程师组织施工单位项目、技术、质量负责人等进行验收。 </w:t>
      </w:r>
    </w:p>
    <w:p>
      <w:pPr>
        <w:spacing w:line="360" w:lineRule="auto"/>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单位工程完工后，项目部及时自行组织检查评定，并及时向业主上报单位工程验收报告。业主根据上报的单位工程验收报告，组织施工、设计、监理进行单位工程验收和单位工程观感质量评定。</w:t>
      </w:r>
      <w:r>
        <w:rPr>
          <w:rFonts w:hint="eastAsia" w:asciiTheme="minorEastAsia" w:hAnsiTheme="minorEastAsia" w:eastAsiaTheme="minorEastAsia" w:cstheme="minorEastAsia"/>
          <w:b/>
          <w:sz w:val="24"/>
          <w:szCs w:val="24"/>
        </w:rPr>
        <w:br w:type="page"/>
      </w:r>
    </w:p>
    <w:tbl>
      <w:tblPr>
        <w:tblStyle w:val="12"/>
        <w:tblpPr w:leftFromText="180" w:rightFromText="180" w:vertAnchor="page" w:horzAnchor="margin" w:tblpY="210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843"/>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59"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单位工程</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843"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分部工程</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842"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分项工程</w:t>
            </w:r>
          </w:p>
        </w:tc>
        <w:tc>
          <w:tcPr>
            <w:tcW w:w="1276"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分项工程</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验收率</w:t>
            </w:r>
          </w:p>
        </w:tc>
        <w:tc>
          <w:tcPr>
            <w:tcW w:w="1276"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分项工程</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应验</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收数</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收数</w:t>
            </w:r>
          </w:p>
        </w:tc>
        <w:tc>
          <w:tcPr>
            <w:tcW w:w="1276"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276"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lang w:eastAsia="zh-CN"/>
              </w:rPr>
            </w:pPr>
            <w:bookmarkStart w:id="7" w:name="OLE_LINK1" w:colFirst="2" w:colLast="6"/>
            <w:r>
              <w:rPr>
                <w:rFonts w:hint="eastAsia" w:asciiTheme="minorEastAsia" w:hAnsiTheme="minorEastAsia" w:eastAsiaTheme="minorEastAsia" w:cstheme="minorEastAsia"/>
                <w:sz w:val="24"/>
                <w:szCs w:val="24"/>
                <w:lang w:val="en-US" w:eastAsia="zh-CN"/>
              </w:rPr>
              <w:t>1</w:t>
            </w:r>
          </w:p>
        </w:tc>
        <w:tc>
          <w:tcPr>
            <w:tcW w:w="1559" w:type="dxa"/>
            <w:vMerge w:val="restart"/>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35KV配电室</w:t>
            </w: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地基与基础</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bookmarkStart w:id="8" w:name="OLE_LINK2" w:colFirst="2" w:colLast="6"/>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主体工程</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建筑装饰装修</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建筑屋面</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建筑给排水</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室内设备基础</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p>
        </w:tc>
        <w:tc>
          <w:tcPr>
            <w:tcW w:w="1559"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室外设备基础</w:t>
            </w: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箱变基础</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接地变基础</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SVG降压变基础</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隔离开关基础</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避雷针基础</w:t>
            </w:r>
          </w:p>
        </w:tc>
        <w:tc>
          <w:tcPr>
            <w:tcW w:w="8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559" w:type="dxa"/>
            <w:vMerge w:val="restart"/>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警卫室</w:t>
            </w:r>
          </w:p>
        </w:tc>
        <w:tc>
          <w:tcPr>
            <w:tcW w:w="1843"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地基与基础</w:t>
            </w:r>
          </w:p>
        </w:tc>
        <w:tc>
          <w:tcPr>
            <w:tcW w:w="850"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92"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主体工程</w:t>
            </w:r>
          </w:p>
        </w:tc>
        <w:tc>
          <w:tcPr>
            <w:tcW w:w="850"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建筑装饰装修</w:t>
            </w:r>
          </w:p>
        </w:tc>
        <w:tc>
          <w:tcPr>
            <w:tcW w:w="850"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992"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建筑屋面</w:t>
            </w:r>
          </w:p>
        </w:tc>
        <w:tc>
          <w:tcPr>
            <w:tcW w:w="850"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55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843"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建筑给排水</w:t>
            </w:r>
          </w:p>
        </w:tc>
        <w:tc>
          <w:tcPr>
            <w:tcW w:w="850"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92" w:type="dxa"/>
            <w:textDirection w:val="lrTb"/>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276" w:type="dxa"/>
            <w:textDirection w:val="lrTb"/>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bl>
    <w:p>
      <w:pPr>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土建工程验收统计</w:t>
      </w:r>
    </w:p>
    <w:p>
      <w:pPr>
        <w:pStyle w:val="2"/>
        <w:spacing w:line="360" w:lineRule="auto"/>
        <w:rPr>
          <w:rFonts w:hint="eastAsia" w:asciiTheme="minorEastAsia" w:hAnsiTheme="minorEastAsia" w:eastAsiaTheme="minorEastAsia" w:cstheme="minorEastAsia"/>
          <w:sz w:val="24"/>
          <w:szCs w:val="24"/>
        </w:rPr>
      </w:pPr>
      <w:bookmarkStart w:id="9" w:name="_Toc408316948"/>
      <w:r>
        <w:rPr>
          <w:rFonts w:hint="eastAsia" w:asciiTheme="minorEastAsia" w:hAnsiTheme="minorEastAsia" w:eastAsiaTheme="minorEastAsia" w:cstheme="minorEastAsia"/>
          <w:sz w:val="24"/>
          <w:szCs w:val="24"/>
        </w:rPr>
        <w:t>八、</w:t>
      </w:r>
      <w:r>
        <w:rPr>
          <w:rFonts w:hint="eastAsia" w:asciiTheme="minorEastAsia" w:hAnsiTheme="minorEastAsia" w:eastAsiaTheme="minorEastAsia" w:cstheme="minorEastAsia"/>
          <w:color w:val="000000"/>
          <w:kern w:val="21"/>
          <w:sz w:val="24"/>
          <w:szCs w:val="24"/>
        </w:rPr>
        <w:t>工程质量评估结论</w:t>
      </w:r>
      <w:bookmarkEnd w:id="9"/>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料认真进行核查，对工程实物和资料上存在的问题，提出限期整改要求、通过整改复查得出以下结论：  </w:t>
      </w:r>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8.1各分部的各种工程质量控制资料齐全、有效，符合要求。  </w:t>
      </w:r>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8.2各分部安全和功能检验资料核查齐全，各主要使用功能抽查合格。 </w:t>
      </w:r>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8.3感官质量评价：良好。 </w:t>
      </w:r>
    </w:p>
    <w:p>
      <w:pPr>
        <w:widowControl/>
        <w:spacing w:line="360" w:lineRule="auto"/>
        <w:ind w:firstLine="56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8.4质量评估结论：</w:t>
      </w:r>
      <w:r>
        <w:rPr>
          <w:rFonts w:hint="eastAsia" w:asciiTheme="minorEastAsia" w:hAnsiTheme="minorEastAsia" w:eastAsiaTheme="minorEastAsia" w:cstheme="minorEastAsia"/>
          <w:kern w:val="0"/>
          <w:sz w:val="24"/>
          <w:szCs w:val="24"/>
          <w:lang w:eastAsia="zh-CN"/>
        </w:rPr>
        <w:t>合格</w:t>
      </w:r>
      <w:r>
        <w:rPr>
          <w:rFonts w:hint="eastAsia" w:asciiTheme="minorEastAsia" w:hAnsiTheme="minorEastAsia" w:eastAsiaTheme="minorEastAsia" w:cstheme="minorEastAsia"/>
          <w:kern w:val="0"/>
          <w:sz w:val="24"/>
          <w:szCs w:val="24"/>
        </w:rPr>
        <w:t>。</w:t>
      </w:r>
    </w:p>
    <w:p>
      <w:pPr>
        <w:widowControl/>
        <w:spacing w:line="360" w:lineRule="auto"/>
        <w:jc w:val="center"/>
        <w:rPr>
          <w:rFonts w:hint="eastAsia" w:asciiTheme="minorEastAsia" w:hAnsiTheme="minorEastAsia" w:eastAsiaTheme="minorEastAsia" w:cstheme="minorEastAsia"/>
          <w:kern w:val="0"/>
          <w:sz w:val="24"/>
          <w:szCs w:val="24"/>
        </w:rPr>
      </w:pPr>
      <w:bookmarkStart w:id="10" w:name="_GoBack"/>
      <w:bookmarkEnd w:id="10"/>
      <w:r>
        <w:rPr>
          <w:rFonts w:hint="eastAsia" w:asciiTheme="minorEastAsia" w:hAnsiTheme="minorEastAsia" w:eastAsiaTheme="minorEastAsia" w:cstheme="minorEastAsia"/>
          <w:kern w:val="0"/>
          <w:sz w:val="24"/>
          <w:szCs w:val="24"/>
        </w:rPr>
        <w:t xml:space="preserve">             </w:t>
      </w:r>
    </w:p>
    <w:p>
      <w:pPr>
        <w:widowControl/>
        <w:spacing w:line="360" w:lineRule="auto"/>
        <w:rPr>
          <w:rFonts w:hint="eastAsia" w:asciiTheme="minorEastAsia" w:hAnsiTheme="minorEastAsia" w:eastAsiaTheme="minorEastAsia" w:cstheme="minorEastAsia"/>
          <w:sz w:val="24"/>
          <w:szCs w:val="24"/>
        </w:rPr>
      </w:pPr>
    </w:p>
    <w:p>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总监理工程师：           时间： </w:t>
      </w:r>
    </w:p>
    <w:p>
      <w:pPr>
        <w:widowControl/>
        <w:spacing w:line="440" w:lineRule="atLeast"/>
        <w:jc w:val="center"/>
        <w:rPr>
          <w:rFonts w:ascii="仿宋_GB2312" w:eastAsia="仿宋_GB2312"/>
          <w:kern w:val="0"/>
          <w:sz w:val="28"/>
          <w:szCs w:val="28"/>
        </w:rPr>
      </w:pPr>
    </w:p>
    <w:p>
      <w:pPr>
        <w:spacing w:line="360" w:lineRule="auto"/>
        <w:ind w:firstLine="573"/>
        <w:jc w:val="left"/>
        <w:rPr>
          <w:sz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-979170</wp:posOffset>
                </wp:positionH>
                <wp:positionV relativeFrom="paragraph">
                  <wp:posOffset>168275</wp:posOffset>
                </wp:positionV>
                <wp:extent cx="6055360" cy="1397000"/>
                <wp:effectExtent l="0" t="0" r="21590" b="1270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ln>
                      </wps:spPr>
                      <wps:txbx>
                        <w:txbxContent>
                          <w:p>
                            <w:r>
                              <w:rPr>
                                <w:rFonts w:hint="eastAsia"/>
                                <w:sz w:val="36"/>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7.1pt;margin-top:13.25pt;height:110pt;width:476.8pt;z-index:251659264;mso-width-relative:page;mso-height-relative:page;" fillcolor="#FFFFFF" filled="t" stroked="t" coordsize="21600,21600" o:gfxdata="UEsDBAoAAAAAAIdO4kAAAAAAAAAAAAAAAAAEAAAAZHJzL1BLAwQUAAAACACHTuJAmBovw9kAAAAL&#10;AQAADwAAAGRycy9kb3ducmV2LnhtbE2PwU7DMAyG70i8Q2QkLmhLWnWDlaYTmkCcN7hwyxqvrWic&#10;tsnWjafHnNjRvz/9/lysz64TJxxD60lDMlcgkCpvW6o1fH68zZ5AhGjIms4TarhggHV5e1OY3PqJ&#10;tnjaxVpwCYXcaGhi7HMpQ9WgM2HueyTeHfzoTORxrKUdzcTlrpOpUkvpTEt8oTE9bhqsvndHp8FP&#10;rxfncVDpw9ePe9+8DNtDOmh9f5eoZxARz/Efhj99VoeSnfb+SDaITsMsWWQpsxrS5QIEE4+rVQZi&#10;z0HGiSwLef1D+QtQSwMEFAAAAAgAh07iQLeBp6AdAgAAMAQAAA4AAABkcnMvZTJvRG9jLnhtbK1T&#10;S27bMBDdF+gdCO5ryf9YsBykDlwUSD9A2gNQFGURJTkqSVtyD9DcoKtuuu+5fI4OKcc10l1QLQiO&#10;Zvg4773h8rrTiuyFdRJMToeDlBJhOJTSbHP6+dPm1RUlzjNTMgVG5PQgHL1evXyxbJtMjKAGVQpL&#10;EMS4rG1yWnvfZEnieC00cwNohMFkBVYzj6HdJqVlLaJrlYzSdJa0YMvGAhfO4d/bPklXEb+qBPcf&#10;qsoJT1ROsTcfVxvXIqzJasmyrWVNLfmpDfaMLjSTBi89Q90yz8jOyn+gtOQWHFR+wEEnUFWSi8gB&#10;2QzTJ2zua9aIyAXFcc1ZJvf/YPn7/UdLZJnTcTqnxDCNJh1/PBx//j7++k5GQaC2cRnW3TdY6bvX&#10;0KHRkaxr7oB/ccTAumZmK26shbYWrMQGh+FkcnG0x3EBpGjfQYn3sJ2HCNRVVgf1UA+C6GjU4WyO&#10;6Dzh+HOWTqfjGaY45objxTxNo30Jyx6PN9b5NwI0CZucWnQ/wrP9nfOhHZY9loTbHChZbqRSMbDb&#10;Yq0s2TOclE38IoMnZcqQNqeL6WjaK/AMCC09jrySOqdXyOHMQpmTYEGjXi3fFd3JgALKA0pnoR9h&#10;fHK4qcF+o6TF8c2p+7pjVlCi3hqUfzGcTMK8x2AynY8wsJeZ4jLDDEeonHpK+u3axzcShDFwgzZV&#10;MgoY/Ow7OfWKYxl1PT2hMPeXcaz6+9B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Gi/D2QAA&#10;AAsBAAAPAAAAAAAAAAEAIAAAACIAAABkcnMvZG93bnJldi54bWxQSwECFAAUAAAACACHTuJAt4Gn&#10;oB0CAAAwBAAADgAAAAAAAAABACAAAAAoAQAAZHJzL2Uyb0RvYy54bWxQSwUGAAAAAAYABgBZAQAA&#10;twUAAAAA&#10;">
                <v:fill on="t" focussize="0,0"/>
                <v:stroke color="#FFFFFF [3212]" miterlimit="8" joinstyle="miter"/>
                <v:imagedata o:title=""/>
                <o:lock v:ext="edit" aspectratio="f"/>
                <v:textbox>
                  <w:txbxContent>
                    <w:p>
                      <w:r>
                        <w:rPr>
                          <w:rFonts w:hint="eastAsia"/>
                          <w:sz w:val="36"/>
                        </w:rPr>
                        <w:t xml:space="preserve">                </w:t>
                      </w:r>
                    </w:p>
                  </w:txbxContent>
                </v:textbox>
              </v:shape>
            </w:pict>
          </mc:Fallback>
        </mc:AlternateContent>
      </w:r>
      <w:r>
        <w:rPr>
          <w:rFonts w:hint="eastAsia"/>
          <w:sz w:val="36"/>
        </w:rPr>
        <w:t xml:space="preserve">            </w:t>
      </w:r>
    </w:p>
    <w:sectPr>
      <w:headerReference r:id="rId3" w:type="default"/>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0000000000000000000"/>
    <w:charset w:val="86"/>
    <w:family w:val="swiss"/>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Arial">
    <w:panose1 w:val="020B0604020202020204"/>
    <w:charset w:val="00"/>
    <w:family w:val="roman"/>
    <w:pitch w:val="default"/>
    <w:sig w:usb0="E0002AFF" w:usb1="C0007843" w:usb2="00000009" w:usb3="00000000" w:csb0="400001FF" w:csb1="FFFF0000"/>
  </w:font>
  <w:font w:name="仿宋_GB2312">
    <w:altName w:val="仿宋"/>
    <w:panose1 w:val="00000000000000000000"/>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Arial">
    <w:panose1 w:val="020B0604020202020204"/>
    <w:charset w:val="00"/>
    <w:family w:val="modern"/>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EAIIOD+TimesNewRoman,Bold">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大标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Bold">
    <w:altName w:val="Times New Roman"/>
    <w:panose1 w:val="00000000000000000000"/>
    <w:charset w:val="00"/>
    <w:family w:val="modern"/>
    <w:pitch w:val="default"/>
    <w:sig w:usb0="00000000" w:usb1="00000000" w:usb2="00000000" w:usb3="00000000" w:csb0="00040001" w:csb1="00000000"/>
  </w:font>
  <w:font w:name="BLKONF+SimHei">
    <w:altName w:val="Times New Roman"/>
    <w:panose1 w:val="00000000000000000000"/>
    <w:charset w:val="00"/>
    <w:family w:val="modern"/>
    <w:pitch w:val="default"/>
    <w:sig w:usb0="00000000" w:usb1="00000000" w:usb2="00000000" w:usb3="00000000" w:csb0="00040001" w:csb1="00000000"/>
  </w:font>
  <w:font w:name="BLMHPE+FZXBSK--GBK1-0">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_GBK">
    <w:altName w:val="黑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黑体">
    <w:panose1 w:val="02010609060101010101"/>
    <w:charset w:val="86"/>
    <w:family w:val="script"/>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159871"/>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0C7"/>
    <w:multiLevelType w:val="multilevel"/>
    <w:tmpl w:val="0B2530C7"/>
    <w:lvl w:ilvl="0" w:tentative="0">
      <w:start w:val="1"/>
      <w:numFmt w:val="decimal"/>
      <w:lvlText w:val="%1)"/>
      <w:lvlJc w:val="left"/>
      <w:pPr>
        <w:ind w:left="1110" w:hanging="420"/>
      </w:pPr>
    </w:lvl>
    <w:lvl w:ilvl="1" w:tentative="0">
      <w:start w:val="1"/>
      <w:numFmt w:val="lowerLetter"/>
      <w:lvlText w:val="%2)"/>
      <w:lvlJc w:val="left"/>
      <w:pPr>
        <w:ind w:left="1530" w:hanging="420"/>
      </w:pPr>
    </w:lvl>
    <w:lvl w:ilvl="2" w:tentative="0">
      <w:start w:val="1"/>
      <w:numFmt w:val="lowerRoman"/>
      <w:lvlText w:val="%3."/>
      <w:lvlJc w:val="right"/>
      <w:pPr>
        <w:ind w:left="1950" w:hanging="420"/>
      </w:pPr>
    </w:lvl>
    <w:lvl w:ilvl="3" w:tentative="0">
      <w:start w:val="1"/>
      <w:numFmt w:val="decimal"/>
      <w:lvlText w:val="%4."/>
      <w:lvlJc w:val="left"/>
      <w:pPr>
        <w:ind w:left="2370" w:hanging="420"/>
      </w:pPr>
    </w:lvl>
    <w:lvl w:ilvl="4" w:tentative="0">
      <w:start w:val="1"/>
      <w:numFmt w:val="lowerLetter"/>
      <w:lvlText w:val="%5)"/>
      <w:lvlJc w:val="left"/>
      <w:pPr>
        <w:ind w:left="2790" w:hanging="420"/>
      </w:pPr>
    </w:lvl>
    <w:lvl w:ilvl="5" w:tentative="0">
      <w:start w:val="1"/>
      <w:numFmt w:val="lowerRoman"/>
      <w:lvlText w:val="%6."/>
      <w:lvlJc w:val="right"/>
      <w:pPr>
        <w:ind w:left="3210" w:hanging="420"/>
      </w:pPr>
    </w:lvl>
    <w:lvl w:ilvl="6" w:tentative="0">
      <w:start w:val="1"/>
      <w:numFmt w:val="decimal"/>
      <w:lvlText w:val="%7."/>
      <w:lvlJc w:val="left"/>
      <w:pPr>
        <w:ind w:left="3630" w:hanging="420"/>
      </w:pPr>
    </w:lvl>
    <w:lvl w:ilvl="7" w:tentative="0">
      <w:start w:val="1"/>
      <w:numFmt w:val="lowerLetter"/>
      <w:lvlText w:val="%8)"/>
      <w:lvlJc w:val="left"/>
      <w:pPr>
        <w:ind w:left="4050" w:hanging="420"/>
      </w:pPr>
    </w:lvl>
    <w:lvl w:ilvl="8" w:tentative="0">
      <w:start w:val="1"/>
      <w:numFmt w:val="lowerRoman"/>
      <w:lvlText w:val="%9."/>
      <w:lvlJc w:val="right"/>
      <w:pPr>
        <w:ind w:left="4470" w:hanging="420"/>
      </w:pPr>
    </w:lvl>
  </w:abstractNum>
  <w:abstractNum w:abstractNumId="1">
    <w:nsid w:val="510E4292"/>
    <w:multiLevelType w:val="multilevel"/>
    <w:tmpl w:val="510E4292"/>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183F62"/>
    <w:rsid w:val="002F20D8"/>
    <w:rsid w:val="00466262"/>
    <w:rsid w:val="004F46DC"/>
    <w:rsid w:val="00580B7B"/>
    <w:rsid w:val="005D04BC"/>
    <w:rsid w:val="00625BC5"/>
    <w:rsid w:val="006B54B9"/>
    <w:rsid w:val="0074047A"/>
    <w:rsid w:val="008501C3"/>
    <w:rsid w:val="008B4EAD"/>
    <w:rsid w:val="00933810"/>
    <w:rsid w:val="00933B73"/>
    <w:rsid w:val="009F48ED"/>
    <w:rsid w:val="00A44986"/>
    <w:rsid w:val="00AA3D43"/>
    <w:rsid w:val="00AC196E"/>
    <w:rsid w:val="00AF4062"/>
    <w:rsid w:val="00B456B1"/>
    <w:rsid w:val="00B52931"/>
    <w:rsid w:val="00B76273"/>
    <w:rsid w:val="00DB793E"/>
    <w:rsid w:val="00E47CB3"/>
    <w:rsid w:val="00E729ED"/>
    <w:rsid w:val="00E923B9"/>
    <w:rsid w:val="00EA6617"/>
    <w:rsid w:val="00F802C5"/>
    <w:rsid w:val="024A59CE"/>
    <w:rsid w:val="062318A1"/>
    <w:rsid w:val="06F05772"/>
    <w:rsid w:val="08D95DB1"/>
    <w:rsid w:val="0B5867A4"/>
    <w:rsid w:val="0E3F056D"/>
    <w:rsid w:val="0F88760A"/>
    <w:rsid w:val="12BC6306"/>
    <w:rsid w:val="14B6794D"/>
    <w:rsid w:val="1B841B34"/>
    <w:rsid w:val="1D91396D"/>
    <w:rsid w:val="24D6447F"/>
    <w:rsid w:val="2EA53E15"/>
    <w:rsid w:val="37C43F41"/>
    <w:rsid w:val="3CAC262F"/>
    <w:rsid w:val="40957F84"/>
    <w:rsid w:val="45976A35"/>
    <w:rsid w:val="49F41BE5"/>
    <w:rsid w:val="4ADA1C50"/>
    <w:rsid w:val="4C791583"/>
    <w:rsid w:val="5602260C"/>
    <w:rsid w:val="58A67133"/>
    <w:rsid w:val="5ACB0BA8"/>
    <w:rsid w:val="5D6148F4"/>
    <w:rsid w:val="62AE6ADA"/>
    <w:rsid w:val="64041375"/>
    <w:rsid w:val="6C3B2052"/>
    <w:rsid w:val="7072278A"/>
    <w:rsid w:val="76FF3B67"/>
    <w:rsid w:val="7A7B5C17"/>
    <w:rsid w:val="7BCA096B"/>
    <w:rsid w:val="7C1C7F3D"/>
    <w:rsid w:val="7C67532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line="360" w:lineRule="auto"/>
      <w:jc w:val="left"/>
      <w:outlineLvl w:val="0"/>
    </w:pPr>
    <w:rPr>
      <w:b/>
      <w:bCs/>
      <w:kern w:val="44"/>
      <w:sz w:val="32"/>
      <w:szCs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7"/>
    <w:qFormat/>
    <w:uiPriority w:val="0"/>
    <w:pPr>
      <w:widowControl/>
      <w:shd w:val="clear" w:color="auto" w:fill="FFFFFF"/>
      <w:spacing w:line="435" w:lineRule="exact"/>
      <w:jc w:val="left"/>
    </w:pPr>
    <w:rPr>
      <w:rFonts w:ascii="宋体" w:hAnsiTheme="minorHAnsi" w:eastAsiaTheme="minorEastAsia" w:cstheme="minorBidi"/>
      <w:sz w:val="17"/>
      <w:szCs w:val="17"/>
    </w:rPr>
  </w:style>
  <w:style w:type="paragraph" w:styleId="4">
    <w:name w:val="Date"/>
    <w:basedOn w:val="1"/>
    <w:next w:val="1"/>
    <w:link w:val="22"/>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7"/>
    <w:qFormat/>
    <w:uiPriority w:val="99"/>
    <w:rPr>
      <w:rFonts w:ascii="Times New Roman" w:hAnsi="Times New Roman" w:eastAsia="宋体" w:cs="Times New Roman"/>
      <w:sz w:val="18"/>
      <w:szCs w:val="18"/>
    </w:rPr>
  </w:style>
  <w:style w:type="character" w:customStyle="1" w:styleId="14">
    <w:name w:val="页脚 Char"/>
    <w:basedOn w:val="9"/>
    <w:link w:val="6"/>
    <w:uiPriority w:val="99"/>
    <w:rPr>
      <w:rFonts w:ascii="Times New Roman" w:hAnsi="Times New Roman" w:eastAsia="宋体" w:cs="Times New Roman"/>
      <w:sz w:val="18"/>
      <w:szCs w:val="18"/>
    </w:rPr>
  </w:style>
  <w:style w:type="character" w:customStyle="1" w:styleId="15">
    <w:name w:val="标题 1 Char"/>
    <w:basedOn w:val="9"/>
    <w:link w:val="2"/>
    <w:uiPriority w:val="9"/>
    <w:rPr>
      <w:rFonts w:ascii="Times New Roman" w:hAnsi="Times New Roman" w:eastAsia="宋体" w:cs="Times New Roman"/>
      <w:b/>
      <w:bCs/>
      <w:kern w:val="44"/>
      <w:sz w:val="32"/>
      <w:szCs w:val="44"/>
    </w:rPr>
  </w:style>
  <w:style w:type="paragraph" w:customStyle="1" w:styleId="16">
    <w:name w:val="List Paragraph"/>
    <w:basedOn w:val="1"/>
    <w:qFormat/>
    <w:uiPriority w:val="34"/>
    <w:pPr>
      <w:ind w:firstLine="420" w:firstLineChars="200"/>
    </w:pPr>
  </w:style>
  <w:style w:type="character" w:customStyle="1" w:styleId="17">
    <w:name w:val="正文文本 Char"/>
    <w:basedOn w:val="9"/>
    <w:link w:val="3"/>
    <w:qFormat/>
    <w:uiPriority w:val="0"/>
    <w:rPr>
      <w:rFonts w:ascii="宋体"/>
      <w:sz w:val="17"/>
      <w:szCs w:val="17"/>
      <w:shd w:val="clear" w:color="auto" w:fill="FFFFFF"/>
    </w:rPr>
  </w:style>
  <w:style w:type="paragraph" w:customStyle="1" w:styleId="18">
    <w:name w:val="正文文本 (25)"/>
    <w:basedOn w:val="1"/>
    <w:qFormat/>
    <w:uiPriority w:val="0"/>
    <w:pPr>
      <w:widowControl/>
      <w:shd w:val="clear" w:color="auto" w:fill="FFFFFF"/>
      <w:spacing w:before="600" w:after="240" w:line="600" w:lineRule="exact"/>
      <w:jc w:val="right"/>
    </w:pPr>
    <w:rPr>
      <w:rFonts w:ascii="宋体"/>
      <w:sz w:val="24"/>
    </w:rPr>
  </w:style>
  <w:style w:type="character" w:customStyle="1" w:styleId="19">
    <w:name w:val="正文文本 Char1"/>
    <w:basedOn w:val="9"/>
    <w:semiHidden/>
    <w:uiPriority w:val="99"/>
    <w:rPr>
      <w:rFonts w:ascii="Times New Roman" w:hAnsi="Times New Roman" w:eastAsia="宋体" w:cs="Times New Roman"/>
      <w:szCs w:val="24"/>
    </w:rPr>
  </w:style>
  <w:style w:type="character" w:customStyle="1" w:styleId="20">
    <w:name w:val="批注框文本 Char"/>
    <w:basedOn w:val="9"/>
    <w:link w:val="5"/>
    <w:semiHidden/>
    <w:qFormat/>
    <w:uiPriority w:val="99"/>
    <w:rPr>
      <w:rFonts w:ascii="Times New Roman" w:hAnsi="Times New Roman" w:eastAsia="宋体" w:cs="Times New Roman"/>
      <w:sz w:val="18"/>
      <w:szCs w:val="18"/>
    </w:rPr>
  </w:style>
  <w:style w:type="paragraph" w:customStyle="1" w:styleId="21">
    <w:name w:val="TOC Heading"/>
    <w:basedOn w:val="2"/>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日期 Char"/>
    <w:basedOn w:val="9"/>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F0A6A-27AD-44FC-AA19-A2046A413C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682</Words>
  <Characters>3894</Characters>
  <Lines>32</Lines>
  <Paragraphs>9</Paragraphs>
  <ScaleCrop>false</ScaleCrop>
  <LinksUpToDate>false</LinksUpToDate>
  <CharactersWithSpaces>4567</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质量评估报告</cp:category>
  <dcterms:created xsi:type="dcterms:W3CDTF">2015-01-06T05:59:00Z</dcterms:created>
  <dc:creator>DELL-N4050</dc:creator>
  <cp:keywords>正衡监理</cp:keywords>
  <cp:lastModifiedBy>Administrator</cp:lastModifiedBy>
  <cp:lastPrinted>2014-12-23T16:50:00Z</cp:lastPrinted>
  <dcterms:modified xsi:type="dcterms:W3CDTF">2016-07-03T09:33:48Z</dcterms:modified>
  <dc:title>中利腾晖吐鲁番三期</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