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宁波杭州湾新区跨境电商仓储（一期）光伏电站建设项目</w:t>
      </w:r>
    </w:p>
    <w:p>
      <w:pPr>
        <w:adjustRightInd w:val="0"/>
        <w:snapToGrid w:val="0"/>
        <w:spacing w:line="360" w:lineRule="auto"/>
        <w:rPr>
          <w:rFonts w:ascii="宋体"/>
          <w:bCs/>
          <w:sz w:val="24"/>
        </w:rPr>
      </w:pPr>
    </w:p>
    <w:p>
      <w:pPr>
        <w:adjustRightInd w:val="0"/>
        <w:snapToGrid w:val="0"/>
        <w:spacing w:line="360" w:lineRule="auto"/>
        <w:ind w:left="178" w:leftChars="85"/>
        <w:jc w:val="center"/>
        <w:rPr>
          <w:rFonts w:ascii="宋体"/>
          <w:b/>
          <w:sz w:val="36"/>
          <w:szCs w:val="36"/>
        </w:rPr>
      </w:pPr>
    </w:p>
    <w:p>
      <w:pPr>
        <w:tabs>
          <w:tab w:val="left" w:pos="1130"/>
          <w:tab w:val="center" w:pos="432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tabs>
          <w:tab w:val="left" w:pos="1130"/>
          <w:tab w:val="center" w:pos="4320"/>
        </w:tabs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84"/>
          <w:szCs w:val="84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  <w:lang w:val="zh-CN"/>
        </w:rPr>
        <w:t>工程质量评估报告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</w:rPr>
      </w:pPr>
    </w:p>
    <w:p>
      <w:pPr>
        <w:pStyle w:val="13"/>
        <w:ind w:firstLine="711"/>
        <w:rPr>
          <w:rFonts w:ascii="宋体" w:hAnsi="宋体" w:eastAsia="宋体" w:cs="宋体"/>
          <w:sz w:val="24"/>
          <w:szCs w:val="24"/>
        </w:rPr>
      </w:pPr>
    </w:p>
    <w:p>
      <w:pPr>
        <w:pStyle w:val="13"/>
        <w:ind w:firstLine="0" w:firstLineChars="0"/>
        <w:rPr>
          <w:rFonts w:ascii="宋体" w:hAnsi="宋体" w:eastAsia="宋体" w:cs="宋体"/>
          <w:b w:val="0"/>
          <w:sz w:val="24"/>
          <w:szCs w:val="24"/>
        </w:rPr>
      </w:pPr>
    </w:p>
    <w:p>
      <w:pPr>
        <w:pStyle w:val="13"/>
        <w:ind w:firstLine="708"/>
        <w:rPr>
          <w:rFonts w:ascii="宋体" w:hAnsi="宋体" w:eastAsia="宋体" w:cs="宋体"/>
          <w:b w:val="0"/>
          <w:sz w:val="24"/>
          <w:szCs w:val="24"/>
        </w:rPr>
      </w:pPr>
    </w:p>
    <w:p>
      <w:pPr>
        <w:pStyle w:val="13"/>
        <w:ind w:firstLine="708"/>
        <w:rPr>
          <w:rFonts w:ascii="宋体" w:hAnsi="宋体" w:eastAsia="宋体" w:cs="宋体"/>
          <w:b w:val="0"/>
          <w:sz w:val="24"/>
          <w:szCs w:val="24"/>
        </w:rPr>
      </w:pPr>
    </w:p>
    <w:p>
      <w:pPr>
        <w:pStyle w:val="16"/>
        <w:spacing w:line="360" w:lineRule="auto"/>
        <w:ind w:firstLine="708" w:firstLineChars="295"/>
        <w:rPr>
          <w:rFonts w:ascii="宋体" w:cs="宋体"/>
        </w:rPr>
      </w:pPr>
    </w:p>
    <w:p>
      <w:pPr>
        <w:pStyle w:val="16"/>
        <w:spacing w:line="360" w:lineRule="auto"/>
        <w:ind w:firstLine="708" w:firstLineChars="295"/>
        <w:rPr>
          <w:rFonts w:ascii="宋体" w:cs="宋体"/>
        </w:rPr>
      </w:pPr>
    </w:p>
    <w:p>
      <w:pPr>
        <w:pStyle w:val="16"/>
        <w:spacing w:line="360" w:lineRule="auto"/>
        <w:ind w:firstLine="708" w:firstLineChars="295"/>
        <w:rPr>
          <w:rFonts w:ascii="宋体" w:cs="宋体"/>
        </w:rPr>
      </w:pPr>
    </w:p>
    <w:p>
      <w:pPr>
        <w:pStyle w:val="16"/>
        <w:spacing w:line="360" w:lineRule="auto"/>
        <w:ind w:firstLine="708" w:firstLineChars="295"/>
        <w:rPr>
          <w:rFonts w:ascii="宋体" w:cs="宋体"/>
        </w:rPr>
      </w:pPr>
    </w:p>
    <w:p>
      <w:pPr>
        <w:pStyle w:val="16"/>
        <w:spacing w:line="360" w:lineRule="auto"/>
        <w:ind w:firstLine="708" w:firstLineChars="295"/>
        <w:rPr>
          <w:rFonts w:ascii="宋体" w:cs="宋体"/>
        </w:rPr>
      </w:pPr>
    </w:p>
    <w:p>
      <w:pPr>
        <w:pStyle w:val="16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常州正衡电力工程监理有限公司</w:t>
      </w:r>
    </w:p>
    <w:p>
      <w:pPr>
        <w:pStyle w:val="16"/>
        <w:spacing w:line="360" w:lineRule="auto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宁波杭州湾新区跨境电商仓储（一期）光伏电站建设</w:t>
      </w:r>
    </w:p>
    <w:p>
      <w:pPr>
        <w:pStyle w:val="16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监理项目部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sz w:val="36"/>
          <w:szCs w:val="36"/>
          <w:lang w:val="zh-CN"/>
        </w:rPr>
      </w:pPr>
      <w:r>
        <w:rPr>
          <w:rFonts w:ascii="宋体" w:hAnsi="宋体" w:cs="宋体"/>
          <w:b/>
          <w:sz w:val="36"/>
          <w:szCs w:val="36"/>
        </w:rPr>
        <w:t>2017</w:t>
      </w:r>
      <w:r>
        <w:rPr>
          <w:rFonts w:hint="eastAsia" w:ascii="宋体" w:hAnsi="宋体" w:cs="宋体"/>
          <w:b/>
          <w:sz w:val="36"/>
          <w:szCs w:val="36"/>
          <w:lang w:val="zh-CN"/>
        </w:rPr>
        <w:t>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sz w:val="36"/>
          <w:szCs w:val="36"/>
          <w:lang w:val="zh-CN"/>
        </w:rPr>
        <w:t>月</w:t>
      </w: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before="163" w:after="163" w:line="360" w:lineRule="auto"/>
        <w:rPr>
          <w:rFonts w:ascii="宋体" w:cs="宋体"/>
          <w:b/>
          <w:sz w:val="24"/>
        </w:rPr>
      </w:pPr>
      <w:bookmarkStart w:id="0" w:name="_Toc279929491"/>
      <w:r>
        <w:rPr>
          <w:rFonts w:hint="eastAsia" w:ascii="宋体" w:hAnsi="宋体" w:cs="宋体"/>
          <w:b/>
          <w:sz w:val="24"/>
        </w:rPr>
        <w:t>一、参建单位：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工程名称：</w:t>
      </w:r>
      <w:r>
        <w:rPr>
          <w:rFonts w:hint="eastAsia" w:ascii="宋体" w:hAnsi="宋体" w:cs="宋体"/>
          <w:sz w:val="24"/>
          <w:lang w:eastAsia="zh-CN"/>
        </w:rPr>
        <w:t>宁波杭州湾新区跨境电商仓储（一期）光伏电站建设项目</w:t>
      </w:r>
    </w:p>
    <w:p>
      <w:pPr>
        <w:ind w:firstLine="405" w:firstLineChars="169"/>
        <w:rPr>
          <w:sz w:val="24"/>
        </w:rPr>
      </w:pPr>
      <w:r>
        <w:rPr>
          <w:rFonts w:hint="eastAsia" w:ascii="宋体" w:hAnsi="宋体" w:cs="宋体"/>
          <w:sz w:val="24"/>
        </w:rPr>
        <w:t>工程地点：</w:t>
      </w:r>
      <w:r>
        <w:rPr>
          <w:rFonts w:hint="eastAsia" w:ascii="宋体" w:hAnsi="宋体"/>
          <w:bCs/>
          <w:lang w:val="en-US" w:eastAsia="zh-CN"/>
        </w:rPr>
        <w:t>浙江省杭州湾新区慈溪市出口加工区内，南临规划路、东临巡逻道、西临规划路、北至晓塘路。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建设单位：</w:t>
      </w:r>
      <w:r>
        <w:rPr>
          <w:rFonts w:hint="eastAsia" w:ascii="宋体" w:hAnsi="宋体" w:cs="宋体"/>
          <w:sz w:val="24"/>
          <w:lang w:eastAsia="zh-CN"/>
        </w:rPr>
        <w:t>宁波海晟能源发展有限公司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eastAsia="zh-CN"/>
        </w:rPr>
        <w:t>中机国能浙江工程有限公司</w:t>
      </w:r>
    </w:p>
    <w:p>
      <w:pPr>
        <w:spacing w:line="360" w:lineRule="auto"/>
        <w:rPr>
          <w:rFonts w:ascii="宋体" w:hAnsi="宋体"/>
          <w:highlight w:val="yellow"/>
        </w:rPr>
      </w:pPr>
      <w:r>
        <w:rPr>
          <w:rFonts w:hint="eastAsia" w:ascii="宋体" w:hAnsi="宋体" w:cs="宋体"/>
          <w:sz w:val="24"/>
        </w:rPr>
        <w:t xml:space="preserve">    设计单位：</w:t>
      </w:r>
      <w:r>
        <w:rPr>
          <w:rFonts w:hint="eastAsia" w:ascii="宋体" w:hAnsi="宋体" w:cs="宋体"/>
          <w:sz w:val="24"/>
          <w:lang w:eastAsia="zh-CN"/>
        </w:rPr>
        <w:t>中机国能浙江工程有限公司</w:t>
      </w: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监理单位：常州正衡电力工程监理有限公司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</w:rPr>
        <w:t>二、工程概况：</w:t>
      </w:r>
      <w:r>
        <w:rPr>
          <w:rFonts w:hint="eastAsia" w:ascii="宋体" w:hAnsi="宋体" w:cs="宋体"/>
          <w:sz w:val="24"/>
          <w:szCs w:val="24"/>
        </w:rPr>
        <w:t>本项目建设装机容量为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3.635</w:t>
      </w:r>
      <w:r>
        <w:rPr>
          <w:rFonts w:ascii="宋体" w:hAnsi="宋体" w:cs="宋体"/>
          <w:sz w:val="24"/>
          <w:szCs w:val="24"/>
        </w:rPr>
        <w:t>MW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宁波杭州湾新区跨境电商仓储（一期）</w:t>
      </w:r>
      <w:r>
        <w:rPr>
          <w:rFonts w:hint="eastAsia" w:ascii="宋体" w:hAnsi="宋体" w:cs="宋体"/>
          <w:sz w:val="24"/>
          <w:szCs w:val="24"/>
        </w:rPr>
        <w:t>屋顶光伏发电项目。属新建光伏电站，包括太阳能光伏屋顶发电系统及相应的配套并网设施。项目位于浙江省慈溪市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出口加工区内</w:t>
      </w:r>
      <w:r>
        <w:rPr>
          <w:rFonts w:hint="eastAsia" w:ascii="宋体" w:hAnsi="宋体" w:cs="宋体"/>
          <w:sz w:val="24"/>
          <w:szCs w:val="24"/>
        </w:rPr>
        <w:t>。其中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宁波杭州湾新区跨境电商仓储（一期）为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个屋顶，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一个现浇混凝土屋面，三个彩钢瓦屋面，</w:t>
      </w:r>
      <w:r>
        <w:rPr>
          <w:rFonts w:hint="eastAsia" w:ascii="宋体" w:hAnsi="宋体" w:cs="宋体"/>
          <w:sz w:val="24"/>
          <w:szCs w:val="24"/>
        </w:rPr>
        <w:t>容量为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3.635</w:t>
      </w:r>
      <w:r>
        <w:rPr>
          <w:rFonts w:ascii="宋体" w:hAnsi="宋体" w:cs="宋体"/>
          <w:sz w:val="24"/>
          <w:szCs w:val="24"/>
        </w:rPr>
        <w:t>MW</w:t>
      </w:r>
      <w:r>
        <w:rPr>
          <w:rFonts w:hint="eastAsia" w:ascii="宋体" w:hAnsi="宋体" w:cs="宋体"/>
          <w:sz w:val="24"/>
          <w:szCs w:val="24"/>
        </w:rPr>
        <w:t>。面积分别约为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40000</w:t>
      </w:r>
      <w:r>
        <w:rPr>
          <w:rFonts w:hint="eastAsia" w:ascii="宋体" w:hAnsi="宋体" w:cs="宋体"/>
          <w:sz w:val="24"/>
          <w:szCs w:val="24"/>
        </w:rPr>
        <w:t>㎡。屋面整体情况良好，高度约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大于8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bookmarkEnd w:id="0"/>
    <w:p>
      <w:pPr>
        <w:spacing w:line="360" w:lineRule="auto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三、评估依据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、《建筑工程施工质量验收统一标准》</w:t>
      </w:r>
      <w:r>
        <w:rPr>
          <w:rFonts w:ascii="宋体" w:hAnsi="宋体" w:cs="宋体"/>
          <w:sz w:val="24"/>
        </w:rPr>
        <w:t>GB50300-2001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、电气装置安装工程质量检验及评定规程</w:t>
      </w:r>
      <w:r>
        <w:rPr>
          <w:rFonts w:ascii="宋体" w:hAnsi="宋体" w:cs="宋体"/>
          <w:sz w:val="24"/>
        </w:rPr>
        <w:t xml:space="preserve"> DL/T5161—2013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、国家和地方颁布的现行的工程施工质量验收规范；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、现行的基本试验方法标准、现场检测方法标准；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、正式的施工设计图纸及其它设计文件；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、工程施工合同；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、委托监理合同。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四、（</w:t>
      </w:r>
      <w:r>
        <w:rPr>
          <w:rFonts w:ascii="宋体" w:hAnsi="宋体" w:cs="宋体"/>
          <w:b/>
          <w:sz w:val="24"/>
        </w:rPr>
        <w:t>1</w:t>
      </w:r>
      <w:r>
        <w:rPr>
          <w:rFonts w:hint="eastAsia" w:ascii="宋体" w:hAnsi="宋体" w:cs="宋体"/>
          <w:b/>
          <w:sz w:val="24"/>
        </w:rPr>
        <w:t>）工程建设依据性文件</w:t>
      </w:r>
    </w:p>
    <w:tbl>
      <w:tblPr>
        <w:tblStyle w:val="8"/>
        <w:tblW w:w="9091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1"/>
        <w:gridCol w:w="56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项目核准文件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“项目核准的批复”手续齐全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项目环境影响报告表审批意见及环保同意试生产（运营）的文件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审批意见的函”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消防经地方主管部门审查验收的意见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有批文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施工图审查意见、接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入系统（一、二次）审查意见</w:t>
            </w:r>
          </w:p>
        </w:tc>
        <w:tc>
          <w:tcPr>
            <w:tcW w:w="5670" w:type="dxa"/>
            <w:shd w:val="clear" w:color="auto" w:fill="FFFFFF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已批复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建筑荷载的复核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已复核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并网协议、购售电合同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并网调度管理协议、购售电合同已经办理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规划、施工许可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已办理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土地使用证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已办理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center"/>
          </w:tcPr>
          <w:p>
            <w:pPr>
              <w:spacing w:before="93" w:beforeLines="30" w:after="93" w:afterLines="3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701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工程试运指挥部</w:t>
            </w:r>
          </w:p>
        </w:tc>
        <w:tc>
          <w:tcPr>
            <w:tcW w:w="5670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试运指挥部及下设的工作组已成立</w:t>
            </w:r>
          </w:p>
        </w:tc>
      </w:tr>
    </w:tbl>
    <w:p>
      <w:pPr>
        <w:spacing w:line="360" w:lineRule="auto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</w:t>
      </w:r>
      <w:r>
        <w:rPr>
          <w:rFonts w:ascii="宋体" w:hAnsi="宋体" w:cs="宋体"/>
          <w:b/>
          <w:sz w:val="24"/>
        </w:rPr>
        <w:t>2</w:t>
      </w:r>
      <w:r>
        <w:rPr>
          <w:rFonts w:hint="eastAsia" w:ascii="宋体" w:hAnsi="宋体" w:cs="宋体"/>
          <w:b/>
          <w:sz w:val="24"/>
        </w:rPr>
        <w:t>）各参建单位质量行为</w:t>
      </w:r>
    </w:p>
    <w:tbl>
      <w:tblPr>
        <w:tblStyle w:val="8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1</w:t>
            </w:r>
          </w:p>
        </w:tc>
        <w:tc>
          <w:tcPr>
            <w:tcW w:w="8381" w:type="dxa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组织机构能满足工程需要，制定了项目管理制度。工程建设执行了“五制”，档案管理制度已编制，明确了归档范围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2</w:t>
            </w:r>
          </w:p>
        </w:tc>
        <w:tc>
          <w:tcPr>
            <w:tcW w:w="838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资质与设计项目相符，设计交底、图纸会审已进行，设计交底记录齐全。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3</w:t>
            </w:r>
          </w:p>
        </w:tc>
        <w:tc>
          <w:tcPr>
            <w:tcW w:w="8381" w:type="dxa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</w:t>
            </w:r>
          </w:p>
          <w:p>
            <w:pPr>
              <w:spacing w:line="276" w:lineRule="auto"/>
              <w:ind w:firstLine="480" w:firstLineChars="200"/>
            </w:pPr>
            <w:r>
              <w:rPr>
                <w:rFonts w:hint="eastAsia"/>
                <w:color w:val="000000"/>
                <w:sz w:val="24"/>
              </w:rPr>
              <w:t>编制了监理大纲、监理规划、实施细则，对施工单位的报验进行了审核，并按验收规范和验评标准进行验评签证，对安装的分部、分项检验批，调试验收项均已验收合格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4</w:t>
            </w:r>
          </w:p>
        </w:tc>
        <w:tc>
          <w:tcPr>
            <w:tcW w:w="838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</w:p>
          <w:p>
            <w:pPr>
              <w:ind w:firstLine="480" w:firstLineChars="200"/>
            </w:pPr>
            <w:r>
              <w:rPr>
                <w:rFonts w:hint="eastAsia"/>
                <w:color w:val="000000"/>
                <w:sz w:val="24"/>
              </w:rPr>
              <w:t>施工单位资质与承担项目相符，组织机构、管理制度与项目相适应，施工报验齐全。施工组织设计、作业指导书均报审、交底记录，三级验收、技术记录齐全。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5</w:t>
            </w:r>
          </w:p>
        </w:tc>
        <w:tc>
          <w:tcPr>
            <w:tcW w:w="8381" w:type="dxa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调试单位：</w:t>
            </w:r>
          </w:p>
          <w:p>
            <w:pPr>
              <w:spacing w:line="276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调试资质与项目相符。电气整套启动调试措施已编审，并经参建单位会签、试运指挥部批准，并经隆化县供电公司审查，调试组织机构与人员能满足调试要求。分系统调试验收签证齐全</w:t>
            </w:r>
          </w:p>
          <w:p>
            <w:pPr>
              <w:spacing w:line="276" w:lineRule="auto"/>
              <w:ind w:firstLine="480" w:firstLineChars="200"/>
            </w:pPr>
            <w:r>
              <w:rPr>
                <w:rFonts w:hint="eastAsia"/>
                <w:color w:val="000000"/>
                <w:sz w:val="24"/>
              </w:rPr>
              <w:t>编制了安装、分系统调试项目质量验评统计表及未完项目清单，验评签证、试验报告、调试报告齐全。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6</w:t>
            </w:r>
          </w:p>
        </w:tc>
        <w:tc>
          <w:tcPr>
            <w:tcW w:w="8381" w:type="dxa"/>
          </w:tcPr>
          <w:p>
            <w:pPr>
              <w:spacing w:before="93" w:beforeLines="30" w:after="93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生产单位：运行规程、系统图、管理制度等生产准备工作就绪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bookmarkStart w:id="1" w:name="_GoBack"/>
            <w:bookmarkEnd w:id="1"/>
            <w:r>
              <w:rPr>
                <w:rFonts w:ascii="宋体" w:hAnsi="宋体" w:cs="宋体"/>
                <w:sz w:val="24"/>
              </w:rPr>
              <w:t xml:space="preserve"> 7</w:t>
            </w:r>
          </w:p>
        </w:tc>
        <w:tc>
          <w:tcPr>
            <w:tcW w:w="8381" w:type="dxa"/>
          </w:tcPr>
          <w:p>
            <w:pPr>
              <w:spacing w:before="93" w:beforeLines="30" w:after="93" w:afterLines="30"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主要设备质量证明文件（合格证、说明书、质保书、试验报告）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资料齐全，</w:t>
            </w:r>
          </w:p>
          <w:p>
            <w:pPr>
              <w:spacing w:before="93" w:beforeLines="30" w:after="93" w:afterLines="30"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原材料质量证明文件（合格证、材质报告、复检报告）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资料齐全，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8</w:t>
            </w:r>
          </w:p>
        </w:tc>
        <w:tc>
          <w:tcPr>
            <w:tcW w:w="8381" w:type="dxa"/>
            <w:vAlign w:val="center"/>
          </w:tcPr>
          <w:p>
            <w:pPr>
              <w:spacing w:before="93" w:beforeLines="30" w:after="93" w:afterLines="30"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有“强条”执行计划及检查记录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9</w:t>
            </w:r>
          </w:p>
        </w:tc>
        <w:tc>
          <w:tcPr>
            <w:tcW w:w="8381" w:type="dxa"/>
            <w:vAlign w:val="center"/>
          </w:tcPr>
          <w:p>
            <w:pPr>
              <w:spacing w:line="276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光伏系统：</w:t>
            </w:r>
          </w:p>
          <w:p>
            <w:pPr>
              <w:spacing w:line="276" w:lineRule="auto"/>
            </w:pPr>
            <w:r>
              <w:rPr>
                <w:rFonts w:hint="eastAsia"/>
                <w:spacing w:val="2"/>
                <w:sz w:val="24"/>
                <w:lang w:val="zh-CN"/>
              </w:rPr>
              <w:t>方阵支架已安装合格，支架接地系统规范，接地电阻</w:t>
            </w:r>
            <w:r>
              <w:rPr>
                <w:rFonts w:hint="eastAsia"/>
                <w:sz w:val="24"/>
                <w:lang w:val="zh-CN"/>
              </w:rPr>
              <w:t>符合要求</w:t>
            </w:r>
            <w:r>
              <w:rPr>
                <w:rFonts w:hint="eastAsia"/>
                <w:spacing w:val="2"/>
                <w:sz w:val="24"/>
                <w:lang w:val="zh-CN"/>
              </w:rPr>
              <w:t>。</w:t>
            </w:r>
            <w:r>
              <w:rPr>
                <w:rFonts w:hint="eastAsia"/>
                <w:sz w:val="24"/>
                <w:lang w:val="zh-CN"/>
              </w:rPr>
              <w:t>光伏组件安装符合要求；</w:t>
            </w:r>
            <w:r>
              <w:rPr>
                <w:rFonts w:hint="eastAsia"/>
                <w:spacing w:val="2"/>
                <w:sz w:val="24"/>
                <w:lang w:val="zh-CN"/>
              </w:rPr>
              <w:t>安装验收有签证。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8381" w:type="dxa"/>
            <w:vAlign w:val="center"/>
          </w:tcPr>
          <w:p>
            <w:pPr>
              <w:spacing w:before="93" w:beforeLines="30" w:after="93" w:afterLines="30"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与电网管理部门的并网调度协议及购售电合同已签署完毕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8381" w:type="dxa"/>
            <w:vAlign w:val="center"/>
          </w:tcPr>
          <w:p>
            <w:pPr>
              <w:spacing w:before="93" w:beforeLines="30" w:after="93" w:afterLines="30"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设备命名和编号等标识齐全、正确、统一、规范；电气设备的双重编号已确定，现场的标识已完成。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8381" w:type="dxa"/>
            <w:vAlign w:val="center"/>
          </w:tcPr>
          <w:p>
            <w:pPr>
              <w:spacing w:before="93" w:beforeLines="30" w:after="93" w:afterLines="30"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工器具和试验仪器及检测仪表等置备齐全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8381" w:type="dxa"/>
            <w:vAlign w:val="center"/>
          </w:tcPr>
          <w:p>
            <w:pPr>
              <w:spacing w:before="93" w:beforeLines="30" w:after="93" w:afterLines="30" w:line="276" w:lineRule="auto"/>
              <w:rPr>
                <w:rFonts w:ascii="宋体" w:cs="宋体"/>
                <w:spacing w:val="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总控室对各逆变器的监控功能已调试，逆变器已静态调试，动态调试已进行。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838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spacing w:val="2"/>
                <w:kern w:val="0"/>
                <w:sz w:val="24"/>
                <w:lang w:val="zh-CN"/>
              </w:rPr>
              <w:t>反事故措施、事故应急预案已编制出版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；</w:t>
            </w:r>
          </w:p>
        </w:tc>
      </w:tr>
    </w:tbl>
    <w:p>
      <w:pPr>
        <w:spacing w:line="360" w:lineRule="auto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五、分项工程验评统计：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．二次设备回路，接线正确、连接可靠、绝缘良好。</w:t>
      </w:r>
    </w:p>
    <w:p>
      <w:pPr>
        <w:tabs>
          <w:tab w:val="left" w:pos="4525"/>
        </w:tabs>
        <w:spacing w:line="360" w:lineRule="auto"/>
        <w:ind w:left="240" w:hanging="240" w:hangingChars="1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．高压开关装置静态检查及传动试验，分、合闸时间、同期性符合厂家要求；操作机构动作可靠、正确；跳、合闸线圈的动作电压符合规程要求。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3. </w:t>
      </w:r>
      <w:r>
        <w:rPr>
          <w:rFonts w:hint="eastAsia" w:ascii="宋体" w:hAnsi="宋体" w:cs="宋体"/>
          <w:sz w:val="24"/>
        </w:rPr>
        <w:t>微机保护的静态试验及检查，整定值复测，动作值符合要求；控制、信号、保护的传动试验正确。</w:t>
      </w:r>
    </w:p>
    <w:p>
      <w:pPr>
        <w:tabs>
          <w:tab w:val="left" w:pos="4525"/>
        </w:tabs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．逆变器静态试验，一次系统设备试验符合设计要求，各逆变器系统通电试验正常，启停及防孤岛响应试验正确。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5. </w:t>
      </w:r>
      <w:r>
        <w:rPr>
          <w:rFonts w:hint="eastAsia" w:ascii="宋体" w:hAnsi="宋体" w:cs="宋体"/>
          <w:sz w:val="24"/>
        </w:rPr>
        <w:t>后台监控系统试验正常，遥控遥测遥讯系统投入正常。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6.</w:t>
      </w:r>
      <w:r>
        <w:rPr>
          <w:rFonts w:hint="eastAsia" w:ascii="宋体" w:hAnsi="宋体" w:cs="宋体"/>
          <w:sz w:val="24"/>
        </w:rPr>
        <w:t>汇流箱回路检查测试正确。</w:t>
      </w: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六、综合评价：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工程项目依据该工程建设情况：已取得建设工程规划手续，施工许可证正在办理。试运指挥部及下设专业组已成立并运作。建设单位工程建设执行了“五制”，编制了项目管理制度，保护定值已审批、设置完善。各参建单位的资质与承担项目相符，组织机构能满足工程需要，管理制度基本齐全。施工报验齐全。施工组织设计和作业指导书已报审并交底。调试单位编制了电气整套启动调试措施，已经试运总指挥批准。监理单位按验收规范和验评标准进行验评签证。本项目施工记录、试验报告、调试报告、验收签证齐全，安装、调试的验评签证统计及未完项目消缺清单已提供。</w:t>
      </w:r>
      <w:r>
        <w:rPr>
          <w:rFonts w:hint="eastAsia" w:ascii="宋体" w:hAnsi="宋体" w:cs="宋体"/>
          <w:sz w:val="24"/>
          <w:lang w:eastAsia="zh-CN"/>
        </w:rPr>
        <w:t>宁波杭州湾新区跨境电商仓储（一期）光伏电站建设项目</w:t>
      </w:r>
      <w:r>
        <w:rPr>
          <w:rFonts w:hint="eastAsia" w:ascii="宋体" w:hAnsi="宋体" w:cs="宋体"/>
          <w:sz w:val="24"/>
          <w:lang w:val="en-US" w:eastAsia="zh-CN"/>
        </w:rPr>
        <w:t>3.635MW</w:t>
      </w:r>
      <w:r>
        <w:rPr>
          <w:rFonts w:hint="eastAsia" w:ascii="宋体" w:hAnsi="宋体" w:cs="宋体"/>
          <w:sz w:val="24"/>
        </w:rPr>
        <w:t>分布式光伏发电</w:t>
      </w:r>
      <w:r>
        <w:rPr>
          <w:rFonts w:hint="eastAsia"/>
          <w:sz w:val="24"/>
        </w:rPr>
        <w:t>工程</w:t>
      </w:r>
      <w:r>
        <w:rPr>
          <w:rFonts w:hint="eastAsia" w:ascii="宋体" w:hAnsi="宋体"/>
          <w:bCs/>
          <w:sz w:val="24"/>
        </w:rPr>
        <w:t>，</w:t>
      </w:r>
      <w:r>
        <w:rPr>
          <w:rFonts w:hint="eastAsia" w:ascii="宋体" w:hAnsi="宋体" w:cs="宋体"/>
          <w:sz w:val="24"/>
        </w:rPr>
        <w:t>各参建单位质量保证体系健全，运行良好，贯穿项目实施全过程。质量验收项目签证完成，施工记录齐全，数据真实，质量验收制度执行有效，工程总体质量受控。监理综合评定该项目为合格工程，具备并网条件。</w:t>
      </w:r>
    </w:p>
    <w:p>
      <w:pPr>
        <w:spacing w:line="360" w:lineRule="auto"/>
        <w:ind w:firstLine="600" w:firstLineChars="250"/>
        <w:rPr>
          <w:rFonts w:ascii="宋体" w:hAnsi="宋体" w:cs="宋体"/>
          <w:sz w:val="24"/>
        </w:rPr>
      </w:pPr>
    </w:p>
    <w:p>
      <w:pPr>
        <w:spacing w:line="360" w:lineRule="auto"/>
        <w:ind w:firstLine="598" w:firstLineChars="249"/>
        <w:rPr>
          <w:rFonts w:ascii="宋体" w:cs="宋体"/>
          <w:sz w:val="24"/>
        </w:rPr>
      </w:pPr>
    </w:p>
    <w:p>
      <w:pPr>
        <w:tabs>
          <w:tab w:val="left" w:pos="480"/>
        </w:tabs>
        <w:autoSpaceDE w:val="0"/>
        <w:autoSpaceDN w:val="0"/>
        <w:adjustRightInd w:val="0"/>
        <w:spacing w:line="360" w:lineRule="auto"/>
        <w:ind w:firstLine="3840" w:firstLineChars="1600"/>
        <w:rPr>
          <w:rFonts w:ascii="宋体" w:cs="宋体"/>
          <w:bCs/>
          <w:sz w:val="24"/>
          <w:lang w:val="zh-CN"/>
        </w:rPr>
      </w:pPr>
      <w:r>
        <w:rPr>
          <w:rFonts w:hint="eastAsia" w:ascii="宋体" w:hAnsi="宋体" w:cs="宋体"/>
          <w:sz w:val="24"/>
        </w:rPr>
        <w:t>常州正衡电力工程监理有限公司</w:t>
      </w:r>
    </w:p>
    <w:p>
      <w:pPr>
        <w:wordWrap w:val="0"/>
        <w:spacing w:line="360" w:lineRule="auto"/>
        <w:ind w:right="180"/>
        <w:jc w:val="right"/>
        <w:rPr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eastAsia="zh-CN"/>
        </w:rPr>
        <w:t>宁波杭州湾新区跨境电商仓储（一期）光伏电站建设监理项目部</w:t>
      </w:r>
    </w:p>
    <w:p>
      <w:pPr>
        <w:tabs>
          <w:tab w:val="left" w:pos="480"/>
        </w:tabs>
        <w:autoSpaceDE w:val="0"/>
        <w:autoSpaceDN w:val="0"/>
        <w:adjustRightInd w:val="0"/>
        <w:spacing w:line="360" w:lineRule="auto"/>
        <w:ind w:firstLine="4800" w:firstLineChars="2000"/>
        <w:rPr>
          <w:rFonts w:ascii="宋体" w:cs="宋体"/>
          <w:bCs/>
          <w:sz w:val="24"/>
          <w:lang w:val="zh-CN"/>
        </w:rPr>
      </w:pPr>
      <w:r>
        <w:rPr>
          <w:rFonts w:ascii="宋体" w:hAnsi="宋体" w:cs="宋体"/>
          <w:bCs/>
          <w:sz w:val="24"/>
        </w:rPr>
        <w:t>2017</w:t>
      </w:r>
      <w:r>
        <w:rPr>
          <w:rFonts w:hint="eastAsia" w:ascii="宋体" w:hAnsi="宋体" w:cs="宋体"/>
          <w:bCs/>
          <w:sz w:val="24"/>
          <w:lang w:val="zh-CN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5月2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70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4B"/>
    <w:rsid w:val="0006264E"/>
    <w:rsid w:val="0006553A"/>
    <w:rsid w:val="00117FD7"/>
    <w:rsid w:val="001616CA"/>
    <w:rsid w:val="00181DFA"/>
    <w:rsid w:val="0018424B"/>
    <w:rsid w:val="00194932"/>
    <w:rsid w:val="001C77E6"/>
    <w:rsid w:val="001D05BB"/>
    <w:rsid w:val="001D2713"/>
    <w:rsid w:val="002175E5"/>
    <w:rsid w:val="0023064F"/>
    <w:rsid w:val="00256550"/>
    <w:rsid w:val="00265C7A"/>
    <w:rsid w:val="002B03DB"/>
    <w:rsid w:val="00365128"/>
    <w:rsid w:val="003876EA"/>
    <w:rsid w:val="003A21BA"/>
    <w:rsid w:val="003A2AA3"/>
    <w:rsid w:val="003D2A4C"/>
    <w:rsid w:val="003D7FB5"/>
    <w:rsid w:val="003E1FFD"/>
    <w:rsid w:val="00437A76"/>
    <w:rsid w:val="00447351"/>
    <w:rsid w:val="00450D35"/>
    <w:rsid w:val="00472821"/>
    <w:rsid w:val="004904E2"/>
    <w:rsid w:val="0049656D"/>
    <w:rsid w:val="004B7F1B"/>
    <w:rsid w:val="004C1B48"/>
    <w:rsid w:val="0058098B"/>
    <w:rsid w:val="00584633"/>
    <w:rsid w:val="005D42DF"/>
    <w:rsid w:val="005D7AF0"/>
    <w:rsid w:val="00605268"/>
    <w:rsid w:val="0062310B"/>
    <w:rsid w:val="00676074"/>
    <w:rsid w:val="006F18AF"/>
    <w:rsid w:val="00710601"/>
    <w:rsid w:val="007529F7"/>
    <w:rsid w:val="007E4A5A"/>
    <w:rsid w:val="007F2C3C"/>
    <w:rsid w:val="00876F5A"/>
    <w:rsid w:val="00886717"/>
    <w:rsid w:val="008C49AE"/>
    <w:rsid w:val="008D7297"/>
    <w:rsid w:val="00986695"/>
    <w:rsid w:val="009A049A"/>
    <w:rsid w:val="009A1CFF"/>
    <w:rsid w:val="009B273B"/>
    <w:rsid w:val="009B4476"/>
    <w:rsid w:val="00A0147A"/>
    <w:rsid w:val="00A0570C"/>
    <w:rsid w:val="00A22CC7"/>
    <w:rsid w:val="00A61074"/>
    <w:rsid w:val="00A75DC1"/>
    <w:rsid w:val="00B25E9D"/>
    <w:rsid w:val="00B75BEC"/>
    <w:rsid w:val="00B86A4B"/>
    <w:rsid w:val="00B92C86"/>
    <w:rsid w:val="00BD591E"/>
    <w:rsid w:val="00C207B8"/>
    <w:rsid w:val="00C31AF8"/>
    <w:rsid w:val="00C3347B"/>
    <w:rsid w:val="00C50DC8"/>
    <w:rsid w:val="00CA1EA8"/>
    <w:rsid w:val="00CB53F9"/>
    <w:rsid w:val="00CC11D1"/>
    <w:rsid w:val="00CD7838"/>
    <w:rsid w:val="00D15722"/>
    <w:rsid w:val="00D468D1"/>
    <w:rsid w:val="00D84D89"/>
    <w:rsid w:val="00DF7A87"/>
    <w:rsid w:val="00E1155A"/>
    <w:rsid w:val="00E80A5A"/>
    <w:rsid w:val="00EF096D"/>
    <w:rsid w:val="00EF6A19"/>
    <w:rsid w:val="00F1661F"/>
    <w:rsid w:val="00F2601A"/>
    <w:rsid w:val="00F53841"/>
    <w:rsid w:val="00F547B8"/>
    <w:rsid w:val="00FD0CF7"/>
    <w:rsid w:val="01E777A4"/>
    <w:rsid w:val="0874794A"/>
    <w:rsid w:val="098751B4"/>
    <w:rsid w:val="101A5133"/>
    <w:rsid w:val="107804CF"/>
    <w:rsid w:val="18C221C5"/>
    <w:rsid w:val="1B6B45C5"/>
    <w:rsid w:val="1EDC10E9"/>
    <w:rsid w:val="20DD3968"/>
    <w:rsid w:val="21BB5819"/>
    <w:rsid w:val="263A715D"/>
    <w:rsid w:val="27F421E8"/>
    <w:rsid w:val="28C02F6A"/>
    <w:rsid w:val="3DDF7E7D"/>
    <w:rsid w:val="464505A4"/>
    <w:rsid w:val="5BA0204F"/>
    <w:rsid w:val="60133AF9"/>
    <w:rsid w:val="604B0C8E"/>
    <w:rsid w:val="61706B2F"/>
    <w:rsid w:val="66DD1A8C"/>
    <w:rsid w:val="6AF841B7"/>
    <w:rsid w:val="6DB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qFormat/>
    <w:uiPriority w:val="99"/>
    <w:pPr>
      <w:spacing w:after="120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正文（左悬挂） Char Char"/>
    <w:link w:val="13"/>
    <w:qFormat/>
    <w:locked/>
    <w:uiPriority w:val="99"/>
    <w:rPr>
      <w:rFonts w:ascii="楷体" w:hAnsi="楷体" w:eastAsia="楷体"/>
      <w:b/>
      <w:snapToGrid w:val="0"/>
      <w:kern w:val="15"/>
      <w:sz w:val="28"/>
    </w:rPr>
  </w:style>
  <w:style w:type="paragraph" w:customStyle="1" w:styleId="13">
    <w:name w:val="正文（左悬挂）"/>
    <w:basedOn w:val="1"/>
    <w:link w:val="12"/>
    <w:qFormat/>
    <w:uiPriority w:val="99"/>
    <w:pPr>
      <w:snapToGrid w:val="0"/>
      <w:spacing w:line="360" w:lineRule="auto"/>
      <w:ind w:firstLine="829" w:firstLineChars="295"/>
    </w:pPr>
    <w:rPr>
      <w:rFonts w:ascii="楷体" w:hAnsi="楷体" w:eastAsia="楷体"/>
      <w:b/>
      <w:snapToGrid w:val="0"/>
      <w:kern w:val="15"/>
      <w:sz w:val="28"/>
      <w:szCs w:val="20"/>
    </w:rPr>
  </w:style>
  <w:style w:type="character" w:customStyle="1" w:styleId="14">
    <w:name w:val="正文样式 Char Char"/>
    <w:link w:val="15"/>
    <w:qFormat/>
    <w:locked/>
    <w:uiPriority w:val="99"/>
    <w:rPr>
      <w:rFonts w:ascii="宋体" w:hAnsi="宋体" w:eastAsia="宋体"/>
      <w:snapToGrid w:val="0"/>
      <w:kern w:val="15"/>
      <w:sz w:val="28"/>
    </w:rPr>
  </w:style>
  <w:style w:type="paragraph" w:customStyle="1" w:styleId="15">
    <w:name w:val="正文样式"/>
    <w:basedOn w:val="1"/>
    <w:link w:val="14"/>
    <w:qFormat/>
    <w:uiPriority w:val="99"/>
    <w:pPr>
      <w:snapToGrid w:val="0"/>
      <w:spacing w:line="360" w:lineRule="auto"/>
      <w:ind w:firstLine="560" w:firstLineChars="200"/>
    </w:pPr>
    <w:rPr>
      <w:rFonts w:ascii="宋体" w:hAnsi="宋体"/>
      <w:snapToGrid w:val="0"/>
      <w:kern w:val="15"/>
      <w:sz w:val="28"/>
      <w:szCs w:val="20"/>
    </w:rPr>
  </w:style>
  <w:style w:type="paragraph" w:customStyle="1" w:styleId="16">
    <w:name w:val="Char1"/>
    <w:basedOn w:val="1"/>
    <w:qFormat/>
    <w:uiPriority w:val="99"/>
    <w:rPr>
      <w:sz w:val="24"/>
    </w:rPr>
  </w:style>
  <w:style w:type="paragraph" w:customStyle="1" w:styleId="17">
    <w:name w:val="表格内容"/>
    <w:basedOn w:val="2"/>
    <w:qFormat/>
    <w:uiPriority w:val="99"/>
    <w:pPr>
      <w:suppressLineNumbers/>
      <w:suppressAutoHyphens/>
    </w:pPr>
    <w:rPr>
      <w:kern w:val="20481"/>
      <w:szCs w:val="20"/>
    </w:rPr>
  </w:style>
  <w:style w:type="character" w:customStyle="1" w:styleId="18">
    <w:name w:val="正文文本 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批注框文本 字符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2283</Characters>
  <Lines>19</Lines>
  <Paragraphs>5</Paragraphs>
  <ScaleCrop>false</ScaleCrop>
  <LinksUpToDate>false</LinksUpToDate>
  <CharactersWithSpaces>2678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2017-02-28T12:58:00Z</dcterms:created>
  <dc:creator>HZT</dc:creator>
  <cp:lastModifiedBy>Administrator</cp:lastModifiedBy>
  <cp:lastPrinted>2017-05-26T01:24:00Z</cp:lastPrinted>
  <dcterms:modified xsi:type="dcterms:W3CDTF">2017-05-26T02:30:04Z</dcterms:modified>
  <dc:title>沂南中草药种植一体化一期20MW光伏电站项目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