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BA" w:rsidRDefault="005417BA" w:rsidP="005417BA">
      <w:pPr>
        <w:pStyle w:val="a3"/>
        <w:ind w:firstLine="643"/>
        <w:rPr>
          <w:rFonts w:hint="eastAsia"/>
          <w:b/>
          <w:sz w:val="32"/>
          <w:szCs w:val="32"/>
        </w:rPr>
      </w:pPr>
    </w:p>
    <w:p w:rsidR="005417BA" w:rsidRDefault="005417BA" w:rsidP="005417BA">
      <w:pPr>
        <w:pStyle w:val="a3"/>
        <w:ind w:firstLine="643"/>
        <w:rPr>
          <w:rFonts w:hint="eastAsia"/>
          <w:b/>
          <w:sz w:val="32"/>
          <w:szCs w:val="32"/>
        </w:rPr>
      </w:pPr>
    </w:p>
    <w:p w:rsidR="005417BA" w:rsidRPr="00495A2D" w:rsidRDefault="005417BA" w:rsidP="005417BA">
      <w:pPr>
        <w:pStyle w:val="a3"/>
        <w:ind w:firstLine="643"/>
        <w:rPr>
          <w:b/>
          <w:sz w:val="32"/>
          <w:szCs w:val="32"/>
        </w:rPr>
      </w:pPr>
    </w:p>
    <w:p w:rsidR="005417BA" w:rsidRPr="006E5EB8" w:rsidRDefault="005417BA" w:rsidP="005417BA">
      <w:pPr>
        <w:pStyle w:val="5"/>
        <w:spacing w:before="500" w:after="500" w:line="500" w:lineRule="exact"/>
      </w:pPr>
      <w:bookmarkStart w:id="0" w:name="_Toc388020211"/>
      <w:r w:rsidRPr="006E5EB8">
        <w:rPr>
          <w:rFonts w:hint="eastAsia"/>
          <w:sz w:val="24"/>
        </w:rPr>
        <w:t>晶盛宜城市郑集镇武当湖水库</w:t>
      </w:r>
      <w:r w:rsidRPr="006E5EB8">
        <w:rPr>
          <w:rFonts w:hint="eastAsia"/>
          <w:sz w:val="24"/>
        </w:rPr>
        <w:t>19.9MWp</w:t>
      </w:r>
      <w:r w:rsidRPr="006E5EB8">
        <w:rPr>
          <w:rFonts w:hint="eastAsia"/>
          <w:sz w:val="24"/>
        </w:rPr>
        <w:t>渔光互补分布式光伏发电项目</w:t>
      </w:r>
      <w:r w:rsidRPr="006E5EB8">
        <w:t>工程</w:t>
      </w:r>
    </w:p>
    <w:p w:rsidR="005417BA" w:rsidRDefault="005417BA" w:rsidP="005417BA">
      <w:pPr>
        <w:pStyle w:val="5"/>
        <w:spacing w:before="500" w:after="500" w:line="500" w:lineRule="exact"/>
      </w:pPr>
      <w:r>
        <w:rPr>
          <w:rFonts w:hint="eastAsia"/>
        </w:rPr>
        <w:t>质</w:t>
      </w:r>
      <w:r>
        <w:rPr>
          <w:rFonts w:hint="eastAsia"/>
        </w:rPr>
        <w:t xml:space="preserve"> </w:t>
      </w:r>
      <w:r>
        <w:rPr>
          <w:rFonts w:hint="eastAsia"/>
        </w:rPr>
        <w:t>量</w:t>
      </w:r>
      <w:r>
        <w:rPr>
          <w:rFonts w:hint="eastAsia"/>
        </w:rPr>
        <w:t xml:space="preserve"> </w:t>
      </w:r>
      <w:r>
        <w:rPr>
          <w:rFonts w:hint="eastAsia"/>
        </w:rPr>
        <w:t>旁</w:t>
      </w:r>
      <w:r>
        <w:rPr>
          <w:rFonts w:hint="eastAsia"/>
        </w:rPr>
        <w:t xml:space="preserve"> </w:t>
      </w:r>
      <w:r>
        <w:rPr>
          <w:rFonts w:hint="eastAsia"/>
        </w:rPr>
        <w:t>站</w:t>
      </w:r>
      <w:r>
        <w:rPr>
          <w:rFonts w:hint="eastAsia"/>
        </w:rPr>
        <w:t xml:space="preserve"> </w:t>
      </w:r>
      <w:r>
        <w:rPr>
          <w:rFonts w:hint="eastAsia"/>
        </w:rPr>
        <w:t>方</w:t>
      </w:r>
      <w:r>
        <w:rPr>
          <w:rFonts w:hint="eastAsia"/>
        </w:rPr>
        <w:t xml:space="preserve"> </w:t>
      </w:r>
      <w:r>
        <w:rPr>
          <w:rFonts w:hint="eastAsia"/>
        </w:rPr>
        <w:t>案</w:t>
      </w:r>
      <w:bookmarkEnd w:id="0"/>
      <w:r>
        <w:rPr>
          <w:rFonts w:hint="eastAsia"/>
        </w:rPr>
        <w:t>（细则</w:t>
      </w:r>
      <w:r>
        <w:t>）</w:t>
      </w:r>
    </w:p>
    <w:p w:rsidR="005417BA" w:rsidRDefault="005417BA" w:rsidP="005417BA">
      <w:pPr>
        <w:topLinePunct/>
        <w:ind w:firstLine="425"/>
        <w:rPr>
          <w:szCs w:val="21"/>
        </w:rPr>
      </w:pPr>
    </w:p>
    <w:p w:rsidR="005417BA" w:rsidRDefault="005417BA" w:rsidP="005417BA">
      <w:pPr>
        <w:topLinePunct/>
        <w:ind w:firstLine="425"/>
        <w:rPr>
          <w:szCs w:val="21"/>
        </w:rPr>
      </w:pPr>
    </w:p>
    <w:p w:rsidR="005417BA" w:rsidRDefault="005417BA" w:rsidP="005417BA">
      <w:pPr>
        <w:topLinePunct/>
        <w:ind w:firstLine="425"/>
        <w:rPr>
          <w:szCs w:val="21"/>
        </w:rPr>
      </w:pPr>
    </w:p>
    <w:p w:rsidR="005417BA" w:rsidRDefault="005417BA" w:rsidP="005417BA">
      <w:pPr>
        <w:topLinePunct/>
        <w:ind w:firstLine="425"/>
        <w:rPr>
          <w:szCs w:val="21"/>
        </w:rPr>
      </w:pPr>
    </w:p>
    <w:p w:rsidR="005417BA" w:rsidRDefault="005417BA" w:rsidP="005417BA">
      <w:pPr>
        <w:topLinePunct/>
        <w:ind w:firstLine="425"/>
        <w:rPr>
          <w:szCs w:val="21"/>
        </w:rPr>
      </w:pPr>
    </w:p>
    <w:p w:rsidR="005417BA" w:rsidRDefault="005417BA" w:rsidP="005417BA">
      <w:pPr>
        <w:topLinePunct/>
        <w:ind w:firstLine="425"/>
        <w:rPr>
          <w:szCs w:val="21"/>
        </w:rPr>
      </w:pPr>
    </w:p>
    <w:p w:rsidR="005417BA" w:rsidRPr="0005357E" w:rsidRDefault="005417BA" w:rsidP="005417BA">
      <w:pPr>
        <w:topLinePunct/>
        <w:ind w:left="851"/>
        <w:rPr>
          <w:b/>
          <w:szCs w:val="21"/>
        </w:rPr>
      </w:pPr>
      <w:r w:rsidRPr="007A272B">
        <w:rPr>
          <w:rFonts w:hint="eastAsia"/>
          <w:b/>
          <w:szCs w:val="21"/>
        </w:rPr>
        <w:t>批准</w:t>
      </w:r>
      <w:r w:rsidRPr="007A272B">
        <w:rPr>
          <w:rFonts w:hint="eastAsia"/>
          <w:b/>
          <w:szCs w:val="21"/>
          <w:u w:val="single"/>
        </w:rPr>
        <w:t>（总监理工程师）</w:t>
      </w:r>
      <w:r w:rsidRPr="007A272B">
        <w:rPr>
          <w:rFonts w:hint="eastAsia"/>
          <w:b/>
          <w:szCs w:val="21"/>
          <w:u w:val="single"/>
        </w:rPr>
        <w:t xml:space="preserve">    </w:t>
      </w:r>
      <w:r>
        <w:rPr>
          <w:rFonts w:hint="eastAsia"/>
          <w:b/>
          <w:szCs w:val="21"/>
          <w:u w:val="single"/>
        </w:rPr>
        <w:t xml:space="preserve"> </w:t>
      </w:r>
      <w:r w:rsidRPr="007A272B">
        <w:rPr>
          <w:rFonts w:hint="eastAsia"/>
          <w:b/>
          <w:szCs w:val="21"/>
          <w:u w:val="single"/>
        </w:rPr>
        <w:t xml:space="preserve">  </w:t>
      </w:r>
      <w:r w:rsidRPr="007A272B">
        <w:rPr>
          <w:rFonts w:hint="eastAsia"/>
          <w:b/>
          <w:szCs w:val="21"/>
          <w:u w:val="single"/>
        </w:rPr>
        <w:t>李维军</w:t>
      </w:r>
      <w:r w:rsidRPr="007A272B">
        <w:rPr>
          <w:rFonts w:hint="eastAsia"/>
          <w:b/>
          <w:szCs w:val="21"/>
          <w:u w:val="single"/>
        </w:rPr>
        <w:t xml:space="preserve">         </w:t>
      </w:r>
      <w:r w:rsidRPr="007A272B">
        <w:rPr>
          <w:b/>
          <w:szCs w:val="21"/>
          <w:u w:val="single"/>
        </w:rPr>
        <w:t> </w:t>
      </w:r>
      <w:r w:rsidRPr="007A272B">
        <w:rPr>
          <w:rFonts w:hint="eastAsia"/>
          <w:b/>
          <w:szCs w:val="21"/>
          <w:u w:val="single"/>
        </w:rPr>
        <w:t xml:space="preserve">     </w:t>
      </w:r>
      <w:r w:rsidRPr="007A272B">
        <w:rPr>
          <w:rFonts w:hint="eastAsia"/>
          <w:b/>
          <w:szCs w:val="21"/>
        </w:rPr>
        <w:t xml:space="preserve"> </w:t>
      </w:r>
      <w:r w:rsidRPr="0005357E">
        <w:rPr>
          <w:rFonts w:hint="eastAsia"/>
          <w:b/>
          <w:szCs w:val="21"/>
        </w:rPr>
        <w:t>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5417BA" w:rsidRPr="007A272B" w:rsidRDefault="005417BA" w:rsidP="005417BA">
      <w:pPr>
        <w:topLinePunct/>
        <w:ind w:left="851"/>
        <w:rPr>
          <w:b/>
          <w:szCs w:val="21"/>
        </w:rPr>
      </w:pPr>
      <w:r>
        <w:rPr>
          <w:rFonts w:hint="eastAsia"/>
          <w:b/>
          <w:szCs w:val="21"/>
        </w:rPr>
        <w:t xml:space="preserve"> </w:t>
      </w:r>
    </w:p>
    <w:p w:rsidR="005417BA" w:rsidRPr="0005357E" w:rsidRDefault="005417BA" w:rsidP="005417BA">
      <w:pPr>
        <w:topLinePunct/>
        <w:ind w:left="851"/>
        <w:rPr>
          <w:b/>
          <w:szCs w:val="21"/>
        </w:rPr>
      </w:pPr>
      <w:r w:rsidRPr="007A272B">
        <w:rPr>
          <w:rFonts w:hint="eastAsia"/>
          <w:b/>
          <w:szCs w:val="21"/>
        </w:rPr>
        <w:t>审核</w:t>
      </w:r>
      <w:r w:rsidRPr="007A272B">
        <w:rPr>
          <w:rFonts w:hint="eastAsia"/>
          <w:b/>
          <w:szCs w:val="21"/>
          <w:u w:val="single"/>
        </w:rPr>
        <w:t>（总监理工程师代表或专业监理工程师）</w:t>
      </w:r>
      <w:r>
        <w:rPr>
          <w:rFonts w:hint="eastAsia"/>
          <w:b/>
          <w:szCs w:val="21"/>
          <w:u w:val="single"/>
        </w:rPr>
        <w:t xml:space="preserve"> </w:t>
      </w:r>
      <w:r w:rsidRPr="007A272B">
        <w:rPr>
          <w:rFonts w:hint="eastAsia"/>
          <w:b/>
          <w:szCs w:val="21"/>
          <w:u w:val="single"/>
        </w:rPr>
        <w:t>黄永革</w:t>
      </w:r>
      <w:r>
        <w:rPr>
          <w:rFonts w:hint="eastAsia"/>
          <w:b/>
          <w:szCs w:val="21"/>
          <w:u w:val="single"/>
        </w:rPr>
        <w:t xml:space="preserve">  </w:t>
      </w:r>
      <w:r w:rsidRPr="0005357E">
        <w:rPr>
          <w:rFonts w:hint="eastAsia"/>
          <w:b/>
          <w:szCs w:val="21"/>
        </w:rPr>
        <w:t>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5417BA" w:rsidRPr="007A272B" w:rsidRDefault="005417BA" w:rsidP="005417BA">
      <w:pPr>
        <w:topLinePunct/>
        <w:ind w:left="851"/>
        <w:rPr>
          <w:b/>
          <w:szCs w:val="21"/>
        </w:rPr>
      </w:pPr>
    </w:p>
    <w:p w:rsidR="005417BA" w:rsidRPr="0005357E" w:rsidRDefault="005417BA" w:rsidP="005417BA">
      <w:pPr>
        <w:topLinePunct/>
        <w:ind w:left="851"/>
        <w:rPr>
          <w:b/>
          <w:szCs w:val="21"/>
        </w:rPr>
      </w:pPr>
      <w:r w:rsidRPr="007A272B">
        <w:rPr>
          <w:rFonts w:hint="eastAsia"/>
          <w:b/>
          <w:szCs w:val="21"/>
        </w:rPr>
        <w:t>编制</w:t>
      </w:r>
      <w:r w:rsidRPr="007A272B">
        <w:rPr>
          <w:rFonts w:hint="eastAsia"/>
          <w:b/>
          <w:szCs w:val="21"/>
          <w:u w:val="single"/>
        </w:rPr>
        <w:t>（专业监理工程师）</w:t>
      </w:r>
      <w:r w:rsidRPr="007A272B">
        <w:rPr>
          <w:rFonts w:hint="eastAsia"/>
          <w:b/>
          <w:szCs w:val="21"/>
          <w:u w:val="single"/>
        </w:rPr>
        <w:t xml:space="preserve">    </w:t>
      </w:r>
      <w:r>
        <w:rPr>
          <w:rFonts w:hint="eastAsia"/>
          <w:b/>
          <w:szCs w:val="21"/>
          <w:u w:val="single"/>
        </w:rPr>
        <w:t xml:space="preserve"> </w:t>
      </w:r>
      <w:r w:rsidRPr="007A272B">
        <w:rPr>
          <w:rFonts w:hint="eastAsia"/>
          <w:b/>
          <w:szCs w:val="21"/>
          <w:u w:val="single"/>
        </w:rPr>
        <w:t>王照东</w:t>
      </w:r>
      <w:r w:rsidRPr="007A272B">
        <w:rPr>
          <w:rFonts w:hint="eastAsia"/>
          <w:b/>
          <w:szCs w:val="21"/>
          <w:u w:val="single"/>
        </w:rPr>
        <w:t xml:space="preserve">         </w:t>
      </w:r>
      <w:r w:rsidRPr="007A272B">
        <w:rPr>
          <w:b/>
          <w:szCs w:val="21"/>
          <w:u w:val="single"/>
        </w:rPr>
        <w:t> </w:t>
      </w:r>
      <w:r w:rsidRPr="007A272B">
        <w:rPr>
          <w:rFonts w:hint="eastAsia"/>
          <w:b/>
          <w:szCs w:val="21"/>
          <w:u w:val="single"/>
        </w:rPr>
        <w:t xml:space="preserve">     </w:t>
      </w:r>
      <w:r w:rsidRPr="007A272B">
        <w:rPr>
          <w:rFonts w:hint="eastAsia"/>
          <w:b/>
          <w:szCs w:val="21"/>
        </w:rPr>
        <w:t xml:space="preserve"> </w:t>
      </w:r>
      <w:r w:rsidRPr="0005357E">
        <w:rPr>
          <w:rFonts w:hint="eastAsia"/>
          <w:b/>
          <w:szCs w:val="21"/>
        </w:rPr>
        <w:t>2016</w:t>
      </w:r>
      <w:r w:rsidRPr="0005357E">
        <w:rPr>
          <w:rFonts w:hint="eastAsia"/>
          <w:b/>
          <w:szCs w:val="21"/>
        </w:rPr>
        <w:t>年</w:t>
      </w:r>
      <w:r w:rsidRPr="0005357E">
        <w:rPr>
          <w:rFonts w:hint="eastAsia"/>
          <w:b/>
          <w:szCs w:val="21"/>
        </w:rPr>
        <w:t>1</w:t>
      </w:r>
      <w:r w:rsidRPr="0005357E">
        <w:rPr>
          <w:rFonts w:hint="eastAsia"/>
          <w:b/>
          <w:szCs w:val="21"/>
        </w:rPr>
        <w:t>月</w:t>
      </w:r>
      <w:r w:rsidRPr="0005357E">
        <w:rPr>
          <w:rFonts w:hint="eastAsia"/>
          <w:b/>
          <w:szCs w:val="21"/>
        </w:rPr>
        <w:t>15</w:t>
      </w:r>
      <w:r w:rsidRPr="0005357E">
        <w:rPr>
          <w:rFonts w:hint="eastAsia"/>
          <w:b/>
          <w:szCs w:val="21"/>
        </w:rPr>
        <w:t>日</w:t>
      </w:r>
    </w:p>
    <w:p w:rsidR="005417BA" w:rsidRPr="007A272B" w:rsidRDefault="005417BA" w:rsidP="005417BA">
      <w:pPr>
        <w:topLinePunct/>
        <w:ind w:left="851"/>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7A272B" w:rsidRDefault="005417BA" w:rsidP="005417BA">
      <w:pPr>
        <w:topLinePunct/>
        <w:ind w:firstLine="425"/>
        <w:rPr>
          <w:b/>
          <w:szCs w:val="21"/>
        </w:rPr>
      </w:pPr>
    </w:p>
    <w:p w:rsidR="005417BA" w:rsidRPr="0005357E" w:rsidRDefault="005417BA" w:rsidP="005417BA">
      <w:pPr>
        <w:tabs>
          <w:tab w:val="left" w:pos="3560"/>
        </w:tabs>
        <w:topLinePunct/>
        <w:jc w:val="center"/>
        <w:rPr>
          <w:b/>
          <w:szCs w:val="21"/>
        </w:rPr>
      </w:pPr>
      <w:r w:rsidRPr="0005357E">
        <w:rPr>
          <w:rFonts w:hint="eastAsia"/>
          <w:b/>
        </w:rPr>
        <w:t>晶盛宜城市郑集镇武当湖水库</w:t>
      </w:r>
      <w:r w:rsidRPr="0005357E">
        <w:rPr>
          <w:rFonts w:hint="eastAsia"/>
          <w:b/>
        </w:rPr>
        <w:t>19.9MWp</w:t>
      </w:r>
      <w:r w:rsidRPr="0005357E">
        <w:rPr>
          <w:rFonts w:hint="eastAsia"/>
          <w:b/>
        </w:rPr>
        <w:t>渔光互补分布式光伏发电项目</w:t>
      </w:r>
      <w:r w:rsidRPr="0005357E">
        <w:rPr>
          <w:b/>
        </w:rPr>
        <w:t>工程</w:t>
      </w:r>
      <w:r w:rsidRPr="0005357E">
        <w:rPr>
          <w:rFonts w:hint="eastAsia"/>
          <w:b/>
          <w:szCs w:val="21"/>
        </w:rPr>
        <w:t>监理项目部</w:t>
      </w:r>
    </w:p>
    <w:p w:rsidR="005417BA" w:rsidRPr="0005357E" w:rsidRDefault="005417BA" w:rsidP="005417BA">
      <w:pPr>
        <w:tabs>
          <w:tab w:val="left" w:pos="3560"/>
        </w:tabs>
        <w:topLinePunct/>
        <w:jc w:val="center"/>
        <w:rPr>
          <w:b/>
          <w:szCs w:val="21"/>
        </w:rPr>
      </w:pPr>
      <w:r w:rsidRPr="0005357E">
        <w:rPr>
          <w:rFonts w:hint="eastAsia"/>
          <w:b/>
          <w:szCs w:val="21"/>
        </w:rPr>
        <w:t>（加盖监理项目部公章）</w:t>
      </w:r>
    </w:p>
    <w:p w:rsidR="005417BA" w:rsidRPr="0005357E" w:rsidRDefault="005417BA" w:rsidP="005417BA">
      <w:pPr>
        <w:tabs>
          <w:tab w:val="left" w:pos="3560"/>
        </w:tabs>
        <w:topLinePunct/>
        <w:jc w:val="center"/>
        <w:rPr>
          <w:b/>
          <w:szCs w:val="21"/>
          <w:u w:val="single"/>
        </w:rPr>
      </w:pPr>
      <w:r w:rsidRPr="0005357E">
        <w:rPr>
          <w:rFonts w:hint="eastAsia"/>
          <w:b/>
          <w:szCs w:val="21"/>
        </w:rPr>
        <w:t>二</w:t>
      </w:r>
      <w:r w:rsidRPr="0005357E">
        <w:rPr>
          <w:rFonts w:hint="eastAsia"/>
          <w:b/>
          <w:szCs w:val="21"/>
        </w:rPr>
        <w:t>0</w:t>
      </w:r>
      <w:r w:rsidRPr="0005357E">
        <w:rPr>
          <w:rFonts w:hint="eastAsia"/>
          <w:b/>
          <w:szCs w:val="21"/>
        </w:rPr>
        <w:t>一六年一月</w:t>
      </w:r>
      <w:r w:rsidRPr="0005357E">
        <w:rPr>
          <w:rFonts w:hint="eastAsia"/>
          <w:b/>
          <w:szCs w:val="21"/>
        </w:rPr>
        <w:t xml:space="preserve"> </w:t>
      </w:r>
    </w:p>
    <w:p w:rsidR="005417BA" w:rsidRDefault="005417BA" w:rsidP="005417BA">
      <w:pPr>
        <w:topLinePunct/>
        <w:spacing w:line="960" w:lineRule="auto"/>
        <w:jc w:val="center"/>
        <w:rPr>
          <w:rFonts w:ascii="黑体" w:eastAsia="黑体" w:hAnsi="宋体"/>
          <w:kern w:val="21"/>
          <w:sz w:val="28"/>
          <w:szCs w:val="28"/>
        </w:rPr>
      </w:pPr>
    </w:p>
    <w:p w:rsidR="005417BA" w:rsidRDefault="005417BA" w:rsidP="005417BA">
      <w:pPr>
        <w:topLinePunct/>
        <w:spacing w:line="960" w:lineRule="auto"/>
        <w:jc w:val="center"/>
        <w:rPr>
          <w:rFonts w:ascii="黑体" w:eastAsia="黑体" w:hAnsi="宋体"/>
          <w:kern w:val="21"/>
          <w:sz w:val="28"/>
          <w:szCs w:val="28"/>
        </w:rPr>
      </w:pPr>
      <w:r>
        <w:rPr>
          <w:rFonts w:ascii="黑体" w:eastAsia="黑体" w:hAnsi="宋体"/>
          <w:kern w:val="21"/>
          <w:sz w:val="28"/>
          <w:szCs w:val="28"/>
        </w:rPr>
        <w:lastRenderedPageBreak/>
        <w:t xml:space="preserve">目  </w:t>
      </w:r>
      <w:r>
        <w:rPr>
          <w:rFonts w:ascii="黑体" w:eastAsia="黑体" w:hAnsi="宋体" w:hint="eastAsia"/>
          <w:kern w:val="21"/>
          <w:sz w:val="28"/>
          <w:szCs w:val="28"/>
        </w:rPr>
        <w:t xml:space="preserve">  录</w:t>
      </w:r>
    </w:p>
    <w:p w:rsidR="005417BA" w:rsidRDefault="005417BA" w:rsidP="005417BA">
      <w:pPr>
        <w:tabs>
          <w:tab w:val="right" w:pos="7541"/>
        </w:tabs>
        <w:topLinePunct/>
        <w:adjustRightInd w:val="0"/>
        <w:rPr>
          <w:rFonts w:eastAsia="黑体"/>
          <w:b/>
          <w:szCs w:val="21"/>
        </w:rPr>
      </w:pPr>
    </w:p>
    <w:p w:rsidR="005417BA" w:rsidRDefault="005417BA" w:rsidP="005417BA">
      <w:pPr>
        <w:tabs>
          <w:tab w:val="right" w:pos="7541"/>
        </w:tabs>
        <w:topLinePunct/>
        <w:adjustRightInd w:val="0"/>
        <w:rPr>
          <w:rFonts w:eastAsia="黑体"/>
          <w:szCs w:val="21"/>
        </w:rPr>
      </w:pPr>
      <w:r>
        <w:rPr>
          <w:rFonts w:eastAsia="黑体"/>
          <w:b/>
          <w:szCs w:val="21"/>
        </w:rPr>
        <w:t>1</w:t>
      </w:r>
      <w:r>
        <w:rPr>
          <w:rFonts w:eastAsia="黑体" w:hint="eastAsia"/>
          <w:szCs w:val="21"/>
        </w:rPr>
        <w:t xml:space="preserve"> </w:t>
      </w:r>
      <w:r>
        <w:rPr>
          <w:rFonts w:eastAsia="黑体"/>
          <w:szCs w:val="21"/>
        </w:rPr>
        <w:t xml:space="preserve"> </w:t>
      </w:r>
      <w:r>
        <w:rPr>
          <w:rFonts w:eastAsia="黑体"/>
          <w:szCs w:val="21"/>
        </w:rPr>
        <w:t>编制目的</w:t>
      </w:r>
    </w:p>
    <w:p w:rsidR="005417BA" w:rsidRDefault="005417BA" w:rsidP="005417BA">
      <w:pPr>
        <w:tabs>
          <w:tab w:val="right" w:pos="7541"/>
        </w:tabs>
        <w:topLinePunct/>
        <w:adjustRightInd w:val="0"/>
        <w:rPr>
          <w:rFonts w:eastAsia="黑体"/>
          <w:szCs w:val="21"/>
        </w:rPr>
      </w:pPr>
      <w:r>
        <w:rPr>
          <w:rFonts w:eastAsia="黑体"/>
          <w:b/>
          <w:szCs w:val="21"/>
        </w:rPr>
        <w:t>2</w:t>
      </w:r>
      <w:r>
        <w:rPr>
          <w:rFonts w:eastAsia="黑体" w:hint="eastAsia"/>
          <w:szCs w:val="21"/>
        </w:rPr>
        <w:t xml:space="preserve"> </w:t>
      </w:r>
      <w:r>
        <w:rPr>
          <w:rFonts w:eastAsia="黑体"/>
          <w:szCs w:val="21"/>
        </w:rPr>
        <w:t xml:space="preserve"> </w:t>
      </w:r>
      <w:r>
        <w:rPr>
          <w:rFonts w:eastAsia="黑体"/>
          <w:szCs w:val="21"/>
        </w:rPr>
        <w:t>编制依据</w:t>
      </w:r>
    </w:p>
    <w:p w:rsidR="005417BA" w:rsidRDefault="005417BA" w:rsidP="005417BA">
      <w:pPr>
        <w:tabs>
          <w:tab w:val="right" w:pos="7541"/>
        </w:tabs>
        <w:topLinePunct/>
        <w:adjustRightInd w:val="0"/>
        <w:rPr>
          <w:rFonts w:eastAsia="黑体"/>
          <w:szCs w:val="21"/>
        </w:rPr>
      </w:pPr>
      <w:r>
        <w:rPr>
          <w:rFonts w:eastAsia="黑体" w:hint="eastAsia"/>
          <w:b/>
          <w:szCs w:val="21"/>
        </w:rPr>
        <w:t>3</w:t>
      </w:r>
      <w:r>
        <w:rPr>
          <w:rFonts w:eastAsia="黑体" w:hint="eastAsia"/>
          <w:szCs w:val="21"/>
        </w:rPr>
        <w:t xml:space="preserve">  </w:t>
      </w:r>
      <w:r>
        <w:rPr>
          <w:rFonts w:eastAsia="黑体"/>
          <w:szCs w:val="21"/>
        </w:rPr>
        <w:t>监理旁站职责</w:t>
      </w:r>
    </w:p>
    <w:p w:rsidR="005417BA" w:rsidRDefault="005417BA" w:rsidP="005417BA">
      <w:pPr>
        <w:tabs>
          <w:tab w:val="right" w:pos="7541"/>
        </w:tabs>
        <w:topLinePunct/>
        <w:adjustRightInd w:val="0"/>
        <w:rPr>
          <w:rFonts w:eastAsia="黑体"/>
          <w:szCs w:val="21"/>
        </w:rPr>
      </w:pPr>
      <w:r>
        <w:rPr>
          <w:rFonts w:eastAsia="黑体" w:hint="eastAsia"/>
          <w:b/>
          <w:szCs w:val="21"/>
        </w:rPr>
        <w:t>4</w:t>
      </w:r>
      <w:r>
        <w:rPr>
          <w:rFonts w:eastAsia="黑体" w:hint="eastAsia"/>
          <w:szCs w:val="21"/>
        </w:rPr>
        <w:t xml:space="preserve"> </w:t>
      </w:r>
      <w:r>
        <w:rPr>
          <w:rFonts w:eastAsia="黑体"/>
          <w:szCs w:val="21"/>
        </w:rPr>
        <w:t xml:space="preserve"> </w:t>
      </w:r>
      <w:r>
        <w:rPr>
          <w:rFonts w:eastAsia="黑体"/>
          <w:szCs w:val="21"/>
        </w:rPr>
        <w:t>旁站工作流程及要求</w:t>
      </w:r>
    </w:p>
    <w:p w:rsidR="005417BA" w:rsidRDefault="005417BA" w:rsidP="005417BA">
      <w:pPr>
        <w:tabs>
          <w:tab w:val="right" w:pos="7541"/>
        </w:tabs>
        <w:topLinePunct/>
        <w:adjustRightInd w:val="0"/>
        <w:rPr>
          <w:rFonts w:eastAsia="黑体"/>
          <w:szCs w:val="21"/>
        </w:rPr>
      </w:pPr>
      <w:r>
        <w:rPr>
          <w:rFonts w:eastAsia="黑体" w:hint="eastAsia"/>
          <w:b/>
          <w:szCs w:val="21"/>
        </w:rPr>
        <w:t>5</w:t>
      </w:r>
      <w:r>
        <w:rPr>
          <w:rFonts w:eastAsia="黑体" w:hint="eastAsia"/>
          <w:szCs w:val="21"/>
        </w:rPr>
        <w:t xml:space="preserve"> </w:t>
      </w:r>
      <w:r>
        <w:rPr>
          <w:rFonts w:eastAsia="黑体"/>
          <w:szCs w:val="21"/>
        </w:rPr>
        <w:t xml:space="preserve"> </w:t>
      </w:r>
      <w:r>
        <w:rPr>
          <w:rFonts w:eastAsia="黑体"/>
          <w:szCs w:val="21"/>
        </w:rPr>
        <w:t>监理旁站范围及内容</w:t>
      </w:r>
    </w:p>
    <w:p w:rsidR="005417BA" w:rsidRDefault="005417BA" w:rsidP="005417BA">
      <w:pPr>
        <w:tabs>
          <w:tab w:val="right" w:pos="7541"/>
        </w:tabs>
        <w:topLinePunct/>
        <w:adjustRightInd w:val="0"/>
        <w:rPr>
          <w:rFonts w:eastAsia="黑体"/>
          <w:szCs w:val="21"/>
        </w:rPr>
      </w:pPr>
      <w:r>
        <w:rPr>
          <w:rFonts w:eastAsia="黑体" w:hint="eastAsia"/>
          <w:b/>
          <w:szCs w:val="21"/>
        </w:rPr>
        <w:t>6</w:t>
      </w:r>
      <w:r>
        <w:rPr>
          <w:rFonts w:eastAsia="黑体" w:hint="eastAsia"/>
          <w:szCs w:val="21"/>
        </w:rPr>
        <w:t xml:space="preserve">  </w:t>
      </w:r>
      <w:r>
        <w:rPr>
          <w:rFonts w:eastAsia="黑体"/>
          <w:szCs w:val="21"/>
        </w:rPr>
        <w:t>附件旁站监理记录表</w:t>
      </w:r>
    </w:p>
    <w:p w:rsidR="005417BA" w:rsidRDefault="005417BA" w:rsidP="005417BA">
      <w:pPr>
        <w:topLinePunct/>
        <w:ind w:firstLine="425"/>
        <w:rPr>
          <w:szCs w:val="21"/>
        </w:rPr>
      </w:pPr>
    </w:p>
    <w:p w:rsidR="005417BA" w:rsidRDefault="005417BA" w:rsidP="005417BA">
      <w:pPr>
        <w:tabs>
          <w:tab w:val="right" w:pos="7541"/>
        </w:tabs>
        <w:topLinePunct/>
        <w:adjustRightInd w:val="0"/>
        <w:rPr>
          <w:rFonts w:eastAsia="黑体"/>
          <w:szCs w:val="21"/>
        </w:rPr>
      </w:pPr>
      <w:r>
        <w:rPr>
          <w:rFonts w:eastAsia="黑体" w:hint="eastAsia"/>
          <w:szCs w:val="21"/>
        </w:rPr>
        <w:t>编写说明：</w:t>
      </w:r>
    </w:p>
    <w:p w:rsidR="005417BA" w:rsidRDefault="005417BA" w:rsidP="005417BA">
      <w:pPr>
        <w:topLinePunct/>
        <w:ind w:left="709" w:hanging="284"/>
        <w:rPr>
          <w:szCs w:val="21"/>
        </w:rPr>
      </w:pPr>
      <w:r>
        <w:rPr>
          <w:rFonts w:hint="eastAsia"/>
          <w:szCs w:val="21"/>
        </w:rPr>
        <w:t xml:space="preserve">1. </w:t>
      </w:r>
      <w:r>
        <w:rPr>
          <w:rFonts w:hint="eastAsia"/>
          <w:szCs w:val="21"/>
        </w:rPr>
        <w:t>旁站是监理项目部对关键部位和关键工序的施工质量实施建设工程监理的方式之一。</w:t>
      </w:r>
    </w:p>
    <w:p w:rsidR="005417BA" w:rsidRDefault="005417BA" w:rsidP="005417BA">
      <w:pPr>
        <w:topLinePunct/>
        <w:ind w:left="709" w:hanging="284"/>
        <w:rPr>
          <w:szCs w:val="21"/>
        </w:rPr>
      </w:pPr>
      <w:r>
        <w:rPr>
          <w:rFonts w:hint="eastAsia"/>
          <w:szCs w:val="21"/>
        </w:rPr>
        <w:t xml:space="preserve">2. </w:t>
      </w:r>
      <w:r>
        <w:rPr>
          <w:rFonts w:hint="eastAsia"/>
          <w:szCs w:val="21"/>
        </w:rPr>
        <w:t>监理旁站范围及内容中应列表细化具体的旁站作业点。</w:t>
      </w:r>
    </w:p>
    <w:p w:rsidR="005417BA" w:rsidRDefault="005417BA" w:rsidP="005417BA">
      <w:pPr>
        <w:topLinePunct/>
        <w:ind w:firstLine="425"/>
        <w:rPr>
          <w:szCs w:val="21"/>
        </w:rPr>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rPr>
          <w:rFonts w:hint="eastAsia"/>
        </w:rPr>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pStyle w:val="4"/>
      </w:pPr>
    </w:p>
    <w:p w:rsidR="005417BA" w:rsidRDefault="005417BA" w:rsidP="005417BA">
      <w:pPr>
        <w:spacing w:line="360" w:lineRule="auto"/>
        <w:rPr>
          <w:b/>
          <w:sz w:val="24"/>
        </w:rPr>
      </w:pPr>
      <w:r>
        <w:rPr>
          <w:rFonts w:hint="eastAsia"/>
          <w:b/>
          <w:sz w:val="24"/>
        </w:rPr>
        <w:lastRenderedPageBreak/>
        <w:t>一、工程概况</w:t>
      </w:r>
    </w:p>
    <w:p w:rsidR="005417BA" w:rsidRDefault="005417BA" w:rsidP="005417BA">
      <w:pPr>
        <w:tabs>
          <w:tab w:val="left" w:pos="180"/>
          <w:tab w:val="left" w:pos="3066"/>
          <w:tab w:val="left" w:pos="9047"/>
        </w:tabs>
        <w:spacing w:line="360" w:lineRule="auto"/>
        <w:ind w:firstLineChars="225" w:firstLine="540"/>
        <w:rPr>
          <w:sz w:val="24"/>
        </w:rPr>
      </w:pPr>
      <w:r>
        <w:rPr>
          <w:rFonts w:hint="eastAsia"/>
          <w:sz w:val="24"/>
        </w:rPr>
        <w:t>晶盛宜城市郑集镇武当湖水库</w:t>
      </w:r>
      <w:r>
        <w:rPr>
          <w:rFonts w:hint="eastAsia"/>
          <w:sz w:val="24"/>
        </w:rPr>
        <w:t>19.9MWp</w:t>
      </w:r>
      <w:r>
        <w:rPr>
          <w:rFonts w:hint="eastAsia"/>
          <w:sz w:val="24"/>
        </w:rPr>
        <w:t>渔光互补分布式光伏发电项目，位于湖北省宜城市郑集镇武当湖，北距宜城市约</w:t>
      </w:r>
      <w:r>
        <w:rPr>
          <w:rFonts w:hint="eastAsia"/>
          <w:sz w:val="24"/>
        </w:rPr>
        <w:t>20</w:t>
      </w:r>
      <w:r>
        <w:rPr>
          <w:rFonts w:hint="eastAsia"/>
          <w:sz w:val="24"/>
        </w:rPr>
        <w:t>公里</w:t>
      </w:r>
      <w:r>
        <w:rPr>
          <w:sz w:val="24"/>
        </w:rPr>
        <w:t>。</w:t>
      </w:r>
    </w:p>
    <w:p w:rsidR="005417BA" w:rsidRDefault="005417BA" w:rsidP="005417BA">
      <w:pPr>
        <w:tabs>
          <w:tab w:val="left" w:pos="5608"/>
        </w:tabs>
        <w:spacing w:line="360" w:lineRule="auto"/>
        <w:ind w:firstLineChars="200" w:firstLine="480"/>
        <w:jc w:val="left"/>
        <w:rPr>
          <w:sz w:val="24"/>
        </w:rPr>
      </w:pPr>
      <w:r>
        <w:rPr>
          <w:rFonts w:hint="eastAsia"/>
          <w:sz w:val="24"/>
        </w:rPr>
        <w:t>本工程光伏并网发电系统，总装机容量为</w:t>
      </w:r>
      <w:r>
        <w:rPr>
          <w:rFonts w:hint="eastAsia"/>
          <w:sz w:val="24"/>
        </w:rPr>
        <w:t>19.9MWp</w:t>
      </w:r>
      <w:r>
        <w:rPr>
          <w:rFonts w:hint="eastAsia"/>
          <w:sz w:val="24"/>
        </w:rPr>
        <w:t>，全部为多晶硅</w:t>
      </w:r>
      <w:r>
        <w:rPr>
          <w:rFonts w:hint="eastAsia"/>
          <w:sz w:val="24"/>
        </w:rPr>
        <w:t>260Wp</w:t>
      </w:r>
      <w:r>
        <w:rPr>
          <w:rFonts w:hint="eastAsia"/>
          <w:sz w:val="24"/>
        </w:rPr>
        <w:t>光伏电池组件，组成</w:t>
      </w:r>
      <w:r>
        <w:rPr>
          <w:rFonts w:hint="eastAsia"/>
          <w:sz w:val="24"/>
        </w:rPr>
        <w:t>19</w:t>
      </w:r>
      <w:r>
        <w:rPr>
          <w:rFonts w:hint="eastAsia"/>
          <w:sz w:val="24"/>
        </w:rPr>
        <w:t>个子阵，每一个</w:t>
      </w:r>
      <w:r>
        <w:rPr>
          <w:rFonts w:hint="eastAsia"/>
          <w:sz w:val="24"/>
        </w:rPr>
        <w:t>2*</w:t>
      </w:r>
      <w:r>
        <w:rPr>
          <w:sz w:val="24"/>
        </w:rPr>
        <w:t>500kW</w:t>
      </w:r>
      <w:r>
        <w:rPr>
          <w:rFonts w:hint="eastAsia"/>
          <w:sz w:val="24"/>
        </w:rPr>
        <w:t>p</w:t>
      </w:r>
      <w:r>
        <w:rPr>
          <w:rFonts w:hint="eastAsia"/>
          <w:sz w:val="24"/>
        </w:rPr>
        <w:t>光伏逆变器</w:t>
      </w:r>
      <w:r>
        <w:rPr>
          <w:sz w:val="24"/>
        </w:rPr>
        <w:t>与</w:t>
      </w:r>
      <w:r>
        <w:rPr>
          <w:sz w:val="24"/>
        </w:rPr>
        <w:t>1</w:t>
      </w:r>
      <w:r>
        <w:rPr>
          <w:sz w:val="24"/>
        </w:rPr>
        <w:t>台</w:t>
      </w:r>
      <w:r>
        <w:rPr>
          <w:sz w:val="24"/>
        </w:rPr>
        <w:t>1</w:t>
      </w:r>
      <w:r>
        <w:rPr>
          <w:rFonts w:hint="eastAsia"/>
          <w:sz w:val="24"/>
        </w:rPr>
        <w:t>25</w:t>
      </w:r>
      <w:r>
        <w:rPr>
          <w:sz w:val="24"/>
        </w:rPr>
        <w:t>0</w:t>
      </w:r>
      <w:r>
        <w:rPr>
          <w:rFonts w:hint="eastAsia"/>
          <w:sz w:val="24"/>
        </w:rPr>
        <w:t>k</w:t>
      </w:r>
      <w:r>
        <w:rPr>
          <w:sz w:val="24"/>
        </w:rPr>
        <w:t>VA</w:t>
      </w:r>
      <w:r>
        <w:rPr>
          <w:rFonts w:hint="eastAsia"/>
          <w:sz w:val="24"/>
        </w:rPr>
        <w:t>/35</w:t>
      </w:r>
      <w:r>
        <w:rPr>
          <w:sz w:val="24"/>
        </w:rPr>
        <w:t>kV</w:t>
      </w:r>
      <w:r>
        <w:rPr>
          <w:rFonts w:hint="eastAsia"/>
          <w:sz w:val="24"/>
        </w:rPr>
        <w:t>箱式</w:t>
      </w:r>
      <w:r>
        <w:rPr>
          <w:sz w:val="24"/>
        </w:rPr>
        <w:t>升压变</w:t>
      </w:r>
      <w:r>
        <w:rPr>
          <w:rFonts w:hint="eastAsia"/>
          <w:sz w:val="24"/>
        </w:rPr>
        <w:t>电站</w:t>
      </w:r>
      <w:r>
        <w:rPr>
          <w:sz w:val="24"/>
        </w:rPr>
        <w:t>组合</w:t>
      </w:r>
      <w:r>
        <w:rPr>
          <w:rFonts w:hint="eastAsia"/>
          <w:sz w:val="24"/>
        </w:rPr>
        <w:t>。电池组件所发直流电</w:t>
      </w:r>
      <w:r>
        <w:rPr>
          <w:rFonts w:hint="eastAsia"/>
          <w:bCs/>
          <w:sz w:val="24"/>
        </w:rPr>
        <w:t>经汇流、逆变后引至</w:t>
      </w:r>
      <w:r>
        <w:rPr>
          <w:rFonts w:hint="eastAsia"/>
          <w:bCs/>
          <w:sz w:val="24"/>
        </w:rPr>
        <w:t>35kV</w:t>
      </w:r>
      <w:r>
        <w:rPr>
          <w:rFonts w:hint="eastAsia"/>
          <w:bCs/>
          <w:sz w:val="24"/>
        </w:rPr>
        <w:t>箱式升压变，</w:t>
      </w:r>
      <w:r>
        <w:rPr>
          <w:rFonts w:hint="eastAsia"/>
          <w:sz w:val="24"/>
        </w:rPr>
        <w:t>分</w:t>
      </w:r>
      <w:r>
        <w:rPr>
          <w:rFonts w:hint="eastAsia"/>
          <w:sz w:val="24"/>
        </w:rPr>
        <w:t>2</w:t>
      </w:r>
      <w:r>
        <w:rPr>
          <w:rFonts w:hint="eastAsia"/>
          <w:sz w:val="24"/>
        </w:rPr>
        <w:t>个联合单元通过</w:t>
      </w:r>
      <w:r>
        <w:rPr>
          <w:rFonts w:hint="eastAsia"/>
          <w:sz w:val="24"/>
        </w:rPr>
        <w:t>2</w:t>
      </w:r>
      <w:r>
        <w:rPr>
          <w:rFonts w:hint="eastAsia"/>
          <w:sz w:val="24"/>
        </w:rPr>
        <w:t>回</w:t>
      </w:r>
      <w:r>
        <w:rPr>
          <w:rFonts w:hint="eastAsia"/>
          <w:sz w:val="24"/>
        </w:rPr>
        <w:t>35kV</w:t>
      </w:r>
      <w:r>
        <w:rPr>
          <w:rFonts w:hint="eastAsia"/>
          <w:sz w:val="24"/>
        </w:rPr>
        <w:t>电缆接入</w:t>
      </w:r>
      <w:r>
        <w:rPr>
          <w:rFonts w:hint="eastAsia"/>
          <w:sz w:val="24"/>
        </w:rPr>
        <w:t>35kV</w:t>
      </w:r>
      <w:r>
        <w:rPr>
          <w:rFonts w:hint="eastAsia"/>
          <w:sz w:val="24"/>
        </w:rPr>
        <w:t>开关站，全区共计</w:t>
      </w:r>
      <w:r>
        <w:rPr>
          <w:rFonts w:hint="eastAsia"/>
          <w:sz w:val="24"/>
        </w:rPr>
        <w:t>1.25MVA</w:t>
      </w:r>
      <w:r>
        <w:rPr>
          <w:rFonts w:hint="eastAsia"/>
          <w:sz w:val="24"/>
        </w:rPr>
        <w:t>箱变</w:t>
      </w:r>
      <w:r>
        <w:rPr>
          <w:rFonts w:hint="eastAsia"/>
          <w:sz w:val="24"/>
        </w:rPr>
        <w:t>19</w:t>
      </w:r>
      <w:r>
        <w:rPr>
          <w:rFonts w:hint="eastAsia"/>
          <w:sz w:val="24"/>
        </w:rPr>
        <w:t>台。</w:t>
      </w:r>
    </w:p>
    <w:p w:rsidR="005417BA" w:rsidRDefault="005417BA" w:rsidP="005417BA">
      <w:pPr>
        <w:spacing w:line="360" w:lineRule="auto"/>
        <w:rPr>
          <w:b/>
          <w:sz w:val="24"/>
        </w:rPr>
      </w:pPr>
      <w:r>
        <w:rPr>
          <w:rFonts w:hint="eastAsia"/>
          <w:b/>
          <w:sz w:val="24"/>
        </w:rPr>
        <w:t>二、编制依据</w:t>
      </w:r>
    </w:p>
    <w:p w:rsidR="005417BA" w:rsidRDefault="005417BA" w:rsidP="005417BA">
      <w:pPr>
        <w:spacing w:line="360" w:lineRule="auto"/>
        <w:ind w:firstLineChars="200" w:firstLine="480"/>
        <w:rPr>
          <w:rFonts w:ascii="宋体" w:hAnsi="宋体"/>
          <w:sz w:val="24"/>
        </w:rPr>
      </w:pPr>
      <w:r>
        <w:rPr>
          <w:rFonts w:ascii="宋体" w:hAnsi="宋体" w:hint="eastAsia"/>
          <w:sz w:val="24"/>
        </w:rPr>
        <w:t>1、监理规划。</w:t>
      </w:r>
    </w:p>
    <w:p w:rsidR="005417BA" w:rsidRDefault="005417BA" w:rsidP="005417BA">
      <w:pPr>
        <w:spacing w:line="360" w:lineRule="auto"/>
        <w:ind w:firstLineChars="200" w:firstLine="480"/>
        <w:rPr>
          <w:rFonts w:ascii="宋体" w:hAnsi="宋体"/>
          <w:sz w:val="24"/>
        </w:rPr>
      </w:pPr>
      <w:r>
        <w:rPr>
          <w:rFonts w:ascii="宋体" w:hAnsi="宋体" w:hint="eastAsia"/>
          <w:sz w:val="24"/>
        </w:rPr>
        <w:t>2、《建设工程监理规范》(GB/T50319-2013)。</w:t>
      </w:r>
    </w:p>
    <w:p w:rsidR="005417BA" w:rsidRDefault="005417BA" w:rsidP="005417BA">
      <w:pPr>
        <w:spacing w:line="360" w:lineRule="auto"/>
        <w:ind w:firstLineChars="200" w:firstLine="480"/>
        <w:rPr>
          <w:rStyle w:val="font2"/>
          <w:rFonts w:ascii="宋体" w:hAnsi="宋体"/>
          <w:sz w:val="24"/>
          <w:szCs w:val="24"/>
        </w:rPr>
      </w:pPr>
      <w:r>
        <w:rPr>
          <w:rFonts w:ascii="宋体" w:hAnsi="宋体" w:hint="eastAsia"/>
          <w:sz w:val="24"/>
        </w:rPr>
        <w:t>3、</w:t>
      </w:r>
      <w:r>
        <w:rPr>
          <w:rStyle w:val="font2"/>
          <w:rFonts w:ascii="宋体" w:hAnsi="宋体" w:hint="eastAsia"/>
          <w:sz w:val="24"/>
          <w:szCs w:val="24"/>
        </w:rPr>
        <w:t>《建筑工程</w:t>
      </w:r>
      <w:r>
        <w:rPr>
          <w:rFonts w:ascii="宋体" w:hAnsi="宋体" w:hint="eastAsia"/>
          <w:sz w:val="24"/>
        </w:rPr>
        <w:t>施工质量验收统一标准》</w:t>
      </w:r>
      <w:r>
        <w:rPr>
          <w:rStyle w:val="font2"/>
          <w:rFonts w:ascii="宋体" w:hAnsi="宋体" w:hint="eastAsia"/>
          <w:sz w:val="24"/>
          <w:szCs w:val="24"/>
        </w:rPr>
        <w:t>。</w:t>
      </w:r>
    </w:p>
    <w:p w:rsidR="005417BA" w:rsidRDefault="005417BA" w:rsidP="005417BA">
      <w:pPr>
        <w:spacing w:line="360" w:lineRule="auto"/>
        <w:ind w:firstLineChars="200" w:firstLine="480"/>
        <w:rPr>
          <w:rFonts w:ascii="宋体" w:hAnsi="宋体"/>
          <w:sz w:val="24"/>
        </w:rPr>
      </w:pPr>
      <w:r>
        <w:rPr>
          <w:rFonts w:ascii="宋体" w:hAnsi="宋体" w:hint="eastAsia"/>
          <w:sz w:val="24"/>
        </w:rPr>
        <w:t>4、《房屋建筑工程施工旁站监理管理办法（试行）》。</w:t>
      </w:r>
    </w:p>
    <w:p w:rsidR="005417BA" w:rsidRDefault="005417BA" w:rsidP="005417BA">
      <w:pPr>
        <w:spacing w:line="360" w:lineRule="auto"/>
        <w:outlineLvl w:val="0"/>
        <w:rPr>
          <w:rFonts w:ascii="宋体" w:hAnsi="宋体"/>
          <w:sz w:val="24"/>
        </w:rPr>
      </w:pPr>
      <w:bookmarkStart w:id="1" w:name="_Toc20769"/>
      <w:r>
        <w:rPr>
          <w:rFonts w:ascii="宋体" w:hAnsi="宋体" w:hint="eastAsia"/>
          <w:sz w:val="24"/>
        </w:rPr>
        <w:t xml:space="preserve">    5、《国家电网公司输变电工程建设监理管理办法》。</w:t>
      </w:r>
      <w:bookmarkEnd w:id="1"/>
    </w:p>
    <w:p w:rsidR="005417BA" w:rsidRDefault="005417BA" w:rsidP="005417BA">
      <w:pPr>
        <w:pStyle w:val="3"/>
        <w:ind w:firstLine="482"/>
        <w:rPr>
          <w:sz w:val="24"/>
        </w:rPr>
      </w:pPr>
      <w:bookmarkStart w:id="2" w:name="_Toc251400349"/>
      <w:bookmarkStart w:id="3" w:name="_Toc29709"/>
      <w:r>
        <w:rPr>
          <w:rFonts w:hint="eastAsia"/>
          <w:sz w:val="24"/>
        </w:rPr>
        <w:t>三、旁站</w:t>
      </w:r>
      <w:bookmarkEnd w:id="2"/>
      <w:r>
        <w:rPr>
          <w:rFonts w:hint="eastAsia"/>
          <w:sz w:val="24"/>
        </w:rPr>
        <w:t>监理控制要点</w:t>
      </w:r>
      <w:bookmarkEnd w:id="3"/>
    </w:p>
    <w:p w:rsidR="005417BA" w:rsidRDefault="005417BA" w:rsidP="005417BA">
      <w:pPr>
        <w:spacing w:line="360" w:lineRule="auto"/>
        <w:ind w:firstLineChars="200" w:firstLine="480"/>
        <w:rPr>
          <w:rFonts w:ascii="宋体" w:hAnsi="宋体"/>
          <w:sz w:val="24"/>
        </w:rPr>
      </w:pPr>
      <w:r>
        <w:rPr>
          <w:rFonts w:ascii="宋体" w:hAnsi="宋体" w:hint="eastAsia"/>
          <w:sz w:val="24"/>
        </w:rPr>
        <w:t>1、检查施工单位现场质检人员到岗、特殊工种人员持证上岗以及施工机械、施工材料准备情况。</w:t>
      </w:r>
    </w:p>
    <w:p w:rsidR="005417BA" w:rsidRDefault="005417BA" w:rsidP="005417BA">
      <w:pPr>
        <w:spacing w:line="360" w:lineRule="auto"/>
        <w:ind w:firstLineChars="200" w:firstLine="480"/>
        <w:rPr>
          <w:rFonts w:ascii="宋体" w:hAnsi="宋体"/>
          <w:sz w:val="24"/>
        </w:rPr>
      </w:pPr>
      <w:r>
        <w:rPr>
          <w:rFonts w:ascii="宋体" w:hAnsi="宋体" w:hint="eastAsia"/>
          <w:sz w:val="24"/>
        </w:rPr>
        <w:t>2、现场跟班监督关键部位，关键工序的施工，执行施工方案和执行强制性标准情况。</w:t>
      </w:r>
    </w:p>
    <w:p w:rsidR="005417BA" w:rsidRDefault="005417BA" w:rsidP="005417BA">
      <w:pPr>
        <w:spacing w:line="360" w:lineRule="auto"/>
        <w:ind w:firstLineChars="200" w:firstLine="480"/>
        <w:rPr>
          <w:rFonts w:ascii="宋体" w:hAnsi="宋体"/>
          <w:sz w:val="24"/>
        </w:rPr>
      </w:pPr>
      <w:r>
        <w:rPr>
          <w:rFonts w:ascii="宋体" w:hAnsi="宋体" w:hint="eastAsia"/>
          <w:sz w:val="24"/>
        </w:rPr>
        <w:t>3、核查进场建筑材料、建筑构配件、设备和商品混凝土质量检查报告等，并可在现场监督施工单位进行检验或者委托具有资格的第三方进行复验。</w:t>
      </w:r>
    </w:p>
    <w:p w:rsidR="005417BA" w:rsidRDefault="005417BA" w:rsidP="005417BA">
      <w:pPr>
        <w:spacing w:line="360" w:lineRule="auto"/>
        <w:ind w:firstLineChars="200" w:firstLine="480"/>
        <w:rPr>
          <w:rFonts w:ascii="宋体" w:hAnsi="宋体"/>
          <w:sz w:val="24"/>
        </w:rPr>
      </w:pPr>
      <w:r>
        <w:rPr>
          <w:rFonts w:ascii="宋体" w:hAnsi="宋体" w:hint="eastAsia"/>
          <w:sz w:val="24"/>
        </w:rPr>
        <w:t>4、旁站监理人员要认真履行职责，及时发现和处理旁站监理过程中出现的质量问题，如实准确地做好旁站监理记录。凡旁站监理人员和施工单位现场质检人员未在旁站监理记录（见旁站监理记录表）上签字的，不得进行下一道工序施工。</w:t>
      </w:r>
    </w:p>
    <w:p w:rsidR="005417BA" w:rsidRDefault="005417BA" w:rsidP="005417BA">
      <w:pPr>
        <w:spacing w:line="360" w:lineRule="auto"/>
        <w:ind w:firstLineChars="200" w:firstLine="480"/>
        <w:rPr>
          <w:rFonts w:ascii="宋体" w:hAnsi="宋体"/>
          <w:sz w:val="24"/>
        </w:rPr>
      </w:pPr>
      <w:r>
        <w:rPr>
          <w:rFonts w:ascii="宋体" w:hAnsi="宋体" w:hint="eastAsia"/>
          <w:sz w:val="24"/>
        </w:rPr>
        <w:t>5、旁站监理人员实施旁站监理时，发现施工单位有违反工程建设强制性标准行为的，有权责令施工单位立即整改；发现其施工活动已经或可能危及工程质</w:t>
      </w:r>
      <w:r>
        <w:rPr>
          <w:rFonts w:ascii="宋体" w:hAnsi="宋体" w:hint="eastAsia"/>
          <w:sz w:val="24"/>
        </w:rPr>
        <w:lastRenderedPageBreak/>
        <w:t>量的，应及时向总监报告，必要时由总监理师下达局部暂停施工指令或采取其它应急措施。</w:t>
      </w:r>
    </w:p>
    <w:p w:rsidR="005417BA" w:rsidRDefault="005417BA" w:rsidP="005417BA">
      <w:pPr>
        <w:spacing w:line="360" w:lineRule="auto"/>
        <w:ind w:firstLineChars="200" w:firstLine="480"/>
        <w:rPr>
          <w:rFonts w:ascii="宋体" w:hAnsi="宋体"/>
          <w:sz w:val="24"/>
        </w:rPr>
      </w:pPr>
      <w:r>
        <w:rPr>
          <w:rFonts w:ascii="宋体" w:hAnsi="宋体" w:hint="eastAsia"/>
          <w:sz w:val="24"/>
        </w:rPr>
        <w:t>6、旁站监理人员应认真核实施工单位的各类记录是否真实，齐全。</w:t>
      </w:r>
    </w:p>
    <w:p w:rsidR="005417BA" w:rsidRDefault="005417BA" w:rsidP="005417BA">
      <w:pPr>
        <w:spacing w:line="360" w:lineRule="auto"/>
        <w:ind w:firstLineChars="200" w:firstLine="480"/>
        <w:rPr>
          <w:rStyle w:val="font2"/>
          <w:rFonts w:ascii="宋体" w:hAnsi="宋体"/>
          <w:sz w:val="24"/>
          <w:szCs w:val="24"/>
        </w:rPr>
      </w:pPr>
      <w:r>
        <w:rPr>
          <w:rFonts w:ascii="宋体" w:hAnsi="宋体" w:hint="eastAsia"/>
          <w:sz w:val="24"/>
        </w:rPr>
        <w:t>7、旁站监理人员要做好旁站记录，要做到齐全、真实，及时归档保存。旁站监理记录是监理工程师或总监依法行使有关签字权的重要依据，对于需要旁站监理的关键部位、关键工序施工，凡没有实施旁站监理或没有旁站记录的，监理工程师或总监不得在相应文件上签字。在工程竣工验收后，监理部应当将旁站监理记录存档备查。</w:t>
      </w:r>
      <w:r>
        <w:rPr>
          <w:rStyle w:val="font2"/>
          <w:rFonts w:ascii="宋体" w:hAnsi="宋体" w:hint="eastAsia"/>
          <w:sz w:val="24"/>
          <w:szCs w:val="24"/>
        </w:rPr>
        <w:t xml:space="preserve">　     </w:t>
      </w:r>
    </w:p>
    <w:p w:rsidR="005417BA" w:rsidRDefault="005417BA" w:rsidP="005417BA">
      <w:pPr>
        <w:spacing w:line="360" w:lineRule="auto"/>
        <w:ind w:firstLineChars="200" w:firstLine="480"/>
        <w:rPr>
          <w:rFonts w:ascii="宋体" w:hAnsi="宋体"/>
          <w:sz w:val="24"/>
        </w:rPr>
      </w:pPr>
      <w:r>
        <w:rPr>
          <w:rStyle w:val="font2"/>
          <w:rFonts w:ascii="宋体" w:hAnsi="宋体" w:hint="eastAsia"/>
          <w:sz w:val="24"/>
          <w:szCs w:val="24"/>
        </w:rPr>
        <w:t>8、旁站监理在总监理工程师的指导下，由现场监理人员负责具体实施。</w:t>
      </w:r>
    </w:p>
    <w:p w:rsidR="005417BA" w:rsidRDefault="005417BA" w:rsidP="005417BA">
      <w:pPr>
        <w:tabs>
          <w:tab w:val="left" w:pos="735"/>
          <w:tab w:val="left" w:pos="945"/>
          <w:tab w:val="left" w:pos="1050"/>
          <w:tab w:val="left" w:pos="1155"/>
        </w:tabs>
        <w:spacing w:line="360" w:lineRule="auto"/>
        <w:rPr>
          <w:rFonts w:ascii="黑体" w:eastAsia="黑体" w:hAnsi="宋体"/>
          <w:b/>
          <w:sz w:val="24"/>
        </w:rPr>
      </w:pPr>
      <w:r>
        <w:rPr>
          <w:rFonts w:ascii="黑体" w:eastAsia="黑体" w:hAnsi="宋体" w:hint="eastAsia"/>
          <w:b/>
          <w:sz w:val="24"/>
        </w:rPr>
        <w:t>四  旁站监理范围或内容</w:t>
      </w:r>
    </w:p>
    <w:p w:rsidR="005417BA" w:rsidRDefault="005417BA" w:rsidP="005417BA">
      <w:pPr>
        <w:numPr>
          <w:ilvl w:val="1"/>
          <w:numId w:val="1"/>
        </w:numPr>
        <w:tabs>
          <w:tab w:val="left" w:pos="567"/>
          <w:tab w:val="left" w:pos="735"/>
          <w:tab w:val="left" w:pos="1050"/>
          <w:tab w:val="left" w:pos="1155"/>
        </w:tabs>
        <w:spacing w:line="360" w:lineRule="auto"/>
        <w:rPr>
          <w:rFonts w:ascii="宋体" w:hAnsi="宋体"/>
          <w:sz w:val="24"/>
        </w:rPr>
      </w:pPr>
      <w:r>
        <w:rPr>
          <w:rFonts w:ascii="宋体" w:hAnsi="宋体" w:hint="eastAsia"/>
          <w:sz w:val="24"/>
        </w:rPr>
        <w:t>旁站监理范围</w:t>
      </w:r>
    </w:p>
    <w:p w:rsidR="005417BA" w:rsidRDefault="005417BA" w:rsidP="005417BA">
      <w:pPr>
        <w:tabs>
          <w:tab w:val="left" w:pos="735"/>
          <w:tab w:val="left" w:pos="1050"/>
          <w:tab w:val="left" w:pos="1155"/>
        </w:tabs>
        <w:spacing w:line="360" w:lineRule="auto"/>
        <w:jc w:val="center"/>
        <w:rPr>
          <w:rFonts w:ascii="宋体" w:hAnsi="宋体"/>
          <w:sz w:val="24"/>
        </w:rPr>
      </w:pPr>
      <w:r>
        <w:rPr>
          <w:rFonts w:ascii="宋体" w:hAnsi="宋体" w:hint="eastAsia"/>
          <w:b/>
          <w:bCs/>
          <w:color w:val="000000"/>
          <w:sz w:val="24"/>
        </w:rPr>
        <w:t>旁站监理范围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
        <w:gridCol w:w="538"/>
        <w:gridCol w:w="6627"/>
        <w:gridCol w:w="21"/>
        <w:gridCol w:w="605"/>
        <w:gridCol w:w="605"/>
        <w:gridCol w:w="611"/>
        <w:gridCol w:w="35"/>
      </w:tblGrid>
      <w:tr w:rsidR="005417BA" w:rsidTr="00E870BE">
        <w:trPr>
          <w:gridAfter w:val="1"/>
          <w:wAfter w:w="18" w:type="pct"/>
          <w:cantSplit/>
        </w:trPr>
        <w:tc>
          <w:tcPr>
            <w:tcW w:w="7741" w:type="dxa"/>
            <w:gridSpan w:val="3"/>
            <w:vAlign w:val="center"/>
          </w:tcPr>
          <w:p w:rsidR="005417BA" w:rsidRDefault="005417BA" w:rsidP="005417BA">
            <w:pPr>
              <w:tabs>
                <w:tab w:val="left" w:leader="dot" w:pos="7560"/>
              </w:tabs>
              <w:spacing w:beforeLines="50" w:line="360" w:lineRule="auto"/>
              <w:ind w:firstLine="361"/>
              <w:jc w:val="center"/>
              <w:rPr>
                <w:rFonts w:ascii="宋体" w:hAnsi="宋体"/>
                <w:b/>
                <w:bCs/>
                <w:color w:val="000000"/>
                <w:sz w:val="24"/>
              </w:rPr>
            </w:pPr>
            <w:r>
              <w:rPr>
                <w:rFonts w:ascii="宋体" w:hAnsi="宋体" w:hint="eastAsia"/>
                <w:b/>
                <w:bCs/>
                <w:color w:val="000000"/>
                <w:sz w:val="24"/>
              </w:rPr>
              <w:t>关键部位或关键工序</w:t>
            </w:r>
          </w:p>
        </w:tc>
        <w:tc>
          <w:tcPr>
            <w:tcW w:w="627" w:type="dxa"/>
            <w:gridSpan w:val="2"/>
            <w:vAlign w:val="center"/>
          </w:tcPr>
          <w:p w:rsidR="005417BA" w:rsidRDefault="005417BA" w:rsidP="005417BA">
            <w:pPr>
              <w:tabs>
                <w:tab w:val="left" w:leader="dot" w:pos="7560"/>
              </w:tabs>
              <w:spacing w:beforeLines="50" w:line="360" w:lineRule="auto"/>
              <w:jc w:val="center"/>
              <w:rPr>
                <w:rFonts w:ascii="宋体" w:hAnsi="宋体"/>
                <w:b/>
                <w:bCs/>
                <w:color w:val="000000"/>
                <w:sz w:val="24"/>
              </w:rPr>
            </w:pPr>
            <w:r>
              <w:rPr>
                <w:rFonts w:ascii="宋体" w:hAnsi="宋体" w:hint="eastAsia"/>
                <w:b/>
                <w:bCs/>
                <w:color w:val="000000"/>
                <w:sz w:val="24"/>
              </w:rPr>
              <w:t>见证点</w:t>
            </w:r>
          </w:p>
        </w:tc>
        <w:tc>
          <w:tcPr>
            <w:tcW w:w="606" w:type="dxa"/>
            <w:vAlign w:val="center"/>
          </w:tcPr>
          <w:p w:rsidR="005417BA" w:rsidRDefault="005417BA" w:rsidP="005417BA">
            <w:pPr>
              <w:tabs>
                <w:tab w:val="left" w:leader="dot" w:pos="7560"/>
              </w:tabs>
              <w:spacing w:beforeLines="50" w:line="360" w:lineRule="auto"/>
              <w:jc w:val="center"/>
              <w:rPr>
                <w:rFonts w:ascii="宋体" w:hAnsi="宋体"/>
                <w:b/>
                <w:bCs/>
                <w:color w:val="000000"/>
                <w:sz w:val="24"/>
              </w:rPr>
            </w:pPr>
            <w:r>
              <w:rPr>
                <w:rFonts w:ascii="宋体" w:hAnsi="宋体" w:hint="eastAsia"/>
                <w:b/>
                <w:bCs/>
                <w:color w:val="000000"/>
                <w:sz w:val="24"/>
              </w:rPr>
              <w:t>停检点</w:t>
            </w:r>
          </w:p>
        </w:tc>
        <w:tc>
          <w:tcPr>
            <w:tcW w:w="582" w:type="dxa"/>
            <w:vAlign w:val="center"/>
          </w:tcPr>
          <w:p w:rsidR="005417BA" w:rsidRDefault="005417BA" w:rsidP="005417BA">
            <w:pPr>
              <w:tabs>
                <w:tab w:val="left" w:leader="dot" w:pos="7560"/>
              </w:tabs>
              <w:spacing w:beforeLines="50" w:line="360" w:lineRule="auto"/>
              <w:jc w:val="center"/>
              <w:rPr>
                <w:rFonts w:ascii="宋体" w:hAnsi="宋体"/>
                <w:b/>
                <w:bCs/>
                <w:color w:val="000000"/>
                <w:sz w:val="24"/>
              </w:rPr>
            </w:pPr>
            <w:r>
              <w:rPr>
                <w:rFonts w:ascii="宋体" w:hAnsi="宋体" w:hint="eastAsia"/>
                <w:b/>
                <w:bCs/>
                <w:color w:val="000000"/>
                <w:sz w:val="24"/>
              </w:rPr>
              <w:t>旁站点</w:t>
            </w:r>
          </w:p>
        </w:tc>
      </w:tr>
      <w:tr w:rsidR="005417BA" w:rsidTr="00E870BE">
        <w:trPr>
          <w:cantSplit/>
          <w:trHeight w:hRule="exact" w:val="454"/>
        </w:trPr>
        <w:tc>
          <w:tcPr>
            <w:tcW w:w="551" w:type="dxa"/>
          </w:tcPr>
          <w:p w:rsidR="005417BA" w:rsidRDefault="005417BA" w:rsidP="00E870BE">
            <w:pPr>
              <w:rPr>
                <w:rFonts w:ascii="宋体" w:hAnsi="宋体"/>
              </w:rPr>
            </w:pPr>
            <w:r>
              <w:rPr>
                <w:rFonts w:ascii="宋体" w:hAnsi="宋体" w:hint="eastAsia"/>
              </w:rPr>
              <w:t>1</w:t>
            </w: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光伏发电工程</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定位及高程控制</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土石方开挖</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回填</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桩基基础</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钢筋制作安装</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模板安装</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混凝土原材料及配合比</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99"/>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基础混凝土施工</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r>
              <w:rPr>
                <w:rFonts w:ascii="宋体" w:hAnsi="宋体" w:hint="eastAsia"/>
              </w:rPr>
              <w:t>S</w:t>
            </w:r>
          </w:p>
        </w:tc>
      </w:tr>
      <w:tr w:rsidR="005417BA" w:rsidTr="00E870BE">
        <w:trPr>
          <w:cantSplit/>
          <w:trHeight w:hRule="exact" w:val="499"/>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混凝土外观及结构尺寸</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63"/>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光伏阵列支架</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63"/>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接地网安装</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r>
              <w:rPr>
                <w:rFonts w:ascii="宋体" w:hAnsi="宋体" w:hint="eastAsia"/>
              </w:rPr>
              <w:t>2</w:t>
            </w: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道路工程</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路基工程</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砂砾调平层</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二灰稳定碎石</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路肩</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挡土墙</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排水沟</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Pr>
        <w:tc>
          <w:tcPr>
            <w:tcW w:w="551" w:type="dxa"/>
          </w:tcPr>
          <w:p w:rsidR="005417BA" w:rsidRDefault="005417BA" w:rsidP="00E870BE">
            <w:pPr>
              <w:rPr>
                <w:rFonts w:ascii="宋体" w:hAnsi="宋体"/>
              </w:rPr>
            </w:pPr>
            <w:r>
              <w:rPr>
                <w:rFonts w:ascii="宋体" w:hAnsi="宋体" w:hint="eastAsia"/>
              </w:rPr>
              <w:t>3</w:t>
            </w: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线路工程</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路径复测</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基础分坑</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土石方开挖</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回填</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基础混凝土浇筑</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r>
              <w:rPr>
                <w:rFonts w:ascii="宋体" w:hAnsi="宋体" w:hint="eastAsia"/>
              </w:rPr>
              <w:t>S</w:t>
            </w: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挡土墙及护坡</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自立式铁塔</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接地体埋设</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导地线展放（张力场）</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导地线压接</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r>
              <w:rPr>
                <w:rFonts w:ascii="宋体" w:hAnsi="宋体" w:hint="eastAsia"/>
              </w:rPr>
              <w:t>S</w:t>
            </w: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OPGW光缆接续</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特殊跨越施工</w:t>
            </w:r>
          </w:p>
        </w:tc>
        <w:tc>
          <w:tcPr>
            <w:tcW w:w="606" w:type="dxa"/>
          </w:tcPr>
          <w:p w:rsidR="005417BA" w:rsidRDefault="005417BA" w:rsidP="00E870BE">
            <w:pPr>
              <w:rPr>
                <w:rFonts w:ascii="宋体" w:hAnsi="宋体"/>
              </w:rPr>
            </w:pP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r>
              <w:rPr>
                <w:rFonts w:ascii="宋体" w:hAnsi="宋体" w:hint="eastAsia"/>
              </w:rPr>
              <w:t>S</w:t>
            </w: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紧线</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附件安装</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p>
        </w:tc>
        <w:tc>
          <w:tcPr>
            <w:tcW w:w="617" w:type="dxa"/>
            <w:gridSpan w:val="2"/>
          </w:tcPr>
          <w:p w:rsidR="005417BA" w:rsidRDefault="005417BA" w:rsidP="00E870BE">
            <w:pPr>
              <w:rPr>
                <w:rFonts w:ascii="宋体" w:hAnsi="宋体"/>
              </w:rPr>
            </w:pPr>
          </w:p>
        </w:tc>
      </w:tr>
      <w:tr w:rsidR="005417BA" w:rsidTr="00E870BE">
        <w:trPr>
          <w:cantSplit/>
          <w:trHeight w:hRule="exact" w:val="454"/>
        </w:trPr>
        <w:tc>
          <w:tcPr>
            <w:tcW w:w="551" w:type="dxa"/>
          </w:tcPr>
          <w:p w:rsidR="005417BA" w:rsidRDefault="005417BA" w:rsidP="00E870BE">
            <w:pPr>
              <w:rPr>
                <w:rFonts w:ascii="宋体" w:hAnsi="宋体"/>
              </w:rPr>
            </w:pPr>
          </w:p>
        </w:tc>
        <w:tc>
          <w:tcPr>
            <w:tcW w:w="539" w:type="dxa"/>
          </w:tcPr>
          <w:p w:rsidR="005417BA" w:rsidRDefault="005417BA" w:rsidP="00E870BE">
            <w:pPr>
              <w:rPr>
                <w:rFonts w:ascii="宋体" w:hAnsi="宋体"/>
              </w:rPr>
            </w:pPr>
          </w:p>
        </w:tc>
        <w:tc>
          <w:tcPr>
            <w:tcW w:w="6672" w:type="dxa"/>
            <w:gridSpan w:val="2"/>
          </w:tcPr>
          <w:p w:rsidR="005417BA" w:rsidRDefault="005417BA" w:rsidP="00E870BE">
            <w:pPr>
              <w:rPr>
                <w:rFonts w:ascii="宋体" w:hAnsi="宋体"/>
              </w:rPr>
            </w:pPr>
            <w:r>
              <w:rPr>
                <w:rFonts w:ascii="宋体" w:hAnsi="宋体" w:hint="eastAsia"/>
              </w:rPr>
              <w:t>电缆敷设</w:t>
            </w:r>
          </w:p>
        </w:tc>
        <w:tc>
          <w:tcPr>
            <w:tcW w:w="606" w:type="dxa"/>
          </w:tcPr>
          <w:p w:rsidR="005417BA" w:rsidRDefault="005417BA" w:rsidP="00E870BE">
            <w:pPr>
              <w:rPr>
                <w:rFonts w:ascii="宋体" w:hAnsi="宋体"/>
              </w:rPr>
            </w:pPr>
            <w:r>
              <w:rPr>
                <w:rFonts w:ascii="宋体" w:hAnsi="宋体" w:hint="eastAsia"/>
              </w:rPr>
              <w:t>W</w:t>
            </w:r>
          </w:p>
        </w:tc>
        <w:tc>
          <w:tcPr>
            <w:tcW w:w="606" w:type="dxa"/>
          </w:tcPr>
          <w:p w:rsidR="005417BA" w:rsidRDefault="005417BA" w:rsidP="00E870BE">
            <w:pPr>
              <w:rPr>
                <w:rFonts w:ascii="宋体" w:hAnsi="宋体"/>
              </w:rPr>
            </w:pPr>
            <w:r>
              <w:rPr>
                <w:rFonts w:ascii="宋体" w:hAnsi="宋体" w:hint="eastAsia"/>
              </w:rPr>
              <w:t>H</w:t>
            </w:r>
          </w:p>
        </w:tc>
        <w:tc>
          <w:tcPr>
            <w:tcW w:w="617" w:type="dxa"/>
            <w:gridSpan w:val="2"/>
          </w:tcPr>
          <w:p w:rsidR="005417BA" w:rsidRDefault="005417BA" w:rsidP="00E870BE">
            <w:pPr>
              <w:rPr>
                <w:rFonts w:ascii="宋体" w:hAnsi="宋体"/>
              </w:rPr>
            </w:pPr>
            <w:r>
              <w:rPr>
                <w:rFonts w:ascii="宋体" w:hAnsi="宋体" w:hint="eastAsia"/>
              </w:rPr>
              <w:t>S</w:t>
            </w:r>
          </w:p>
        </w:tc>
      </w:tr>
    </w:tbl>
    <w:p w:rsidR="005417BA" w:rsidRDefault="005417BA" w:rsidP="005417BA">
      <w:pPr>
        <w:tabs>
          <w:tab w:val="left" w:pos="735"/>
          <w:tab w:val="left" w:pos="945"/>
          <w:tab w:val="left" w:pos="1050"/>
          <w:tab w:val="left" w:pos="1155"/>
        </w:tabs>
        <w:spacing w:line="360" w:lineRule="auto"/>
        <w:rPr>
          <w:rFonts w:ascii="黑体" w:eastAsia="黑体" w:hAnsi="宋体"/>
          <w:b/>
          <w:sz w:val="24"/>
        </w:rPr>
      </w:pPr>
    </w:p>
    <w:p w:rsidR="005417BA" w:rsidRDefault="005417BA" w:rsidP="005417BA">
      <w:pPr>
        <w:numPr>
          <w:ilvl w:val="1"/>
          <w:numId w:val="1"/>
        </w:numPr>
        <w:tabs>
          <w:tab w:val="left" w:pos="567"/>
          <w:tab w:val="left" w:pos="735"/>
          <w:tab w:val="left" w:pos="1050"/>
          <w:tab w:val="left" w:pos="1155"/>
        </w:tabs>
        <w:spacing w:line="360" w:lineRule="auto"/>
        <w:rPr>
          <w:rFonts w:ascii="宋体" w:hAnsi="宋体"/>
          <w:b/>
          <w:sz w:val="24"/>
        </w:rPr>
      </w:pPr>
      <w:r>
        <w:rPr>
          <w:rFonts w:ascii="宋体" w:hAnsi="宋体" w:hint="eastAsia"/>
          <w:b/>
          <w:sz w:val="24"/>
        </w:rPr>
        <w:t>旁站监理内容</w:t>
      </w:r>
    </w:p>
    <w:p w:rsidR="005417BA" w:rsidRDefault="005417BA" w:rsidP="005417BA">
      <w:pPr>
        <w:spacing w:line="360" w:lineRule="auto"/>
        <w:ind w:firstLineChars="150" w:firstLine="360"/>
        <w:rPr>
          <w:rFonts w:ascii="宋体" w:hAnsi="宋体"/>
          <w:sz w:val="24"/>
        </w:rPr>
      </w:pPr>
      <w:r>
        <w:rPr>
          <w:rFonts w:ascii="宋体" w:hAnsi="宋体" w:hint="eastAsia"/>
          <w:sz w:val="24"/>
        </w:rPr>
        <w:t>土方回填</w:t>
      </w:r>
    </w:p>
    <w:p w:rsidR="005417BA" w:rsidRDefault="005417BA" w:rsidP="005417BA">
      <w:pPr>
        <w:spacing w:line="360" w:lineRule="auto"/>
        <w:ind w:firstLineChars="150" w:firstLine="360"/>
        <w:rPr>
          <w:rFonts w:ascii="宋体" w:hAnsi="宋体"/>
          <w:sz w:val="24"/>
        </w:rPr>
      </w:pPr>
      <w:r>
        <w:rPr>
          <w:rFonts w:ascii="宋体" w:hAnsi="宋体" w:hint="eastAsia"/>
          <w:sz w:val="24"/>
        </w:rPr>
        <w:t>基础周围回填土采用分层夯实，分层铺填厚度200mm，压实系数不得小于0.95。不可采用表层腐殖土及粒径大于200mm的石料。基坑开挖较深，承包商在施工过程中应采取可靠地边坡支护措施。</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p>
    <w:p w:rsidR="005417BA" w:rsidRDefault="005417BA" w:rsidP="005417BA">
      <w:pPr>
        <w:numPr>
          <w:ilvl w:val="4"/>
          <w:numId w:val="2"/>
        </w:numPr>
        <w:tabs>
          <w:tab w:val="left" w:pos="992"/>
          <w:tab w:val="left" w:pos="1050"/>
          <w:tab w:val="left" w:pos="1155"/>
        </w:tabs>
        <w:spacing w:line="360" w:lineRule="auto"/>
        <w:rPr>
          <w:rFonts w:ascii="宋体" w:hAnsi="宋体"/>
          <w:sz w:val="24"/>
        </w:rPr>
      </w:pPr>
      <w:r>
        <w:rPr>
          <w:rFonts w:ascii="宋体" w:hAnsi="宋体" w:hint="eastAsia"/>
          <w:sz w:val="24"/>
        </w:rPr>
        <w:lastRenderedPageBreak/>
        <w:t>施工情况</w:t>
      </w:r>
    </w:p>
    <w:p w:rsidR="005417BA" w:rsidRDefault="005417BA" w:rsidP="005417BA">
      <w:pPr>
        <w:spacing w:line="360" w:lineRule="auto"/>
        <w:ind w:firstLineChars="150" w:firstLine="360"/>
        <w:rPr>
          <w:rFonts w:ascii="宋体" w:hAnsi="宋体"/>
          <w:sz w:val="24"/>
        </w:rPr>
      </w:pPr>
      <w:r>
        <w:rPr>
          <w:rFonts w:ascii="宋体" w:hAnsi="宋体" w:hint="eastAsia"/>
          <w:sz w:val="24"/>
        </w:rPr>
        <w:t>基础周围回填土采用分层夯实，分层铺填厚度200mm，压实系数不得小于0.95。不可采用表层腐殖土及粒径大于200mm的石料。基坑开挖较深，承包商在施工过程中应采取可靠地边坡支护措施。</w:t>
      </w:r>
    </w:p>
    <w:p w:rsidR="005417BA" w:rsidRDefault="005417BA" w:rsidP="005417BA">
      <w:pPr>
        <w:numPr>
          <w:ilvl w:val="4"/>
          <w:numId w:val="2"/>
        </w:numPr>
        <w:tabs>
          <w:tab w:val="left" w:pos="992"/>
          <w:tab w:val="left" w:pos="1050"/>
          <w:tab w:val="left" w:pos="1155"/>
        </w:tabs>
        <w:spacing w:line="360" w:lineRule="auto"/>
        <w:rPr>
          <w:rFonts w:ascii="宋体" w:hAnsi="宋体"/>
          <w:sz w:val="24"/>
        </w:rPr>
      </w:pPr>
      <w:r>
        <w:rPr>
          <w:rFonts w:ascii="宋体" w:hAnsi="宋体" w:hint="eastAsia"/>
          <w:sz w:val="24"/>
        </w:rPr>
        <w:t>监理情况</w:t>
      </w:r>
    </w:p>
    <w:p w:rsidR="005417BA" w:rsidRDefault="005417BA" w:rsidP="005417BA">
      <w:pPr>
        <w:numPr>
          <w:ilvl w:val="5"/>
          <w:numId w:val="2"/>
        </w:numPr>
        <w:tabs>
          <w:tab w:val="clear" w:pos="1134"/>
          <w:tab w:val="left" w:pos="0"/>
        </w:tabs>
        <w:spacing w:line="360" w:lineRule="auto"/>
        <w:ind w:left="0" w:firstLine="420"/>
        <w:rPr>
          <w:sz w:val="24"/>
        </w:rPr>
      </w:pPr>
      <w:r>
        <w:rPr>
          <w:sz w:val="24"/>
        </w:rPr>
        <w:t>检查基土上的洞穴或基底表面上的树根、垃圾等杂物的清理情况。</w:t>
      </w:r>
    </w:p>
    <w:p w:rsidR="005417BA" w:rsidRDefault="005417BA" w:rsidP="005417BA">
      <w:pPr>
        <w:numPr>
          <w:ilvl w:val="5"/>
          <w:numId w:val="2"/>
        </w:numPr>
        <w:tabs>
          <w:tab w:val="clear" w:pos="1134"/>
          <w:tab w:val="left" w:pos="0"/>
        </w:tabs>
        <w:spacing w:line="360" w:lineRule="auto"/>
        <w:ind w:left="0" w:firstLine="420"/>
        <w:rPr>
          <w:sz w:val="24"/>
        </w:rPr>
      </w:pPr>
      <w:r>
        <w:rPr>
          <w:sz w:val="24"/>
        </w:rPr>
        <w:t>检查底层回填土干土质量密实度试验报告。</w:t>
      </w:r>
    </w:p>
    <w:p w:rsidR="005417BA" w:rsidRDefault="005417BA" w:rsidP="005417BA">
      <w:pPr>
        <w:numPr>
          <w:ilvl w:val="5"/>
          <w:numId w:val="2"/>
        </w:numPr>
        <w:tabs>
          <w:tab w:val="clear" w:pos="1134"/>
          <w:tab w:val="left" w:pos="0"/>
        </w:tabs>
        <w:spacing w:line="360" w:lineRule="auto"/>
        <w:ind w:left="0" w:firstLine="420"/>
        <w:rPr>
          <w:sz w:val="24"/>
        </w:rPr>
      </w:pPr>
      <w:r>
        <w:rPr>
          <w:sz w:val="24"/>
        </w:rPr>
        <w:t>检查虚铺土厚度和夯实遍数。</w:t>
      </w:r>
    </w:p>
    <w:p w:rsidR="005417BA" w:rsidRDefault="005417BA" w:rsidP="005417BA">
      <w:pPr>
        <w:numPr>
          <w:ilvl w:val="5"/>
          <w:numId w:val="2"/>
        </w:numPr>
        <w:tabs>
          <w:tab w:val="clear" w:pos="1134"/>
          <w:tab w:val="left" w:pos="0"/>
        </w:tabs>
        <w:spacing w:line="360" w:lineRule="auto"/>
        <w:ind w:left="0" w:firstLine="420"/>
        <w:rPr>
          <w:sz w:val="24"/>
        </w:rPr>
      </w:pPr>
      <w:r>
        <w:rPr>
          <w:sz w:val="24"/>
        </w:rPr>
        <w:t>检查回填土的试验报告。</w:t>
      </w:r>
    </w:p>
    <w:p w:rsidR="005417BA" w:rsidRDefault="005417BA" w:rsidP="005417BA">
      <w:pPr>
        <w:numPr>
          <w:ilvl w:val="5"/>
          <w:numId w:val="2"/>
        </w:numPr>
        <w:tabs>
          <w:tab w:val="clear" w:pos="1134"/>
          <w:tab w:val="left" w:pos="0"/>
        </w:tabs>
        <w:spacing w:line="360" w:lineRule="auto"/>
        <w:ind w:left="0" w:firstLine="420"/>
        <w:rPr>
          <w:sz w:val="24"/>
        </w:rPr>
      </w:pPr>
      <w:r>
        <w:rPr>
          <w:sz w:val="24"/>
        </w:rPr>
        <w:t>夯压填土时适当控制填土含水量，一般以手握成团、落地开花为宜。土料中不得含有大于</w:t>
      </w:r>
      <w:r>
        <w:rPr>
          <w:sz w:val="24"/>
        </w:rPr>
        <w:t>5cm</w:t>
      </w:r>
      <w:r>
        <w:rPr>
          <w:sz w:val="24"/>
        </w:rPr>
        <w:t>直径的土块，小土块不能过多。</w:t>
      </w:r>
    </w:p>
    <w:p w:rsidR="005417BA" w:rsidRDefault="005417BA" w:rsidP="005417BA">
      <w:pPr>
        <w:numPr>
          <w:ilvl w:val="5"/>
          <w:numId w:val="2"/>
        </w:numPr>
        <w:tabs>
          <w:tab w:val="clear" w:pos="1134"/>
          <w:tab w:val="left" w:pos="0"/>
        </w:tabs>
        <w:spacing w:line="360" w:lineRule="auto"/>
        <w:ind w:left="0" w:firstLine="420"/>
        <w:rPr>
          <w:sz w:val="24"/>
        </w:rPr>
      </w:pPr>
      <w:r>
        <w:rPr>
          <w:sz w:val="24"/>
        </w:rPr>
        <w:t>在基础两侧同时回填夯实，两侧高差不超过</w:t>
      </w:r>
      <w:r>
        <w:rPr>
          <w:sz w:val="24"/>
        </w:rPr>
        <w:t>30cm</w:t>
      </w:r>
      <w:r>
        <w:rPr>
          <w:sz w:val="24"/>
        </w:rPr>
        <w:t>。回填标高相差很大时，应在另一侧临时加支撑顶牢或放台阶。</w:t>
      </w:r>
    </w:p>
    <w:p w:rsidR="005417BA" w:rsidRDefault="005417BA" w:rsidP="005417BA">
      <w:pPr>
        <w:numPr>
          <w:ilvl w:val="4"/>
          <w:numId w:val="2"/>
        </w:numPr>
        <w:tabs>
          <w:tab w:val="left" w:pos="992"/>
          <w:tab w:val="left" w:pos="1050"/>
          <w:tab w:val="left" w:pos="1155"/>
        </w:tabs>
        <w:spacing w:line="360" w:lineRule="auto"/>
        <w:rPr>
          <w:rFonts w:ascii="宋体" w:hAnsi="宋体"/>
          <w:sz w:val="24"/>
        </w:rPr>
      </w:pPr>
      <w:r>
        <w:rPr>
          <w:rFonts w:ascii="宋体" w:hAnsi="宋体" w:hint="eastAsia"/>
          <w:sz w:val="24"/>
        </w:rPr>
        <w:t>发现问题</w:t>
      </w:r>
    </w:p>
    <w:p w:rsidR="005417BA" w:rsidRDefault="005417BA" w:rsidP="005417BA">
      <w:pPr>
        <w:numPr>
          <w:ilvl w:val="5"/>
          <w:numId w:val="2"/>
        </w:numPr>
        <w:tabs>
          <w:tab w:val="clear" w:pos="1134"/>
          <w:tab w:val="left" w:pos="0"/>
        </w:tabs>
        <w:spacing w:line="360" w:lineRule="auto"/>
        <w:ind w:left="0" w:firstLine="420"/>
        <w:rPr>
          <w:sz w:val="24"/>
        </w:rPr>
      </w:pPr>
      <w:r>
        <w:rPr>
          <w:sz w:val="24"/>
        </w:rPr>
        <w:t>用含水量大的腐渣土、泥炭土、黏土或粉质黏土等原状土上进行回填。</w:t>
      </w:r>
    </w:p>
    <w:p w:rsidR="005417BA" w:rsidRDefault="005417BA" w:rsidP="005417BA">
      <w:pPr>
        <w:numPr>
          <w:ilvl w:val="5"/>
          <w:numId w:val="2"/>
        </w:numPr>
        <w:tabs>
          <w:tab w:val="clear" w:pos="1134"/>
          <w:tab w:val="left" w:pos="0"/>
        </w:tabs>
        <w:spacing w:line="360" w:lineRule="auto"/>
        <w:ind w:left="0" w:firstLine="420"/>
        <w:rPr>
          <w:sz w:val="24"/>
        </w:rPr>
      </w:pPr>
      <w:r>
        <w:rPr>
          <w:sz w:val="24"/>
        </w:rPr>
        <w:t>填方基土为杂填土，发现基底下的软硬点、空洞、旧基以及暗塘等。</w:t>
      </w:r>
    </w:p>
    <w:p w:rsidR="005417BA" w:rsidRDefault="005417BA" w:rsidP="005417BA">
      <w:pPr>
        <w:numPr>
          <w:ilvl w:val="5"/>
          <w:numId w:val="2"/>
        </w:numPr>
        <w:tabs>
          <w:tab w:val="clear" w:pos="1134"/>
          <w:tab w:val="left" w:pos="0"/>
        </w:tabs>
        <w:spacing w:line="360" w:lineRule="auto"/>
        <w:ind w:left="0" w:firstLine="420"/>
        <w:rPr>
          <w:sz w:val="24"/>
        </w:rPr>
      </w:pPr>
      <w:r>
        <w:rPr>
          <w:sz w:val="24"/>
        </w:rPr>
        <w:t>未按要求测定土的干土质量密实度或测定试验报告不合格。</w:t>
      </w:r>
    </w:p>
    <w:p w:rsidR="005417BA" w:rsidRDefault="005417BA" w:rsidP="005417BA">
      <w:pPr>
        <w:numPr>
          <w:ilvl w:val="5"/>
          <w:numId w:val="2"/>
        </w:numPr>
        <w:tabs>
          <w:tab w:val="clear" w:pos="1134"/>
          <w:tab w:val="left" w:pos="0"/>
        </w:tabs>
        <w:spacing w:line="360" w:lineRule="auto"/>
        <w:ind w:left="0" w:firstLine="420"/>
        <w:rPr>
          <w:sz w:val="24"/>
        </w:rPr>
      </w:pPr>
      <w:r>
        <w:rPr>
          <w:sz w:val="24"/>
        </w:rPr>
        <w:t>虚铺超过规定厚度和夯实遍数不够。</w:t>
      </w:r>
    </w:p>
    <w:p w:rsidR="005417BA" w:rsidRDefault="005417BA" w:rsidP="005417BA">
      <w:pPr>
        <w:numPr>
          <w:ilvl w:val="5"/>
          <w:numId w:val="2"/>
        </w:numPr>
        <w:tabs>
          <w:tab w:val="clear" w:pos="1134"/>
          <w:tab w:val="left" w:pos="0"/>
        </w:tabs>
        <w:spacing w:line="360" w:lineRule="auto"/>
        <w:ind w:left="0" w:firstLine="420"/>
        <w:rPr>
          <w:sz w:val="24"/>
        </w:rPr>
      </w:pPr>
      <w:r>
        <w:rPr>
          <w:sz w:val="24"/>
        </w:rPr>
        <w:t>基础施工完后，没有达到一定强度就进行回填夯实。</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r>
        <w:rPr>
          <w:rFonts w:ascii="宋体" w:hAnsi="宋体" w:hint="eastAsia"/>
          <w:sz w:val="24"/>
        </w:rPr>
        <w:t>接地网测试</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试验方案编审批手续齐全，符合实际；</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试验设备完好，试验人员资质符合规定；</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安全区域设置合理，监护人到场监护；</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试验步骤符合试验方案和相关规范要求；</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试验结果符合设计图纸要求。</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测试时监理人员实施旁站监理，旁站结束后应填写旁站监理记录表。</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r>
        <w:rPr>
          <w:rFonts w:ascii="宋体" w:hAnsi="宋体" w:hint="eastAsia"/>
          <w:sz w:val="24"/>
        </w:rPr>
        <w:t>电缆终端头制作和耐压试验</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电缆终端头与接头制作应由经过培训的熟练工人完成，</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lastRenderedPageBreak/>
        <w:t>在室外制作10kV及电缆终端与接头时，其空气相对湿度宜为70%及以下。110kV及以上高压电缆终端与接头施工时应搭设临时工棚，环境湿度应严格控制，温度宜为10~30℃；</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制作过程和耐压试验符合作业指导书要求；</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试验结果应合格。</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测试时监理人员实施旁站监理，旁站结束后应填写旁站监理记录表。</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r>
        <w:rPr>
          <w:rFonts w:ascii="宋体" w:hAnsi="宋体" w:hint="eastAsia"/>
          <w:sz w:val="24"/>
        </w:rPr>
        <w:t>导线架设工程:</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导线必须使用符合设计要求的耐张线夹进行连接；</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压接工必须由经过专门培训并经考试合格具有操作证的技术工人担任；</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压接完成后进行外观检查，耐张管有无裂缝，鼓肚、变形，导线有无烧伤、破损、断股，必须符合规范要求；</w:t>
      </w:r>
    </w:p>
    <w:p w:rsidR="005417BA" w:rsidRDefault="005417BA" w:rsidP="005417BA">
      <w:pPr>
        <w:numPr>
          <w:ilvl w:val="5"/>
          <w:numId w:val="2"/>
        </w:numPr>
        <w:tabs>
          <w:tab w:val="clear" w:pos="1134"/>
          <w:tab w:val="left" w:pos="0"/>
        </w:tabs>
        <w:spacing w:line="360" w:lineRule="auto"/>
        <w:ind w:left="0" w:firstLine="420"/>
        <w:rPr>
          <w:rFonts w:ascii="宋体" w:hAnsi="宋体"/>
          <w:sz w:val="24"/>
        </w:rPr>
      </w:pPr>
      <w:r>
        <w:rPr>
          <w:rFonts w:ascii="宋体" w:hAnsi="宋体" w:hint="eastAsia"/>
          <w:sz w:val="24"/>
        </w:rPr>
        <w:t>测量压后尺寸是否符合规范要求，并填写旁站记录。</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r>
        <w:rPr>
          <w:rFonts w:ascii="宋体" w:hAnsi="宋体" w:hint="eastAsia"/>
          <w:sz w:val="24"/>
        </w:rPr>
        <w:t>线路工程基础工程旁站内容：</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检查工程所用的砂、石、水泥、钢筋等是否和见证取样的相符；</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基础钢筋的规格、数量是否符合设计要求，钢筋的绑扎是否符合规范要求；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插入角钢、地脚螺栓的规格是否符合设计要求；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基础开挖的坑深、放坡、基础的混凝土垫层质量是否符合要求；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模板的刚度是否符合要求，各部模板支撑是否牢固，能否承受混凝土浇注中产生的侧压力；</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混凝土的浇筑平台是否牢固，电气设备是否有可靠的接地；</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模板支固后各部几何尺寸是否符合设计要求；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混凝土的搅拌是否均匀、颜色一致，砂、石、水泥、水的配合比是否符合施工技术设计规定；</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混凝土捣固是否符合规范要求，为了工程创优减少混凝土表面气泡所采取的措施是否到位；</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基础立柱是否一次浇成，混凝土浇筑后各部几何尺寸是否进行了校核；</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lastRenderedPageBreak/>
        <w:t>是否按照规范要求制作混凝土试块且和基础在同等条件下养护；</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基础的回填和养护是否符合规范要求。</w:t>
      </w:r>
    </w:p>
    <w:p w:rsidR="005417BA" w:rsidRDefault="005417BA" w:rsidP="005417BA">
      <w:pPr>
        <w:numPr>
          <w:ilvl w:val="2"/>
          <w:numId w:val="1"/>
        </w:numPr>
        <w:tabs>
          <w:tab w:val="clear" w:pos="709"/>
          <w:tab w:val="left" w:pos="945"/>
          <w:tab w:val="left" w:pos="1050"/>
          <w:tab w:val="left" w:pos="1155"/>
        </w:tabs>
        <w:spacing w:line="360" w:lineRule="auto"/>
        <w:rPr>
          <w:rFonts w:ascii="宋体" w:hAnsi="宋体"/>
          <w:sz w:val="24"/>
        </w:rPr>
      </w:pPr>
      <w:r>
        <w:rPr>
          <w:rFonts w:ascii="宋体" w:hAnsi="宋体" w:hint="eastAsia"/>
          <w:sz w:val="24"/>
        </w:rPr>
        <w:t>导地线连接旁站内容：</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认真检查接续管、耐张线夹连接前的内、外直径及管臂厚度是否符合要求；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检查液压设备是否符合规定要求；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对导地线液压试件进行见证、取样、送样，对在施工过程中的导、地线液压实施旁站监理。</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认真检查导地线液压连接操作工艺是否符合规程要求。</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认真检查压后外观质量和压后对边距尺寸，压后对边距尺寸最大允许值应符合下述公式：s=0.866×0.933D+0.2(mm)，同一截面处的三个对边距上只允许有一个到达最大值。</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压后弯曲度不得大于2%，有明显弯曲时应校直，校直后接续管严禁有裂纹。</w:t>
      </w:r>
    </w:p>
    <w:p w:rsidR="005417BA" w:rsidRDefault="005417BA" w:rsidP="005417BA">
      <w:pPr>
        <w:numPr>
          <w:ilvl w:val="4"/>
          <w:numId w:val="2"/>
        </w:numPr>
        <w:tabs>
          <w:tab w:val="clear" w:pos="992"/>
          <w:tab w:val="left" w:pos="0"/>
          <w:tab w:val="left" w:pos="840"/>
        </w:tabs>
        <w:spacing w:line="360" w:lineRule="auto"/>
        <w:ind w:left="0" w:firstLine="0"/>
        <w:rPr>
          <w:rFonts w:ascii="宋体" w:hAnsi="宋体"/>
          <w:sz w:val="24"/>
        </w:rPr>
      </w:pPr>
      <w:r>
        <w:rPr>
          <w:rFonts w:ascii="宋体" w:hAnsi="宋体" w:hint="eastAsia"/>
          <w:sz w:val="24"/>
        </w:rPr>
        <w:t xml:space="preserve"> 张力场接续管压后应用保护套采取保护措施以防接续管进滑车后产生弯曲现象。</w:t>
      </w:r>
    </w:p>
    <w:p w:rsidR="005417BA" w:rsidRDefault="005417BA" w:rsidP="005417BA">
      <w:pPr>
        <w:numPr>
          <w:ilvl w:val="0"/>
          <w:numId w:val="1"/>
        </w:numPr>
        <w:tabs>
          <w:tab w:val="left" w:pos="425"/>
          <w:tab w:val="left" w:pos="735"/>
          <w:tab w:val="left" w:pos="945"/>
          <w:tab w:val="left" w:pos="1050"/>
          <w:tab w:val="left" w:pos="1155"/>
        </w:tabs>
        <w:spacing w:line="360" w:lineRule="auto"/>
        <w:rPr>
          <w:rFonts w:ascii="黑体" w:eastAsia="黑体" w:hAnsi="宋体"/>
          <w:b/>
          <w:sz w:val="24"/>
        </w:rPr>
      </w:pPr>
      <w:r>
        <w:rPr>
          <w:rFonts w:ascii="黑体" w:eastAsia="黑体" w:hAnsi="宋体" w:hint="eastAsia"/>
          <w:b/>
          <w:sz w:val="24"/>
        </w:rPr>
        <w:t>旁站监理人员职责</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核查承包单位现场质检人员到岗、特种作业人员持证上岗以及施工机械、材料准备情况。</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在现场跟班监督关键部位、关键工序的施工时执行施工方案以及工程建设强制性标准情况。</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核查进场建筑材料、构配件、设备和商品混凝土等的出厂质量证明文件等，并可在现场监督承包单位进行检验或者委托具有资格的第三方进行复验；</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做好旁站监理记录和监理日记，保存旁站监理原始记录。</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担任旁站监理工作的人员，发现问题及时指出，并向监理工程师或总监理工程师报告。</w:t>
      </w:r>
    </w:p>
    <w:p w:rsidR="005417BA" w:rsidRDefault="005417BA" w:rsidP="005417BA">
      <w:pPr>
        <w:numPr>
          <w:ilvl w:val="0"/>
          <w:numId w:val="1"/>
        </w:numPr>
        <w:tabs>
          <w:tab w:val="left" w:pos="425"/>
          <w:tab w:val="left" w:pos="735"/>
          <w:tab w:val="left" w:pos="945"/>
          <w:tab w:val="left" w:pos="1050"/>
          <w:tab w:val="left" w:pos="1155"/>
        </w:tabs>
        <w:spacing w:line="360" w:lineRule="auto"/>
        <w:rPr>
          <w:rFonts w:ascii="黑体" w:eastAsia="黑体" w:hAnsi="宋体"/>
          <w:b/>
          <w:sz w:val="24"/>
        </w:rPr>
      </w:pPr>
      <w:r>
        <w:rPr>
          <w:rFonts w:ascii="黑体" w:eastAsia="黑体" w:hAnsi="宋体" w:hint="eastAsia"/>
          <w:b/>
          <w:sz w:val="24"/>
        </w:rPr>
        <w:t>监理旁站工作纪律</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旁站监理人员应当认真履行职责，必须在规定的时间内对需要实施旁站监</w:t>
      </w:r>
      <w:r>
        <w:rPr>
          <w:rFonts w:ascii="宋体" w:hAnsi="宋体" w:hint="eastAsia"/>
          <w:sz w:val="24"/>
        </w:rPr>
        <w:lastRenderedPageBreak/>
        <w:t>理的关键部位、关键工序在施工现场跟班监督，及时发现和处理旁站监理过程中出现的质量问题，如实准确完整地做好旁站监理记录。不得无故不到，也不得擅自改变旁站的内容，旁站期间不得从事与工作无关的活动，当旁站监理工作结束后，旁站监理人员与承包单位现场质检人员共同在旁站监理记录上签字，确定记录的真实性和准确性。</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旁站监理人员实施旁站监理时，对来自施工项目不得任何违规行为，如发现承包单位有违反工程建设强制性标准行为的，或已经或者可能危及工程质量的，必须及时制止。并及时向监理工程师或者总监理工程师报告，由总监理工程师下达局部暂停施工指令或者采取其他应急措施。不得徇私舞弊，包庇纵容，更不得为不正当的利益与施工项目部串通弄虚作假。</w:t>
      </w:r>
    </w:p>
    <w:p w:rsidR="005417BA" w:rsidRDefault="005417BA" w:rsidP="005417BA">
      <w:pPr>
        <w:numPr>
          <w:ilvl w:val="1"/>
          <w:numId w:val="1"/>
        </w:numPr>
        <w:tabs>
          <w:tab w:val="clear" w:pos="567"/>
          <w:tab w:val="left" w:pos="630"/>
          <w:tab w:val="left" w:pos="945"/>
          <w:tab w:val="left" w:pos="1050"/>
          <w:tab w:val="left" w:pos="1155"/>
        </w:tabs>
        <w:spacing w:line="360" w:lineRule="auto"/>
        <w:ind w:left="0" w:firstLine="0"/>
        <w:rPr>
          <w:rFonts w:ascii="宋体" w:hAnsi="宋体"/>
          <w:sz w:val="24"/>
        </w:rPr>
      </w:pPr>
      <w:r>
        <w:rPr>
          <w:rFonts w:ascii="宋体" w:hAnsi="宋体" w:hint="eastAsia"/>
          <w:sz w:val="24"/>
        </w:rPr>
        <w:t>旁站监理记录是监理工程师或者总监理工程师依法行使有关签字权的重要依据，必须如实、准确的填写旁站监理记录。对于需要旁站监理的关键部位、关键工序施工，凡没有实施旁站监理或者没有旁站监理记录的，监理工程师或者总监理工程师不得在相应文件上签字。旁站监理记录作为项目监理部的技术资料管理主要内容。在工程竣工验收后，公司将旁站监理记录存档备查。</w:t>
      </w:r>
    </w:p>
    <w:p w:rsidR="005417BA" w:rsidRDefault="005417BA" w:rsidP="005417BA">
      <w:pPr>
        <w:spacing w:line="360" w:lineRule="auto"/>
        <w:rPr>
          <w:sz w:val="24"/>
        </w:rPr>
      </w:pPr>
      <w:r>
        <w:rPr>
          <w:rFonts w:hint="eastAsia"/>
          <w:sz w:val="24"/>
        </w:rPr>
        <w:t xml:space="preserve">                    </w:t>
      </w:r>
    </w:p>
    <w:p w:rsidR="005417BA" w:rsidRPr="00632DEE" w:rsidRDefault="005417BA" w:rsidP="005417BA">
      <w:pPr>
        <w:spacing w:line="360" w:lineRule="auto"/>
        <w:rPr>
          <w:b/>
          <w:sz w:val="24"/>
        </w:rPr>
      </w:pPr>
    </w:p>
    <w:p w:rsidR="005417BA" w:rsidRPr="00632DEE" w:rsidRDefault="005417BA" w:rsidP="005417BA">
      <w:pPr>
        <w:pStyle w:val="1"/>
        <w:spacing w:line="240" w:lineRule="auto"/>
        <w:ind w:leftChars="0" w:left="0"/>
        <w:jc w:val="right"/>
        <w:rPr>
          <w:b/>
          <w:sz w:val="24"/>
          <w:szCs w:val="24"/>
        </w:rPr>
      </w:pPr>
      <w:r w:rsidRPr="00632DEE">
        <w:rPr>
          <w:rFonts w:hint="eastAsia"/>
          <w:b/>
          <w:sz w:val="24"/>
        </w:rPr>
        <w:t xml:space="preserve">                     </w:t>
      </w:r>
      <w:r w:rsidRPr="00632DEE">
        <w:rPr>
          <w:rFonts w:hint="eastAsia"/>
          <w:b/>
          <w:sz w:val="24"/>
          <w:szCs w:val="24"/>
        </w:rPr>
        <w:t xml:space="preserve">  </w:t>
      </w:r>
      <w:r w:rsidRPr="00632DEE">
        <w:rPr>
          <w:rFonts w:hint="eastAsia"/>
          <w:b/>
          <w:sz w:val="24"/>
          <w:szCs w:val="24"/>
        </w:rPr>
        <w:t>常州正衡电力工程监理公司</w:t>
      </w:r>
    </w:p>
    <w:p w:rsidR="005417BA" w:rsidRPr="00632DEE" w:rsidRDefault="005417BA" w:rsidP="005417BA">
      <w:pPr>
        <w:tabs>
          <w:tab w:val="left" w:pos="0"/>
          <w:tab w:val="left" w:pos="180"/>
        </w:tabs>
        <w:spacing w:line="360" w:lineRule="auto"/>
        <w:jc w:val="right"/>
        <w:rPr>
          <w:b/>
          <w:sz w:val="24"/>
        </w:rPr>
      </w:pPr>
      <w:r w:rsidRPr="00632DEE">
        <w:rPr>
          <w:rFonts w:hint="eastAsia"/>
          <w:b/>
          <w:sz w:val="24"/>
        </w:rPr>
        <w:t>晶盛宜城市郑集镇武当湖水库</w:t>
      </w:r>
      <w:r w:rsidRPr="00632DEE">
        <w:rPr>
          <w:rFonts w:hint="eastAsia"/>
          <w:b/>
          <w:sz w:val="24"/>
        </w:rPr>
        <w:t>19.9MWp</w:t>
      </w:r>
      <w:r w:rsidRPr="00632DEE">
        <w:rPr>
          <w:rFonts w:hint="eastAsia"/>
          <w:b/>
          <w:sz w:val="24"/>
        </w:rPr>
        <w:t>渔光互补分布式光伏发电项目监理部</w:t>
      </w:r>
    </w:p>
    <w:p w:rsidR="005417BA" w:rsidRPr="00632DEE" w:rsidRDefault="005417BA" w:rsidP="005417BA">
      <w:pPr>
        <w:pStyle w:val="1"/>
        <w:ind w:leftChars="0" w:left="0" w:right="28"/>
        <w:jc w:val="right"/>
        <w:rPr>
          <w:b/>
          <w:sz w:val="28"/>
          <w:szCs w:val="28"/>
        </w:rPr>
      </w:pPr>
      <w:r w:rsidRPr="00632DEE">
        <w:rPr>
          <w:rFonts w:hint="eastAsia"/>
          <w:b/>
          <w:sz w:val="24"/>
          <w:szCs w:val="24"/>
        </w:rPr>
        <w:t xml:space="preserve">      </w:t>
      </w:r>
      <w:r w:rsidRPr="00632DEE">
        <w:rPr>
          <w:rFonts w:hint="eastAsia"/>
          <w:b/>
          <w:sz w:val="24"/>
          <w:szCs w:val="24"/>
        </w:rPr>
        <w:t>二</w:t>
      </w:r>
      <w:r w:rsidRPr="00632DEE">
        <w:rPr>
          <w:rFonts w:hint="eastAsia"/>
          <w:b/>
          <w:sz w:val="24"/>
          <w:szCs w:val="24"/>
        </w:rPr>
        <w:t>0</w:t>
      </w:r>
      <w:r w:rsidRPr="00632DEE">
        <w:rPr>
          <w:rFonts w:hint="eastAsia"/>
          <w:b/>
          <w:sz w:val="24"/>
          <w:szCs w:val="24"/>
        </w:rPr>
        <w:t>一六年一月</w:t>
      </w:r>
    </w:p>
    <w:p w:rsidR="005D76CB" w:rsidRDefault="005D76CB"/>
    <w:sectPr w:rsidR="005D76CB" w:rsidSect="005D76C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78" w:rsidRPr="00F47298" w:rsidRDefault="000B7C78" w:rsidP="005417BA">
      <w:pPr>
        <w:rPr>
          <w:rFonts w:eastAsia="仿宋_GB2312"/>
          <w:spacing w:val="-6"/>
          <w:sz w:val="32"/>
          <w:szCs w:val="20"/>
        </w:rPr>
      </w:pPr>
      <w:r>
        <w:separator/>
      </w:r>
    </w:p>
  </w:endnote>
  <w:endnote w:type="continuationSeparator" w:id="0">
    <w:p w:rsidR="000B7C78" w:rsidRPr="00F47298" w:rsidRDefault="000B7C78" w:rsidP="005417BA">
      <w:pPr>
        <w:rPr>
          <w:rFonts w:eastAsia="仿宋_GB2312"/>
          <w:spacing w:val="-6"/>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78" w:rsidRPr="00F47298" w:rsidRDefault="000B7C78" w:rsidP="005417BA">
      <w:pPr>
        <w:rPr>
          <w:rFonts w:eastAsia="仿宋_GB2312"/>
          <w:spacing w:val="-6"/>
          <w:sz w:val="32"/>
          <w:szCs w:val="20"/>
        </w:rPr>
      </w:pPr>
      <w:r>
        <w:separator/>
      </w:r>
    </w:p>
  </w:footnote>
  <w:footnote w:type="continuationSeparator" w:id="0">
    <w:p w:rsidR="000B7C78" w:rsidRPr="00F47298" w:rsidRDefault="000B7C78" w:rsidP="005417BA">
      <w:pPr>
        <w:rPr>
          <w:rFonts w:eastAsia="仿宋_GB2312"/>
          <w:spacing w:val="-6"/>
          <w:sz w:val="3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bottom w:val="single" w:sz="4" w:space="0" w:color="auto"/>
      </w:tblBorders>
      <w:tblLook w:val="01E0"/>
    </w:tblPr>
    <w:tblGrid>
      <w:gridCol w:w="4248"/>
      <w:gridCol w:w="5040"/>
    </w:tblGrid>
    <w:tr w:rsidR="005417BA" w:rsidRPr="00B64222" w:rsidTr="00E870BE">
      <w:trPr>
        <w:trHeight w:val="623"/>
      </w:trPr>
      <w:tc>
        <w:tcPr>
          <w:tcW w:w="4248" w:type="dxa"/>
          <w:tcBorders>
            <w:top w:val="single" w:sz="2" w:space="0" w:color="auto"/>
            <w:bottom w:val="single" w:sz="4" w:space="0" w:color="auto"/>
          </w:tcBorders>
          <w:shd w:val="clear" w:color="auto" w:fill="auto"/>
          <w:vAlign w:val="center"/>
        </w:tcPr>
        <w:p w:rsidR="005417BA" w:rsidRPr="00B64222" w:rsidRDefault="005417BA" w:rsidP="00E870BE">
          <w:pPr>
            <w:pStyle w:val="a4"/>
            <w:pBdr>
              <w:bottom w:val="none" w:sz="0" w:space="0" w:color="auto"/>
            </w:pBd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5369" o:spid="_x0000_s1025" type="#_x0000_t75" style="position:absolute;left:0;text-align:left;margin-left:0;margin-top:0;width:285pt;height:106.5pt;z-index:-251658240;mso-position-horizontal:center;mso-position-horizontal-relative:margin;mso-position-vertical:center;mso-position-vertical-relative:margin" o:allowincell="f">
                <v:imagedata r:id="rId1" o:title="3" gain="19661f" blacklevel="22938f"/>
                <w10:wrap anchorx="margin" anchory="margin"/>
              </v:shape>
            </w:pict>
          </w:r>
          <w:r>
            <w:rPr>
              <w:rFonts w:hint="eastAsia"/>
              <w:noProof/>
              <w:szCs w:val="21"/>
            </w:rPr>
            <w:drawing>
              <wp:inline distT="0" distB="0" distL="0" distR="0">
                <wp:extent cx="1400175" cy="552450"/>
                <wp:effectExtent l="19050" t="0" r="9525" b="0"/>
                <wp:docPr id="38" name="图片 64"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正衡logo横"/>
                        <pic:cNvPicPr>
                          <a:picLocks noChangeAspect="1" noChangeArrowheads="1"/>
                        </pic:cNvPicPr>
                      </pic:nvPicPr>
                      <pic:blipFill>
                        <a:blip r:embed="rId2"/>
                        <a:srcRect/>
                        <a:stretch>
                          <a:fillRect/>
                        </a:stretch>
                      </pic:blipFill>
                      <pic:spPr bwMode="auto">
                        <a:xfrm>
                          <a:off x="0" y="0"/>
                          <a:ext cx="1400175" cy="55245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5417BA" w:rsidRPr="00B64222" w:rsidRDefault="005417BA" w:rsidP="00E870BE">
          <w:pPr>
            <w:pStyle w:val="a4"/>
            <w:pBdr>
              <w:bottom w:val="none" w:sz="0" w:space="0" w:color="auto"/>
            </w:pBdr>
            <w:jc w:val="right"/>
            <w:rPr>
              <w:szCs w:val="21"/>
            </w:rPr>
          </w:pPr>
          <w:r w:rsidRPr="00B64222">
            <w:rPr>
              <w:rFonts w:hint="eastAsia"/>
              <w:b/>
              <w:sz w:val="28"/>
              <w:szCs w:val="28"/>
            </w:rPr>
            <w:t>常州正衡电力工程监理有限公司</w:t>
          </w:r>
        </w:p>
      </w:tc>
    </w:tr>
  </w:tbl>
  <w:p w:rsidR="005417BA" w:rsidRDefault="005417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C9966"/>
    <w:multiLevelType w:val="multilevel"/>
    <w:tmpl w:val="55DC9966"/>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b w:val="0"/>
      </w:rPr>
    </w:lvl>
    <w:lvl w:ilvl="2">
      <w:start w:val="1"/>
      <w:numFmt w:val="decimal"/>
      <w:lvlText w:val="%1.%2.%3"/>
      <w:lvlJc w:val="left"/>
      <w:pPr>
        <w:tabs>
          <w:tab w:val="num" w:pos="709"/>
        </w:tabs>
        <w:ind w:left="709" w:hanging="709"/>
      </w:pPr>
      <w:rPr>
        <w:rFonts w:ascii="Arial" w:hAnsi="Arial" w:cs="Arial" w:hint="default"/>
        <w:b w:val="0"/>
      </w:rPr>
    </w:lvl>
    <w:lvl w:ilvl="3">
      <w:start w:val="1"/>
      <w:numFmt w:val="decimal"/>
      <w:lvlText w:val="%1.%2.%3.%4"/>
      <w:lvlJc w:val="left"/>
      <w:pPr>
        <w:tabs>
          <w:tab w:val="num" w:pos="851"/>
        </w:tabs>
        <w:ind w:left="851" w:hanging="851"/>
      </w:pPr>
      <w:rPr>
        <w:rFonts w:ascii="Arial" w:hAnsi="Arial" w:cs="Arial" w:hint="default"/>
        <w:b w:val="0"/>
      </w:rPr>
    </w:lvl>
    <w:lvl w:ilvl="4">
      <w:start w:val="1"/>
      <w:numFmt w:val="decimal"/>
      <w:lvlText w:val="%1.%2.%3.%4.%5"/>
      <w:lvlJc w:val="left"/>
      <w:pPr>
        <w:tabs>
          <w:tab w:val="num" w:pos="992"/>
        </w:tabs>
        <w:ind w:left="992" w:hanging="992"/>
      </w:pPr>
      <w:rPr>
        <w:rFonts w:ascii="Arial" w:hAnsi="Arial" w:cs="Arial" w:hint="default"/>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1">
    <w:nsid w:val="55DC9971"/>
    <w:multiLevelType w:val="multilevel"/>
    <w:tmpl w:val="55DC9971"/>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567"/>
        </w:tabs>
        <w:ind w:left="0" w:firstLine="0"/>
      </w:pPr>
      <w:rPr>
        <w:rFonts w:ascii="Arial" w:hAnsi="Arial" w:cs="Arial" w:hint="default"/>
      </w:rPr>
    </w:lvl>
    <w:lvl w:ilvl="2">
      <w:start w:val="1"/>
      <w:numFmt w:val="decimal"/>
      <w:lvlText w:val="%1.%2.%3"/>
      <w:lvlJc w:val="left"/>
      <w:pPr>
        <w:tabs>
          <w:tab w:val="num" w:pos="709"/>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rPr>
    </w:lvl>
    <w:lvl w:ilvl="4">
      <w:start w:val="1"/>
      <w:numFmt w:val="decimal"/>
      <w:lvlText w:val="（%5）"/>
      <w:lvlJc w:val="left"/>
      <w:pPr>
        <w:tabs>
          <w:tab w:val="num" w:pos="992"/>
        </w:tabs>
        <w:ind w:left="992" w:hanging="992"/>
      </w:pPr>
      <w:rPr>
        <w:rFonts w:ascii="Arial" w:hAnsi="Arial" w:cs="Arial" w:hint="default"/>
      </w:rPr>
    </w:lvl>
    <w:lvl w:ilvl="5">
      <w:start w:val="1"/>
      <w:numFmt w:val="decimal"/>
      <w:lvlText w:val="%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suff w:val="space"/>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7BA"/>
    <w:rsid w:val="000B7C78"/>
    <w:rsid w:val="005417BA"/>
    <w:rsid w:val="005D7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BA"/>
    <w:pPr>
      <w:widowControl w:val="0"/>
      <w:jc w:val="both"/>
    </w:pPr>
  </w:style>
  <w:style w:type="paragraph" w:styleId="3">
    <w:name w:val="heading 3"/>
    <w:basedOn w:val="a"/>
    <w:next w:val="a"/>
    <w:link w:val="3Char"/>
    <w:qFormat/>
    <w:rsid w:val="005417BA"/>
    <w:pPr>
      <w:keepNext/>
      <w:keepLines/>
      <w:spacing w:before="260" w:after="260" w:line="413" w:lineRule="auto"/>
      <w:ind w:firstLineChars="200" w:firstLine="200"/>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417BA"/>
    <w:rPr>
      <w:rFonts w:ascii="Times New Roman" w:eastAsia="宋体" w:hAnsi="Times New Roman" w:cs="Times New Roman"/>
      <w:b/>
      <w:kern w:val="0"/>
      <w:sz w:val="32"/>
      <w:szCs w:val="20"/>
    </w:rPr>
  </w:style>
  <w:style w:type="paragraph" w:styleId="a3">
    <w:name w:val="List Paragraph"/>
    <w:basedOn w:val="a"/>
    <w:uiPriority w:val="34"/>
    <w:qFormat/>
    <w:rsid w:val="005417BA"/>
    <w:pPr>
      <w:ind w:firstLineChars="200" w:firstLine="420"/>
    </w:pPr>
  </w:style>
  <w:style w:type="paragraph" w:customStyle="1" w:styleId="5">
    <w:name w:val="样式5"/>
    <w:basedOn w:val="a"/>
    <w:qFormat/>
    <w:rsid w:val="005417BA"/>
    <w:pPr>
      <w:topLinePunct/>
      <w:adjustRightInd w:val="0"/>
      <w:spacing w:line="1200" w:lineRule="auto"/>
      <w:jc w:val="center"/>
    </w:pPr>
    <w:rPr>
      <w:rFonts w:ascii="宋体" w:eastAsia="黑体" w:hAnsi="宋体" w:cs="Times New Roman"/>
      <w:sz w:val="26"/>
      <w:szCs w:val="26"/>
    </w:rPr>
  </w:style>
  <w:style w:type="paragraph" w:customStyle="1" w:styleId="4">
    <w:name w:val="样式4"/>
    <w:basedOn w:val="a"/>
    <w:qFormat/>
    <w:rsid w:val="005417BA"/>
    <w:pPr>
      <w:tabs>
        <w:tab w:val="left" w:pos="366"/>
        <w:tab w:val="left" w:pos="720"/>
      </w:tabs>
      <w:topLinePunct/>
      <w:ind w:firstLine="425"/>
    </w:pPr>
    <w:rPr>
      <w:rFonts w:ascii="Calibri" w:eastAsia="黑体" w:hAnsi="Calibri" w:cs="Times New Roman"/>
      <w:bCs/>
      <w:caps/>
      <w:kern w:val="21"/>
      <w:szCs w:val="21"/>
      <w:lang w:val="zh-CN"/>
    </w:rPr>
  </w:style>
  <w:style w:type="paragraph" w:customStyle="1" w:styleId="1">
    <w:name w:val="（1）文字用"/>
    <w:basedOn w:val="a"/>
    <w:qFormat/>
    <w:rsid w:val="005417BA"/>
    <w:pPr>
      <w:spacing w:line="360" w:lineRule="auto"/>
      <w:ind w:leftChars="350" w:left="350"/>
    </w:pPr>
    <w:rPr>
      <w:rFonts w:ascii="Times New Roman" w:eastAsia="宋体" w:hAnsi="Times New Roman" w:cs="宋体"/>
      <w:bCs/>
      <w:szCs w:val="20"/>
    </w:rPr>
  </w:style>
  <w:style w:type="character" w:customStyle="1" w:styleId="font2">
    <w:name w:val="font2"/>
    <w:rsid w:val="005417BA"/>
    <w:rPr>
      <w:rFonts w:ascii="Verdana" w:hAnsi="Verdana" w:hint="default"/>
      <w:strike w:val="0"/>
      <w:dstrike w:val="0"/>
      <w:color w:val="000000"/>
      <w:sz w:val="18"/>
      <w:szCs w:val="18"/>
      <w:u w:val="none"/>
    </w:rPr>
  </w:style>
  <w:style w:type="paragraph" w:styleId="a4">
    <w:name w:val="header"/>
    <w:basedOn w:val="a"/>
    <w:link w:val="Char"/>
    <w:unhideWhenUsed/>
    <w:rsid w:val="00541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17BA"/>
    <w:rPr>
      <w:sz w:val="18"/>
      <w:szCs w:val="18"/>
    </w:rPr>
  </w:style>
  <w:style w:type="paragraph" w:styleId="a5">
    <w:name w:val="footer"/>
    <w:basedOn w:val="a"/>
    <w:link w:val="Char0"/>
    <w:uiPriority w:val="99"/>
    <w:semiHidden/>
    <w:unhideWhenUsed/>
    <w:rsid w:val="005417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417BA"/>
    <w:rPr>
      <w:sz w:val="18"/>
      <w:szCs w:val="18"/>
    </w:rPr>
  </w:style>
  <w:style w:type="paragraph" w:styleId="a6">
    <w:name w:val="Balloon Text"/>
    <w:basedOn w:val="a"/>
    <w:link w:val="Char1"/>
    <w:uiPriority w:val="99"/>
    <w:semiHidden/>
    <w:unhideWhenUsed/>
    <w:rsid w:val="005417BA"/>
    <w:rPr>
      <w:sz w:val="18"/>
      <w:szCs w:val="18"/>
    </w:rPr>
  </w:style>
  <w:style w:type="character" w:customStyle="1" w:styleId="Char1">
    <w:name w:val="批注框文本 Char"/>
    <w:basedOn w:val="a0"/>
    <w:link w:val="a6"/>
    <w:uiPriority w:val="99"/>
    <w:semiHidden/>
    <w:rsid w:val="005417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2016-05-19T05:57:00Z</dcterms:created>
  <dcterms:modified xsi:type="dcterms:W3CDTF">2016-05-19T05:59:00Z</dcterms:modified>
</cp:coreProperties>
</file>