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</w:pPr>
      <w:r>
        <w:rPr>
          <w:rFonts w:ascii="Bold" w:hAnsi="Bold"/>
          <w:sz w:val="22"/>
          <w:szCs w:val="22"/>
        </w:rPr>
        <w:t xml:space="preserve">JZLX10 </w:t>
      </w:r>
      <w:r>
        <w:rPr>
          <w:rFonts w:hint="eastAsia" w:ascii="BLKONF+SimHei" w:hAnsi="BLKONF+SimHei"/>
          <w:sz w:val="22"/>
          <w:szCs w:val="22"/>
        </w:rPr>
        <w:t>变电站</w:t>
      </w:r>
      <w:r>
        <w:rPr>
          <w:rFonts w:ascii="BLKONF+SimHei" w:hAnsi="BLKONF+SimHei"/>
          <w:sz w:val="22"/>
          <w:szCs w:val="22"/>
        </w:rPr>
        <w:t xml:space="preserve">工程监理初检报告 </w:t>
      </w:r>
    </w:p>
    <w:p>
      <w:pPr>
        <w:pStyle w:val="8"/>
        <w:rPr>
          <w:rFonts w:ascii="BLMHPE+FZXBSK--GBK1-0" w:hAnsi="BLMHPE+FZXBSK--GBK1-0"/>
          <w:sz w:val="44"/>
          <w:szCs w:val="44"/>
        </w:rPr>
      </w:pPr>
    </w:p>
    <w:p>
      <w:pPr>
        <w:pStyle w:val="8"/>
        <w:rPr>
          <w:rFonts w:ascii="BLMHPE+FZXBSK--GBK1-0" w:hAnsi="BLMHPE+FZXBSK--GBK1-0"/>
          <w:sz w:val="44"/>
          <w:szCs w:val="44"/>
        </w:rPr>
      </w:pPr>
    </w:p>
    <w:p>
      <w:pPr>
        <w:pStyle w:val="8"/>
        <w:rPr>
          <w:rFonts w:ascii="BLMHPE+FZXBSK--GBK1-0" w:hAnsi="BLMHPE+FZXBSK--GBK1-0"/>
          <w:sz w:val="44"/>
          <w:szCs w:val="44"/>
        </w:rPr>
      </w:pPr>
    </w:p>
    <w:p>
      <w:pPr>
        <w:pStyle w:val="8"/>
        <w:jc w:val="center"/>
        <w:rPr>
          <w:rFonts w:hint="eastAsia" w:eastAsia="宋体"/>
          <w:sz w:val="40"/>
          <w:szCs w:val="42"/>
          <w:lang w:eastAsia="zh-CN"/>
        </w:rPr>
      </w:pPr>
      <w:r>
        <w:rPr>
          <w:rFonts w:hint="eastAsia"/>
          <w:sz w:val="40"/>
          <w:szCs w:val="42"/>
          <w:lang w:eastAsia="zh-CN"/>
        </w:rPr>
        <w:t>正信定边</w:t>
      </w:r>
      <w:r>
        <w:rPr>
          <w:rFonts w:hint="eastAsia"/>
          <w:sz w:val="40"/>
          <w:szCs w:val="42"/>
          <w:lang w:val="en-US" w:eastAsia="zh-CN"/>
        </w:rPr>
        <w:t>30兆瓦光伏电站</w:t>
      </w:r>
    </w:p>
    <w:p>
      <w:pPr>
        <w:pStyle w:val="8"/>
        <w:jc w:val="center"/>
        <w:rPr>
          <w:rFonts w:ascii="BLMHPE+FZXBSK--GBK1-0" w:hAnsi="BLMHPE+FZXBSK--GBK1-0"/>
          <w:sz w:val="44"/>
          <w:szCs w:val="44"/>
        </w:rPr>
      </w:pPr>
    </w:p>
    <w:p>
      <w:pPr>
        <w:pStyle w:val="8"/>
        <w:jc w:val="center"/>
        <w:rPr>
          <w:rFonts w:ascii="BLMHPE+FZXBSK--GBK1-0" w:hAnsi="BLMHPE+FZXBSK--GBK1-0"/>
          <w:sz w:val="44"/>
          <w:szCs w:val="44"/>
        </w:rPr>
      </w:pPr>
    </w:p>
    <w:p>
      <w:pPr>
        <w:pStyle w:val="8"/>
        <w:spacing w:before="0" w:beforeAutospacing="0" w:after="0" w:afterAutospacing="0"/>
        <w:jc w:val="center"/>
      </w:pPr>
      <w:r>
        <w:rPr>
          <w:rFonts w:ascii="BLMHPE+FZXBSK--GBK1-0" w:hAnsi="BLMHPE+FZXBSK--GBK1-0"/>
          <w:sz w:val="44"/>
          <w:szCs w:val="44"/>
        </w:rPr>
        <w:t>监</w:t>
      </w:r>
      <w:r>
        <w:rPr>
          <w:rFonts w:hint="eastAsia" w:ascii="BLMHPE+FZXBSK--GBK1-0" w:hAnsi="BLMHPE+FZXBSK--GBK1-0"/>
          <w:sz w:val="44"/>
          <w:szCs w:val="44"/>
        </w:rPr>
        <w:t xml:space="preserve"> </w:t>
      </w:r>
      <w:r>
        <w:rPr>
          <w:rFonts w:ascii="BLMHPE+FZXBSK--GBK1-0" w:hAnsi="BLMHPE+FZXBSK--GBK1-0"/>
          <w:sz w:val="44"/>
          <w:szCs w:val="44"/>
        </w:rPr>
        <w:t>理</w:t>
      </w:r>
      <w:r>
        <w:rPr>
          <w:rFonts w:hint="eastAsia" w:ascii="BLMHPE+FZXBSK--GBK1-0" w:hAnsi="BLMHPE+FZXBSK--GBK1-0"/>
          <w:sz w:val="44"/>
          <w:szCs w:val="44"/>
        </w:rPr>
        <w:t xml:space="preserve"> </w:t>
      </w:r>
      <w:r>
        <w:rPr>
          <w:rFonts w:ascii="BLMHPE+FZXBSK--GBK1-0" w:hAnsi="BLMHPE+FZXBSK--GBK1-0"/>
          <w:sz w:val="44"/>
          <w:szCs w:val="44"/>
        </w:rPr>
        <w:t>初</w:t>
      </w:r>
      <w:r>
        <w:rPr>
          <w:rFonts w:hint="eastAsia" w:ascii="BLMHPE+FZXBSK--GBK1-0" w:hAnsi="BLMHPE+FZXBSK--GBK1-0"/>
          <w:sz w:val="44"/>
          <w:szCs w:val="44"/>
        </w:rPr>
        <w:t xml:space="preserve"> </w:t>
      </w:r>
      <w:r>
        <w:rPr>
          <w:rFonts w:ascii="BLMHPE+FZXBSK--GBK1-0" w:hAnsi="BLMHPE+FZXBSK--GBK1-0"/>
          <w:sz w:val="44"/>
          <w:szCs w:val="44"/>
        </w:rPr>
        <w:t>检</w:t>
      </w:r>
      <w:r>
        <w:rPr>
          <w:rFonts w:hint="eastAsia" w:ascii="BLMHPE+FZXBSK--GBK1-0" w:hAnsi="BLMHPE+FZXBSK--GBK1-0"/>
          <w:sz w:val="44"/>
          <w:szCs w:val="44"/>
        </w:rPr>
        <w:t xml:space="preserve"> </w:t>
      </w:r>
      <w:r>
        <w:rPr>
          <w:rFonts w:ascii="BLMHPE+FZXBSK--GBK1-0" w:hAnsi="BLMHPE+FZXBSK--GBK1-0"/>
          <w:sz w:val="44"/>
          <w:szCs w:val="44"/>
        </w:rPr>
        <w:t>报</w:t>
      </w:r>
      <w:r>
        <w:rPr>
          <w:rFonts w:hint="eastAsia" w:ascii="BLMHPE+FZXBSK--GBK1-0" w:hAnsi="BLMHPE+FZXBSK--GBK1-0"/>
          <w:sz w:val="44"/>
          <w:szCs w:val="44"/>
        </w:rPr>
        <w:t xml:space="preserve"> 告</w:t>
      </w:r>
    </w:p>
    <w:p>
      <w:pPr>
        <w:pStyle w:val="8"/>
        <w:spacing w:before="0" w:beforeAutospacing="0" w:after="0" w:afterAutospacing="0"/>
        <w:jc w:val="center"/>
        <w:rPr>
          <w:rFonts w:ascii="BLMHPE+FZXBSK--GBK1-0" w:hAnsi="BLMHPE+FZXBSK--GBK1-0"/>
          <w:sz w:val="36"/>
          <w:szCs w:val="44"/>
        </w:rPr>
      </w:pPr>
      <w:r>
        <w:rPr>
          <w:rFonts w:hint="eastAsia"/>
          <w:sz w:val="36"/>
          <w:szCs w:val="44"/>
        </w:rPr>
        <w:t>（架空线路</w:t>
      </w:r>
      <w:r>
        <w:rPr>
          <w:rFonts w:hint="eastAsia" w:ascii="BLMHPE+FZXBSK--GBK1-0" w:hAnsi="BLMHPE+FZXBSK--GBK1-0"/>
          <w:sz w:val="36"/>
          <w:szCs w:val="44"/>
        </w:rPr>
        <w:t>工程）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常州正衡电力工程监理有限公司</w:t>
      </w:r>
    </w:p>
    <w:p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正信定边</w:t>
      </w:r>
      <w:r>
        <w:rPr>
          <w:rFonts w:hint="eastAsia"/>
          <w:sz w:val="28"/>
          <w:szCs w:val="28"/>
          <w:lang w:val="en-US" w:eastAsia="zh-CN"/>
        </w:rPr>
        <w:t>30兆瓦光伏电站</w:t>
      </w:r>
      <w:r>
        <w:rPr>
          <w:rFonts w:hint="eastAsia"/>
          <w:sz w:val="28"/>
          <w:szCs w:val="28"/>
        </w:rPr>
        <w:t>项目监理部</w:t>
      </w:r>
    </w:p>
    <w:p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25日</w:t>
      </w: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09"/>
        <w:gridCol w:w="2551"/>
        <w:gridCol w:w="2552"/>
        <w:gridCol w:w="28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left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8"/>
                <w:szCs w:val="18"/>
              </w:rPr>
              <w:t>一、检验概况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Cs w:val="18"/>
              </w:rPr>
            </w:pPr>
            <w:r>
              <w:rPr>
                <w:rFonts w:hint="eastAsia"/>
                <w:color w:val="000000"/>
                <w:kern w:val="21"/>
                <w:szCs w:val="18"/>
              </w:rPr>
              <w:t>工程名称</w:t>
            </w:r>
          </w:p>
        </w:tc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rPr>
                <w:rFonts w:hint="eastAsia" w:eastAsia="宋体"/>
                <w:color w:val="000000"/>
                <w:kern w:val="21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21"/>
                <w:szCs w:val="18"/>
                <w:lang w:eastAsia="zh-CN"/>
              </w:rPr>
              <w:t>正信定边</w:t>
            </w:r>
            <w:r>
              <w:rPr>
                <w:rFonts w:hint="eastAsia"/>
                <w:color w:val="000000"/>
                <w:kern w:val="21"/>
                <w:szCs w:val="18"/>
                <w:lang w:val="en-US" w:eastAsia="zh-CN"/>
              </w:rPr>
              <w:t>30兆瓦光伏电站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4"/>
                <w:szCs w:val="18"/>
              </w:rPr>
              <w:t>验</w:t>
            </w:r>
            <w:r>
              <w:rPr>
                <w:color w:val="000000"/>
                <w:kern w:val="21"/>
                <w:sz w:val="24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21"/>
                <w:sz w:val="24"/>
                <w:szCs w:val="18"/>
              </w:rPr>
              <w:t>评</w:t>
            </w:r>
            <w:r>
              <w:rPr>
                <w:color w:val="000000"/>
                <w:kern w:val="21"/>
                <w:sz w:val="24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21"/>
                <w:sz w:val="24"/>
                <w:szCs w:val="18"/>
              </w:rPr>
              <w:t>依</w:t>
            </w:r>
            <w:r>
              <w:rPr>
                <w:color w:val="000000"/>
                <w:kern w:val="21"/>
                <w:sz w:val="24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21"/>
                <w:sz w:val="24"/>
                <w:szCs w:val="18"/>
              </w:rPr>
              <w:t>据</w:t>
            </w:r>
          </w:p>
        </w:tc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auto"/>
              <w:ind w:left="105" w:leftChars="50" w:right="105" w:rightChars="50"/>
            </w:pPr>
            <w:r>
              <w:rPr>
                <w:rFonts w:hint="eastAsia"/>
              </w:rPr>
              <w:t>《建设工程监理规范》GB50319-2000</w:t>
            </w:r>
          </w:p>
          <w:p>
            <w:pPr>
              <w:spacing w:line="360" w:lineRule="auto"/>
              <w:ind w:left="105" w:leftChars="50" w:right="105" w:rightChars="50"/>
            </w:pPr>
            <w:r>
              <w:rPr>
                <w:rFonts w:hint="eastAsia"/>
              </w:rPr>
              <w:t>《建设工程项目管理规范》 GB/T 50326-2006</w:t>
            </w:r>
          </w:p>
          <w:p>
            <w:pPr>
              <w:spacing w:line="360" w:lineRule="auto"/>
              <w:ind w:left="105" w:leftChars="50" w:right="105" w:rightChars="50"/>
            </w:pPr>
            <w:r>
              <w:rPr>
                <w:rFonts w:hint="eastAsia"/>
              </w:rPr>
              <w:t>《工程建设标准强制性条文（建筑工程部分）》（2002版）</w:t>
            </w:r>
          </w:p>
          <w:p>
            <w:pPr>
              <w:spacing w:line="360" w:lineRule="auto"/>
              <w:ind w:left="105" w:leftChars="50" w:right="105" w:rightChars="50"/>
            </w:pPr>
            <w:r>
              <w:rPr>
                <w:rFonts w:hint="eastAsia"/>
              </w:rPr>
              <w:t>《工程建设标准强制性条文（电力工程部分）》（2006版）</w:t>
            </w:r>
          </w:p>
          <w:p>
            <w:pPr>
              <w:spacing w:line="360" w:lineRule="auto"/>
              <w:ind w:left="105" w:leftChars="50" w:right="105" w:rightChars="50"/>
            </w:pPr>
            <w:r>
              <w:rPr>
                <w:rFonts w:hint="eastAsia"/>
              </w:rPr>
              <w:t>《建筑工程施工质量验收规范汇编》</w:t>
            </w:r>
          </w:p>
          <w:p>
            <w:pPr>
              <w:spacing w:line="360" w:lineRule="auto"/>
              <w:ind w:left="105" w:leftChars="50" w:right="105" w:rightChars="50"/>
            </w:pPr>
            <w:r>
              <w:rPr>
                <w:rFonts w:hint="eastAsia"/>
              </w:rPr>
              <w:t>《建筑工程施工质量验收统一标准》GB50300-2001</w:t>
            </w:r>
          </w:p>
          <w:p>
            <w:pPr>
              <w:spacing w:line="360" w:lineRule="auto"/>
              <w:ind w:left="105" w:leftChars="50" w:right="105" w:rightChar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《110kV～1000kV变电（换流）站土建工程施工质量验收及评定规程》Q/GDW183-2008</w:t>
            </w:r>
          </w:p>
          <w:p>
            <w:pPr>
              <w:spacing w:line="360" w:lineRule="auto"/>
              <w:ind w:left="105" w:leftChars="50" w:right="105" w:rightChars="50"/>
            </w:pPr>
            <w:r>
              <w:rPr>
                <w:rFonts w:hint="eastAsia"/>
              </w:rPr>
              <w:t>《电气装置安装工程质量检验及评定规程》DL/T5161.1～5161.17-2002</w:t>
            </w:r>
          </w:p>
          <w:p>
            <w:pPr>
              <w:spacing w:line="360" w:lineRule="auto"/>
              <w:ind w:left="105" w:leftChars="50" w:right="105" w:rightChars="50"/>
            </w:pPr>
            <w:r>
              <w:rPr>
                <w:rFonts w:hint="eastAsia"/>
              </w:rPr>
              <w:t>《电气装置安装工程施工及验收规范汇编》</w:t>
            </w:r>
          </w:p>
          <w:p>
            <w:pPr>
              <w:spacing w:line="360" w:lineRule="auto"/>
              <w:ind w:left="105" w:leftChars="50" w:right="105" w:rightChars="50"/>
            </w:pPr>
            <w:r>
              <w:rPr>
                <w:rFonts w:hint="eastAsia"/>
              </w:rPr>
              <w:t>《电气装置安装工程旋转电机施工及验收规范》GB/T50170—2006</w:t>
            </w:r>
          </w:p>
          <w:p>
            <w:pPr>
              <w:spacing w:line="360" w:lineRule="auto"/>
              <w:ind w:left="105" w:leftChars="50" w:right="105" w:rightChars="50"/>
            </w:pPr>
            <w:r>
              <w:rPr>
                <w:rFonts w:hint="eastAsia"/>
              </w:rPr>
              <w:t>《电气装置安装工程接地装置施工及验收规范》GB/T50169—2006</w:t>
            </w:r>
          </w:p>
          <w:p>
            <w:pPr>
              <w:spacing w:line="360" w:lineRule="auto"/>
              <w:ind w:left="105" w:leftChars="50" w:right="105" w:rightChars="50"/>
            </w:pPr>
            <w:r>
              <w:rPr>
                <w:rFonts w:hint="eastAsia"/>
              </w:rPr>
              <w:t>《电气装置安装工程电缆线路施工及验收规范》GB/T50168—2006</w:t>
            </w:r>
          </w:p>
          <w:p>
            <w:pPr>
              <w:spacing w:line="360" w:lineRule="auto"/>
              <w:ind w:left="105" w:leftChars="50" w:right="105" w:rightChars="50"/>
            </w:pPr>
            <w:r>
              <w:rPr>
                <w:rFonts w:hint="eastAsia"/>
              </w:rPr>
              <w:t>《电气装置安装工程电气设备交接试验标准》GB50150-2006</w:t>
            </w:r>
          </w:p>
          <w:p>
            <w:pPr>
              <w:spacing w:line="360" w:lineRule="auto"/>
              <w:ind w:left="105" w:leftChars="50" w:right="105" w:rightChars="50"/>
              <w:rPr>
                <w:rFonts w:ascii="宋体" w:hAnsi="宋体" w:eastAsia="宋体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/>
              </w:rPr>
              <w:t>继电保护和安全自动装置技术规程》GB14285-2006</w:t>
            </w:r>
          </w:p>
          <w:p>
            <w:pPr>
              <w:spacing w:line="360" w:lineRule="auto"/>
              <w:ind w:left="105" w:leftChars="50" w:right="105" w:rightChar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《继电保护和电网安全自动装置检验规程》DL/T 995-2006</w:t>
            </w:r>
          </w:p>
          <w:p>
            <w:pPr>
              <w:spacing w:line="360" w:lineRule="auto"/>
              <w:ind w:left="105" w:leftChars="50" w:right="105" w:rightChar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工程质量验收及评定范围划分表</w:t>
            </w:r>
          </w:p>
          <w:p>
            <w:pPr>
              <w:topLinePunct w:val="1"/>
              <w:snapToGrid w:val="0"/>
              <w:spacing w:line="360" w:lineRule="auto"/>
              <w:ind w:left="105" w:leftChars="50" w:right="105" w:rightChars="50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eastAsia="宋体"/>
              </w:rPr>
              <w:t>本工程设计文件（包括设计变更单）及厂家设备技术资料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8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left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8"/>
                <w:szCs w:val="18"/>
              </w:rPr>
              <w:t>二、工程概况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 w:val="22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2"/>
                <w:szCs w:val="18"/>
              </w:rPr>
              <w:t>项目法人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 w:val="22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2"/>
                <w:szCs w:val="18"/>
              </w:rPr>
              <w:t>项目管理单位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 w:val="22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2"/>
                <w:szCs w:val="18"/>
              </w:rPr>
              <w:t>设计单位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hint="eastAsia" w:eastAsia="宋体"/>
                <w:color w:val="000000"/>
                <w:kern w:val="21"/>
                <w:sz w:val="20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21"/>
                <w:sz w:val="20"/>
                <w:szCs w:val="18"/>
                <w:lang w:eastAsia="zh-CN"/>
              </w:rPr>
              <w:t>陕西大唐新能电力设计有限公司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 w:val="22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2"/>
                <w:szCs w:val="18"/>
              </w:rPr>
              <w:t>监理单位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 w:val="20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0"/>
                <w:szCs w:val="18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 w:val="22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2"/>
                <w:szCs w:val="18"/>
              </w:rPr>
              <w:t>施工</w:t>
            </w:r>
            <w:r>
              <w:rPr>
                <w:rFonts w:hint="eastAsia"/>
                <w:color w:val="000000"/>
                <w:kern w:val="21"/>
                <w:sz w:val="22"/>
                <w:szCs w:val="18"/>
                <w:lang w:eastAsia="zh-CN"/>
              </w:rPr>
              <w:t>单位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both"/>
              <w:rPr>
                <w:rFonts w:hint="eastAsia" w:eastAsia="宋体"/>
                <w:color w:val="000000"/>
                <w:kern w:val="21"/>
                <w:sz w:val="20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21"/>
                <w:sz w:val="20"/>
                <w:szCs w:val="18"/>
                <w:lang w:eastAsia="zh-CN"/>
              </w:rPr>
              <w:t>四川省创新电力建设有限公司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 w:val="22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2"/>
                <w:szCs w:val="18"/>
              </w:rPr>
              <w:t>运行单位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948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pStyle w:val="3"/>
              <w:spacing w:line="520" w:lineRule="exact"/>
              <w:rPr>
                <w:rFonts w:hint="eastAsia" w:hAnsi="宋体" w:cs="宋体"/>
                <w:bCs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工程位于陕西省榆林</w:t>
            </w:r>
            <w:r>
              <w:rPr>
                <w:rFonts w:hint="eastAsia" w:ascii="宋体" w:hAnsi="宋体"/>
                <w:szCs w:val="24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</w:rPr>
              <w:t>定边县砖井镇境内，</w:t>
            </w:r>
            <w:r>
              <w:rPr>
                <w:rFonts w:hint="eastAsia" w:ascii="宋体" w:hAnsi="宋体"/>
                <w:kern w:val="0"/>
                <w:sz w:val="24"/>
              </w:rPr>
              <w:t>距离定边县26公里，该工程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为</w:t>
            </w:r>
            <w:r>
              <w:rPr>
                <w:rFonts w:hint="eastAsia" w:ascii="宋体" w:hAnsi="宋体"/>
                <w:kern w:val="0"/>
                <w:sz w:val="24"/>
              </w:rPr>
              <w:t>新建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</w:rPr>
              <w:t>一期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</w:rPr>
              <w:t>工程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，线路全长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2.57km,共立铁塔8基、双排钢管杆杆4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基；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共12基（铁塔和钢管杆）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，沿线跨越10KV线路两处、通讯线路8处、，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架空导线采用钢芯铝导线JL/GIA 400/35-48/7 </w:t>
            </w:r>
            <w:r>
              <w:rPr>
                <w:rFonts w:hint="eastAsia" w:ascii="宋体" w:hAnsi="宋体"/>
                <w:szCs w:val="21"/>
              </w:rPr>
              <w:t>㎜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  <w:vertAlign w:val="superscript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JL/GIA-400/35导线采用预绞丝防震锤 FRYJ-4/5型防震锤，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镀锌钢绞线采用1*19-11.5-1372-B，80  </w:t>
            </w:r>
            <w:r>
              <w:rPr>
                <w:rFonts w:hint="eastAsia" w:ascii="宋体" w:hAnsi="宋体"/>
                <w:szCs w:val="21"/>
              </w:rPr>
              <w:t>㎜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  <w:vertAlign w:val="superscript"/>
                <w:lang w:eastAsia="zh-CN"/>
              </w:rPr>
              <w:t>，</w:t>
            </w:r>
            <w:r>
              <w:rPr>
                <w:rFonts w:hint="eastAsia" w:hAnsi="宋体" w:cs="宋体"/>
                <w:bCs/>
                <w:sz w:val="24"/>
                <w:szCs w:val="24"/>
                <w:lang w:val="en-US" w:eastAsia="zh-CN"/>
              </w:rPr>
              <w:t>地线采用热镀锌直径12圆钢。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避雷线采用</w:t>
            </w:r>
            <w:r>
              <w:rPr>
                <w:rFonts w:hint="eastAsia" w:hAnsi="宋体" w:cs="宋体"/>
                <w:bCs/>
                <w:sz w:val="24"/>
                <w:szCs w:val="24"/>
                <w:lang w:val="en-US" w:eastAsia="zh-CN"/>
              </w:rPr>
              <w:t>GJ-80(1*7-11.4-1270B)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镀锌钢绞线</w:t>
            </w:r>
            <w:r>
              <w:rPr>
                <w:rFonts w:hint="eastAsia" w:hAnsi="宋体" w:cs="宋体"/>
                <w:bCs/>
                <w:sz w:val="24"/>
                <w:szCs w:val="24"/>
                <w:lang w:val="en-US" w:eastAsia="zh-CN"/>
              </w:rPr>
              <w:t>,另一根采用OPGW-24B1-80芯光缆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。</w:t>
            </w:r>
            <w:r>
              <w:rPr>
                <w:rFonts w:hint="eastAsia" w:hAnsi="宋体" w:cs="宋体"/>
                <w:bCs/>
                <w:sz w:val="24"/>
                <w:szCs w:val="24"/>
                <w:lang w:eastAsia="zh-CN"/>
              </w:rPr>
              <w:t>本工程由榆林正信定边</w:t>
            </w:r>
            <w:r>
              <w:rPr>
                <w:rFonts w:hint="eastAsia" w:hAnsi="宋体" w:cs="宋体"/>
                <w:bCs/>
                <w:sz w:val="24"/>
                <w:szCs w:val="24"/>
                <w:lang w:val="en-US" w:eastAsia="zh-CN"/>
              </w:rPr>
              <w:t>30MWP光伏电站出线1回，出线向南钻越110KV定边II线，跨越乡村道路，左转至青银高速北侧，延乡村道路向西南至</w:t>
            </w:r>
            <w:r>
              <w:rPr>
                <w:rFonts w:hint="eastAsia" w:hAnsi="宋体" w:cs="宋体"/>
                <w:bCs/>
                <w:sz w:val="24"/>
                <w:szCs w:val="24"/>
                <w:lang w:eastAsia="zh-CN"/>
              </w:rPr>
              <w:t>（陕西电力公司）定边</w:t>
            </w:r>
            <w:r>
              <w:rPr>
                <w:rFonts w:hint="eastAsia" w:hAnsi="宋体" w:cs="宋体"/>
                <w:bCs/>
                <w:sz w:val="24"/>
                <w:szCs w:val="24"/>
                <w:lang w:val="en-US" w:eastAsia="zh-CN"/>
              </w:rPr>
              <w:t>330KV变电站；沿线采用架空进入升压站，并于2016年5月24日验收，最终完成并网任务。</w:t>
            </w:r>
          </w:p>
          <w:bookmarkEnd w:id="0"/>
          <w:p>
            <w:pPr>
              <w:spacing w:line="480" w:lineRule="auto"/>
              <w:ind w:left="105" w:leftChars="50" w:right="105" w:rightChars="50"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Cs w:val="18"/>
              </w:rPr>
            </w:pPr>
            <w:r>
              <w:rPr>
                <w:rFonts w:hint="eastAsia"/>
                <w:color w:val="000000"/>
                <w:kern w:val="21"/>
                <w:szCs w:val="18"/>
              </w:rPr>
              <w:t>分部工程名称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Cs w:val="18"/>
              </w:rPr>
            </w:pPr>
            <w:r>
              <w:rPr>
                <w:rFonts w:hint="eastAsia"/>
                <w:color w:val="000000"/>
                <w:kern w:val="21"/>
                <w:szCs w:val="18"/>
              </w:rPr>
              <w:t>开工时间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Cs w:val="18"/>
              </w:rPr>
            </w:pPr>
            <w:r>
              <w:rPr>
                <w:rFonts w:hint="eastAsia"/>
                <w:color w:val="000000"/>
                <w:kern w:val="21"/>
                <w:szCs w:val="18"/>
              </w:rPr>
              <w:t>完工时间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color w:val="000000"/>
                <w:kern w:val="21"/>
                <w:szCs w:val="18"/>
              </w:rPr>
            </w:pPr>
            <w:r>
              <w:rPr>
                <w:rFonts w:hint="eastAsia"/>
                <w:color w:val="000000"/>
                <w:kern w:val="21"/>
                <w:szCs w:val="18"/>
              </w:rPr>
              <w:t>备</w:t>
            </w:r>
            <w:r>
              <w:rPr>
                <w:color w:val="000000"/>
                <w:kern w:val="21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kern w:val="21"/>
                <w:szCs w:val="18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基础工程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-11-10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-12-20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杆塔组立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6.03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10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-2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铁塔组立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20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10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架线施工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-28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光纤施工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-2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8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接地施工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-25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30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电气试验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-2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/>
                <w:color w:val="000000"/>
                <w:kern w:val="21"/>
                <w:szCs w:val="21"/>
              </w:rPr>
              <w:t>-2</w:t>
            </w:r>
            <w:r>
              <w:rPr>
                <w:rFonts w:hint="eastAsia" w:ascii="宋体" w:hAnsi="宋体"/>
                <w:color w:val="000000"/>
                <w:kern w:val="21"/>
                <w:szCs w:val="21"/>
                <w:lang w:val="en-US" w:eastAsia="zh-CN"/>
              </w:rPr>
              <w:t>6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center"/>
              <w:rPr>
                <w:rFonts w:ascii="宋体" w:hAnsi="宋体" w:eastAsia="宋体"/>
                <w:color w:val="000000"/>
                <w:kern w:val="21"/>
                <w:szCs w:val="21"/>
              </w:rPr>
            </w:pPr>
          </w:p>
        </w:tc>
      </w:tr>
    </w:tbl>
    <w:p>
      <w:pPr>
        <w:ind w:right="210" w:rightChars="100"/>
        <w:jc w:val="right"/>
        <w:rPr>
          <w:rFonts w:ascii="宋体" w:hAnsi="宋体"/>
          <w:sz w:val="18"/>
          <w:szCs w:val="18"/>
        </w:rPr>
      </w:pPr>
    </w:p>
    <w:tbl>
      <w:tblPr>
        <w:tblW w:w="94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ind w:left="105" w:leftChars="50" w:right="105" w:rightChars="50"/>
              <w:jc w:val="left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8"/>
                <w:szCs w:val="18"/>
              </w:rPr>
              <w:t>三、综合评价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jc w:val="center"/>
              <w:rPr>
                <w:color w:val="000000"/>
                <w:kern w:val="21"/>
                <w:sz w:val="24"/>
                <w:szCs w:val="21"/>
              </w:rPr>
            </w:pPr>
            <w:r>
              <w:rPr>
                <w:rFonts w:hint="eastAsia"/>
                <w:color w:val="000000"/>
                <w:kern w:val="21"/>
                <w:sz w:val="24"/>
                <w:szCs w:val="21"/>
              </w:rPr>
              <w:t>质量体系及实施情况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topLinePunct w:val="1"/>
              <w:snapToGrid w:val="0"/>
              <w:spacing w:beforeLines="50" w:afterLines="50" w:line="480" w:lineRule="auto"/>
              <w:ind w:firstLine="440" w:firstLineChars="200"/>
              <w:jc w:val="left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本工程建设目标明确，参建单位资质满足施工要求，建设、施工、监理、生产单位质量管理体系基本健全，基本满足工程建设管理的要求，满足工程施工需要，特殊工种均达到持证上岗，施工技术措施齐全；三级交底记录、三级检验记录齐全；施工机具、检测设备均在定检周期内。 </w:t>
            </w:r>
          </w:p>
          <w:p>
            <w:pPr>
              <w:topLinePunct w:val="1"/>
              <w:snapToGrid w:val="0"/>
              <w:spacing w:beforeLines="50" w:afterLines="50" w:line="480" w:lineRule="auto"/>
              <w:ind w:firstLine="440" w:firstLineChars="200"/>
              <w:jc w:val="left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质量管理网络、安全制度基本健全。 参建单位工程组织机构健全、制定了施工质量管理制度、工程计划管理制度、工程质量目标明确，在工程建设过程中对安全、进度、质量、成本进 行了控制和协调，检查施工各单位的工作。施工单位能够按照建设工程施工规范实施工作，安全、质量、进度、资金基本到位。参建单位通过编制施工方案和制定现场工作制度，并在施工活动中有效实施。设计单位基本按有关标准进行设计，设计变更需加强闭环管理。施工单位能按照电力行业规范、标准的要求施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jc w:val="center"/>
              <w:rPr>
                <w:color w:val="000000"/>
                <w:kern w:val="21"/>
                <w:sz w:val="24"/>
                <w:szCs w:val="21"/>
              </w:rPr>
            </w:pPr>
            <w:r>
              <w:rPr>
                <w:rFonts w:hint="eastAsia"/>
                <w:color w:val="000000"/>
                <w:kern w:val="21"/>
                <w:sz w:val="24"/>
                <w:szCs w:val="21"/>
              </w:rPr>
              <w:t>主要技术资料检查</w:t>
            </w:r>
            <w:r>
              <w:rPr>
                <w:color w:val="000000"/>
                <w:kern w:val="21"/>
                <w:sz w:val="24"/>
                <w:szCs w:val="21"/>
              </w:rPr>
              <w:br/>
            </w:r>
            <w:r>
              <w:rPr>
                <w:rFonts w:hint="eastAsia"/>
                <w:color w:val="000000"/>
                <w:kern w:val="21"/>
                <w:sz w:val="24"/>
                <w:szCs w:val="21"/>
              </w:rPr>
              <w:t>情况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topLinePunct w:val="1"/>
              <w:snapToGrid w:val="0"/>
              <w:spacing w:beforeLines="50" w:afterLines="50" w:line="48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主要技术资料情况总体良好，各项综合管理资料、技术资料、现场记录齐全，隐蔽工程验收、签证记录基本齐全。  </w:t>
            </w:r>
          </w:p>
          <w:p>
            <w:pPr>
              <w:topLinePunct w:val="1"/>
              <w:snapToGrid w:val="0"/>
              <w:spacing w:beforeLines="50" w:afterLines="50" w:line="48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施工现场编制了施工组织设计和施工作业指导书并进行了交底，安全检查制 度和管理制度健全，编制了安全文明实施细则，质量管理和质量保证体系组织机 构完善，严格把好材料进场关，对旁站点形成了比较完整的旁站记录，对进场的原材料合格证及复试报告审核监管。  </w:t>
            </w:r>
          </w:p>
          <w:p>
            <w:pPr>
              <w:topLinePunct w:val="1"/>
              <w:snapToGrid w:val="0"/>
              <w:spacing w:beforeLines="50" w:afterLines="50" w:line="48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特殊工种双证基本齐全，供货商及检测单位资质及施工仪器进行了报审，电气安装记录和试验报告基本齐全。  </w:t>
            </w:r>
          </w:p>
          <w:p>
            <w:pPr>
              <w:topLinePunct w:val="1"/>
              <w:snapToGrid w:val="0"/>
              <w:spacing w:beforeLines="50" w:afterLines="50" w:line="480" w:lineRule="auto"/>
              <w:ind w:firstLine="420" w:firstLineChars="200"/>
              <w:jc w:val="left"/>
              <w:rPr>
                <w:color w:val="000000"/>
                <w:kern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开工手续完备，完善设计变更闭环管理。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topLinePunct w:val="1"/>
              <w:snapToGrid w:val="0"/>
              <w:jc w:val="center"/>
              <w:rPr>
                <w:color w:val="000000"/>
                <w:kern w:val="21"/>
                <w:sz w:val="24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4"/>
                <w:szCs w:val="18"/>
              </w:rPr>
              <w:t>工程重点抽查情况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spacing w:line="480" w:lineRule="auto"/>
              <w:ind w:firstLine="420" w:firstLineChars="200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本次</w:t>
            </w:r>
            <w:r>
              <w:rPr>
                <w:rFonts w:hint="eastAsia" w:ascii="宋体" w:hAnsi="宋体"/>
                <w:color w:val="auto"/>
                <w:szCs w:val="28"/>
              </w:rPr>
              <w:t>对</w:t>
            </w:r>
            <w:r>
              <w:rPr>
                <w:rFonts w:hint="eastAsia"/>
                <w:color w:val="auto"/>
                <w:kern w:val="21"/>
                <w:sz w:val="21"/>
                <w:szCs w:val="21"/>
                <w:lang w:eastAsia="zh-CN"/>
              </w:rPr>
              <w:t>四川省创新电力建设有限公司</w:t>
            </w:r>
            <w:r>
              <w:rPr>
                <w:rFonts w:hint="eastAsia" w:ascii="宋体" w:hAnsi="宋体"/>
                <w:color w:val="auto"/>
                <w:szCs w:val="28"/>
              </w:rPr>
              <w:t>施工项目部</w:t>
            </w:r>
            <w:r>
              <w:rPr>
                <w:rFonts w:hint="eastAsia" w:ascii="宋体" w:hAnsi="宋体"/>
                <w:color w:val="000000"/>
                <w:szCs w:val="28"/>
              </w:rPr>
              <w:t>已完成的</w:t>
            </w:r>
            <w:r>
              <w:rPr>
                <w:rFonts w:hint="eastAsia" w:ascii="宋体" w:hAnsi="宋体"/>
                <w:color w:val="000000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Cs w:val="28"/>
              </w:rPr>
              <w:t>基基础</w:t>
            </w:r>
            <w:r>
              <w:rPr>
                <w:rFonts w:hint="eastAsia" w:ascii="宋体" w:hAnsi="宋体"/>
                <w:color w:val="000000"/>
                <w:szCs w:val="28"/>
                <w:lang w:val="en-US" w:eastAsia="zh-CN"/>
              </w:rPr>
              <w:t>及架空线路</w:t>
            </w:r>
            <w:r>
              <w:rPr>
                <w:rFonts w:hint="eastAsia" w:ascii="宋体" w:hAnsi="宋体"/>
                <w:color w:val="000000"/>
                <w:szCs w:val="28"/>
              </w:rPr>
              <w:t>根据国家电网公司及业主项目部关于基础工程监理初检10</w:t>
            </w:r>
            <w:r>
              <w:rPr>
                <w:rFonts w:hint="eastAsia" w:ascii="宋体" w:hAnsi="宋体"/>
                <w:color w:val="000000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Cs w:val="28"/>
              </w:rPr>
              <w:t>%的要求，监理项目部进行抽检，对</w:t>
            </w:r>
            <w:r>
              <w:rPr>
                <w:rFonts w:hint="eastAsia" w:ascii="宋体" w:hAnsi="宋体"/>
                <w:color w:val="000000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8"/>
              </w:rPr>
              <w:t>基铁塔和</w:t>
            </w:r>
            <w:r>
              <w:rPr>
                <w:rFonts w:hint="eastAsia" w:ascii="宋体" w:hAnsi="宋体"/>
                <w:color w:val="000000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8"/>
              </w:rPr>
              <w:t>基</w:t>
            </w:r>
            <w:r>
              <w:rPr>
                <w:rFonts w:hint="eastAsia" w:ascii="宋体" w:hAnsi="宋体"/>
                <w:color w:val="000000"/>
                <w:szCs w:val="28"/>
                <w:lang w:val="en-US" w:eastAsia="zh-CN"/>
              </w:rPr>
              <w:t>钢管杆</w:t>
            </w:r>
            <w:r>
              <w:rPr>
                <w:rFonts w:hint="eastAsia" w:ascii="宋体" w:hAnsi="宋体"/>
                <w:color w:val="000000"/>
                <w:szCs w:val="28"/>
              </w:rPr>
              <w:t>进行了全检，初检比例为</w:t>
            </w:r>
            <w:r>
              <w:rPr>
                <w:rFonts w:hint="eastAsia" w:ascii="宋体" w:hAnsi="宋体"/>
                <w:color w:val="000000"/>
                <w:szCs w:val="28"/>
                <w:lang w:val="en-US" w:eastAsia="zh-CN"/>
              </w:rPr>
              <w:t>98</w:t>
            </w:r>
            <w:r>
              <w:rPr>
                <w:rFonts w:hint="eastAsia" w:ascii="宋体" w:hAnsi="宋体"/>
                <w:color w:val="000000"/>
                <w:szCs w:val="28"/>
              </w:rPr>
              <w:t>%</w:t>
            </w:r>
            <w:r>
              <w:rPr>
                <w:rFonts w:hint="eastAsia" w:ascii="宋体" w:hAnsi="宋体"/>
                <w:color w:val="000000"/>
                <w:szCs w:val="28"/>
                <w:lang w:eastAsia="zh-CN"/>
              </w:rPr>
              <w:t>。</w:t>
            </w:r>
          </w:p>
          <w:p>
            <w:pPr>
              <w:spacing w:line="480" w:lineRule="auto"/>
              <w:ind w:firstLine="420" w:firstLineChars="2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根据《110～500kV架空电力线路施工质量检验及评定规程》第3.0.5条之规定，</w:t>
            </w:r>
            <w:r>
              <w:rPr>
                <w:rFonts w:hint="eastAsia" w:ascii="宋体" w:hAnsi="宋体"/>
                <w:color w:val="000000"/>
                <w:szCs w:val="28"/>
                <w:lang w:val="en-US" w:eastAsia="zh-CN"/>
              </w:rPr>
              <w:t>正信定边30兆瓦光伏电站项目</w:t>
            </w:r>
            <w:r>
              <w:rPr>
                <w:rFonts w:hint="eastAsia" w:ascii="宋体" w:hAnsi="宋体"/>
                <w:color w:val="000000"/>
                <w:szCs w:val="28"/>
              </w:rPr>
              <w:t>线路工程质量合格率为</w:t>
            </w:r>
            <w:r>
              <w:rPr>
                <w:rFonts w:hint="eastAsia" w:ascii="宋体" w:hAnsi="宋体"/>
                <w:color w:val="000000"/>
                <w:szCs w:val="28"/>
                <w:lang w:val="en-US" w:eastAsia="zh-CN"/>
              </w:rPr>
              <w:t>99</w:t>
            </w:r>
            <w:r>
              <w:rPr>
                <w:rFonts w:hint="eastAsia" w:ascii="宋体" w:hAnsi="宋体"/>
                <w:color w:val="000000"/>
                <w:szCs w:val="28"/>
              </w:rPr>
              <w:t>%，优良率为 98.5%。施工记录数据符合要求，真实可信。</w:t>
            </w:r>
          </w:p>
          <w:p>
            <w:pPr>
              <w:topLinePunct w:val="1"/>
              <w:snapToGrid w:val="0"/>
              <w:spacing w:line="360" w:lineRule="auto"/>
              <w:ind w:firstLine="420" w:firstLineChars="200"/>
              <w:jc w:val="left"/>
              <w:rPr>
                <w:color w:val="000000"/>
                <w:kern w:val="21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topLinePunct w:val="1"/>
              <w:snapToGrid w:val="0"/>
              <w:spacing w:line="480" w:lineRule="auto"/>
              <w:ind w:left="105" w:leftChars="50" w:right="105" w:rightChars="50"/>
              <w:jc w:val="left"/>
              <w:rPr>
                <w:color w:val="000000"/>
                <w:kern w:val="21"/>
                <w:sz w:val="28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8"/>
                <w:szCs w:val="18"/>
              </w:rPr>
              <w:t>四、主要改进建议</w:t>
            </w:r>
          </w:p>
          <w:p>
            <w:pPr>
              <w:pStyle w:val="12"/>
              <w:numPr>
                <w:ilvl w:val="0"/>
                <w:numId w:val="1"/>
              </w:numPr>
              <w:topLinePunct w:val="1"/>
              <w:snapToGrid w:val="0"/>
              <w:spacing w:line="480" w:lineRule="auto"/>
              <w:ind w:firstLineChars="0"/>
              <w:jc w:val="left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1"/>
                <w:szCs w:val="18"/>
                <w:lang w:val="en-US" w:eastAsia="zh-CN"/>
              </w:rPr>
              <w:t>1#、3#钢管杆二次吊装镀锌层破坏需重新刷漆</w:t>
            </w:r>
          </w:p>
          <w:p>
            <w:pPr>
              <w:pStyle w:val="12"/>
              <w:numPr>
                <w:ilvl w:val="0"/>
                <w:numId w:val="1"/>
              </w:numPr>
              <w:topLinePunct w:val="1"/>
              <w:snapToGrid w:val="0"/>
              <w:spacing w:line="480" w:lineRule="auto"/>
              <w:ind w:firstLineChars="0"/>
              <w:jc w:val="left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1"/>
                <w:szCs w:val="18"/>
                <w:lang w:val="en-US" w:eastAsia="zh-CN"/>
              </w:rPr>
              <w:t>铁塔及钢管杆编号建议使用红漆</w:t>
            </w:r>
            <w:r>
              <w:rPr>
                <w:rFonts w:hint="eastAsia"/>
                <w:color w:val="000000"/>
                <w:kern w:val="21"/>
                <w:szCs w:val="18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top"/>
          </w:tcPr>
          <w:p>
            <w:pPr>
              <w:topLinePunct w:val="1"/>
              <w:snapToGrid w:val="0"/>
              <w:spacing w:line="480" w:lineRule="auto"/>
              <w:ind w:left="105" w:leftChars="50" w:right="105" w:rightChars="50"/>
              <w:jc w:val="left"/>
              <w:rPr>
                <w:color w:val="000000"/>
                <w:kern w:val="21"/>
                <w:sz w:val="28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8"/>
                <w:szCs w:val="18"/>
              </w:rPr>
              <w:t>五、结论</w:t>
            </w: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项目部质量管理体系健全，实施有效。工程技术资料完备，原材料合格证、试验报告齐全，施工评级记录、三级检验记录齐全，保证了工程总体施工质量。现场实体检查数据真实、可信。关键项及数据全部符合要求并达优良级，一般项中同一项目中无有两个超差项，对存在问题经整改复核后符合要求，综合评定合格率100%，工程质量优良率98.5%。</w:t>
            </w:r>
          </w:p>
          <w:p>
            <w:pPr>
              <w:topLinePunct w:val="1"/>
              <w:snapToGrid w:val="0"/>
              <w:spacing w:line="480" w:lineRule="auto"/>
              <w:ind w:firstLine="420" w:firstLineChars="200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据此，我监理部认为：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正信定边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30兆瓦光伏电站</w:t>
            </w:r>
            <w:r>
              <w:rPr>
                <w:rFonts w:hint="eastAsia"/>
                <w:color w:val="000000"/>
                <w:szCs w:val="21"/>
              </w:rPr>
              <w:t>项目架空线路工程，经初步验收合格，已基本满足竣工质监的必要条件。施工单位按设计和规范要求完成相应施工工程，无明显缺陷，但遗留有部分整改项目。已完工程经过施工项目部三级自检合格，具备申报验收条件。工程各专业应提交的竣工资料基本整理完毕，齐全有效，能够满足验收条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48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>
            <w:pPr>
              <w:topLinePunct w:val="1"/>
              <w:snapToGrid w:val="0"/>
              <w:ind w:firstLine="560" w:firstLineChars="200"/>
              <w:rPr>
                <w:color w:val="000000"/>
                <w:kern w:val="21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pict>
                <v:shape id="图片 1" o:spid="_x0000_s1026" type="#_x0000_t75" style="position:absolute;left:0;margin-left:123pt;margin-top:-15pt;height:38.85pt;width:71.25pt;rotation:0f;z-index:-251658240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/>
                <w:color w:val="000000"/>
                <w:kern w:val="21"/>
                <w:szCs w:val="18"/>
              </w:rPr>
              <w:t>验收负责人</w:t>
            </w:r>
            <w:r>
              <w:rPr>
                <w:rFonts w:hint="eastAsia"/>
                <w:color w:val="000000"/>
                <w:kern w:val="18"/>
                <w:szCs w:val="18"/>
              </w:rPr>
              <w:t>（签字）：</w:t>
            </w:r>
            <w:r>
              <w:rPr>
                <w:color w:val="000000"/>
                <w:kern w:val="18"/>
                <w:szCs w:val="18"/>
              </w:rPr>
              <w:t xml:space="preserve"> </w:t>
            </w:r>
            <w:r>
              <w:rPr>
                <w:color w:val="000000"/>
                <w:kern w:val="21"/>
                <w:szCs w:val="18"/>
              </w:rPr>
              <w:t xml:space="preserve">                               </w:t>
            </w:r>
            <w:r>
              <w:rPr>
                <w:rFonts w:hint="eastAsia"/>
                <w:color w:val="000000"/>
                <w:kern w:val="21"/>
                <w:szCs w:val="18"/>
              </w:rPr>
              <w:t>日</w:t>
            </w:r>
            <w:r>
              <w:rPr>
                <w:color w:val="000000"/>
                <w:kern w:val="21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kern w:val="21"/>
                <w:szCs w:val="18"/>
              </w:rPr>
              <w:t>期：</w:t>
            </w:r>
            <w:r>
              <w:rPr>
                <w:color w:val="000000"/>
                <w:kern w:val="21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21"/>
                <w:szCs w:val="18"/>
                <w:u w:val="single"/>
              </w:rPr>
              <w:t xml:space="preserve">   </w:t>
            </w:r>
            <w:r>
              <w:rPr>
                <w:color w:val="000000"/>
                <w:kern w:val="21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kern w:val="21"/>
                <w:szCs w:val="18"/>
              </w:rPr>
              <w:t>年</w:t>
            </w:r>
            <w:r>
              <w:rPr>
                <w:color w:val="000000"/>
                <w:kern w:val="21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21"/>
                <w:szCs w:val="18"/>
                <w:u w:val="single"/>
              </w:rPr>
              <w:t xml:space="preserve"> </w:t>
            </w:r>
            <w:r>
              <w:rPr>
                <w:color w:val="000000"/>
                <w:kern w:val="2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21"/>
                <w:szCs w:val="18"/>
              </w:rPr>
              <w:t>月</w:t>
            </w:r>
            <w:r>
              <w:rPr>
                <w:color w:val="000000"/>
                <w:kern w:val="21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21"/>
                <w:szCs w:val="18"/>
                <w:u w:val="single"/>
              </w:rPr>
              <w:t xml:space="preserve"> </w:t>
            </w:r>
            <w:r>
              <w:rPr>
                <w:color w:val="000000"/>
                <w:kern w:val="2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21"/>
                <w:szCs w:val="1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LKONF+SimHe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LMHPE+FZXB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66559634">
    <w:nsid w:val="6F417092"/>
    <w:multiLevelType w:val="multilevel"/>
    <w:tmpl w:val="6F417092"/>
    <w:lvl w:ilvl="0" w:tentative="1">
      <w:start w:val="1"/>
      <w:numFmt w:val="decimal"/>
      <w:lvlText w:val="%1."/>
      <w:lvlJc w:val="left"/>
      <w:pPr>
        <w:ind w:left="780" w:hanging="420"/>
      </w:p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8665596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paragraph" w:styleId="3">
    <w:name w:val="Plain Text"/>
    <w:basedOn w:val="1"/>
    <w:semiHidden/>
    <w:unhideWhenUsed/>
    <w:uiPriority w:val="99"/>
    <w:rPr>
      <w:rFonts w:ascii="宋体" w:hAnsi="Courier New"/>
    </w:rPr>
  </w:style>
  <w:style w:type="paragraph" w:styleId="4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02"/>
    <w:basedOn w:val="2"/>
    <w:qFormat/>
    <w:uiPriority w:val="0"/>
    <w:pPr>
      <w:overflowPunct w:val="0"/>
      <w:topLinePunct w:val="1"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  <w:jc w:val="center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7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439</Words>
  <Characters>2503</Characters>
  <Lines>20</Lines>
  <Paragraphs>5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2015-01-06T07:53:00Z</dcterms:created>
  <dc:creator>DELL-N4050</dc:creator>
  <cp:lastModifiedBy>Administrator</cp:lastModifiedBy>
  <cp:lastPrinted>2015-04-03T05:19:00Z</cp:lastPrinted>
  <dcterms:modified xsi:type="dcterms:W3CDTF">2016-05-30T14:07:56Z</dcterms:modified>
  <dc:title>JZLX10 变电站工程监理初检报告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