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C3" w:rsidRDefault="008501C3" w:rsidP="00B456B1">
      <w:pPr>
        <w:widowControl/>
        <w:spacing w:beforeLines="300" w:before="936" w:afterLines="350" w:after="1092"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中</w:t>
      </w:r>
      <w:proofErr w:type="gramStart"/>
      <w:r>
        <w:rPr>
          <w:rFonts w:asciiTheme="minorEastAsia" w:eastAsiaTheme="minorEastAsia" w:hAnsiTheme="minorEastAsia" w:hint="eastAsia"/>
          <w:kern w:val="0"/>
          <w:sz w:val="40"/>
          <w:szCs w:val="44"/>
        </w:rPr>
        <w:t>利腾晖吐鲁番</w:t>
      </w:r>
      <w:proofErr w:type="gramEnd"/>
      <w:r>
        <w:rPr>
          <w:rFonts w:asciiTheme="minorEastAsia" w:eastAsiaTheme="minorEastAsia" w:hAnsiTheme="minorEastAsia" w:hint="eastAsia"/>
          <w:kern w:val="0"/>
          <w:sz w:val="40"/>
          <w:szCs w:val="44"/>
        </w:rPr>
        <w:t>三期20MWp光伏并网发电项目</w:t>
      </w:r>
    </w:p>
    <w:p w:rsidR="008501C3" w:rsidRPr="00B456B1" w:rsidRDefault="00B456B1" w:rsidP="00B456B1">
      <w:pPr>
        <w:widowControl/>
        <w:spacing w:beforeLines="1350" w:before="4212"/>
        <w:jc w:val="center"/>
        <w:rPr>
          <w:rFonts w:ascii="黑体" w:eastAsia="黑体" w:hAnsi="黑体"/>
          <w:kern w:val="0"/>
          <w:sz w:val="56"/>
          <w:szCs w:val="32"/>
        </w:rPr>
      </w:pPr>
      <w:r w:rsidRPr="00B456B1">
        <w:rPr>
          <w:rFonts w:ascii="黑体" w:eastAsia="黑体" w:hAnsi="黑体" w:hint="eastAsia"/>
          <w:kern w:val="0"/>
          <w:sz w:val="56"/>
          <w:szCs w:val="32"/>
        </w:rPr>
        <w:t>工程质量评估报告</w:t>
      </w:r>
    </w:p>
    <w:p w:rsidR="00B456B1" w:rsidRDefault="00B456B1" w:rsidP="00B456B1">
      <w:pPr>
        <w:widowControl/>
        <w:jc w:val="center"/>
        <w:rPr>
          <w:rFonts w:ascii="宋体" w:hAnsi="宋体"/>
          <w:kern w:val="0"/>
          <w:sz w:val="32"/>
          <w:szCs w:val="32"/>
        </w:rPr>
      </w:pPr>
      <w:r>
        <w:rPr>
          <w:rFonts w:ascii="宋体" w:hAnsi="宋体" w:hint="eastAsia"/>
          <w:kern w:val="0"/>
          <w:sz w:val="32"/>
          <w:szCs w:val="32"/>
        </w:rPr>
        <w:t>（</w:t>
      </w:r>
      <w:r w:rsidR="00CD24A4">
        <w:rPr>
          <w:rFonts w:ascii="宋体" w:hAnsi="宋体" w:hint="eastAsia"/>
          <w:kern w:val="0"/>
          <w:sz w:val="32"/>
          <w:szCs w:val="32"/>
        </w:rPr>
        <w:t>架空线</w:t>
      </w:r>
      <w:r>
        <w:rPr>
          <w:rFonts w:ascii="宋体" w:hAnsi="宋体" w:hint="eastAsia"/>
          <w:kern w:val="0"/>
          <w:sz w:val="32"/>
          <w:szCs w:val="32"/>
        </w:rPr>
        <w:t>工程）</w:t>
      </w:r>
    </w:p>
    <w:p w:rsidR="008501C3" w:rsidRDefault="008501C3" w:rsidP="00B456B1">
      <w:pPr>
        <w:widowControl/>
        <w:spacing w:beforeLines="1300" w:before="4056"/>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rPr>
        <w:t>中</w:t>
      </w:r>
      <w:proofErr w:type="gramStart"/>
      <w:r>
        <w:rPr>
          <w:rFonts w:ascii="楷体_GB2312" w:eastAsia="楷体_GB2312" w:hint="eastAsia"/>
          <w:kern w:val="0"/>
          <w:sz w:val="28"/>
          <w:szCs w:val="28"/>
        </w:rPr>
        <w:t>利腾晖吐鲁番</w:t>
      </w:r>
      <w:proofErr w:type="gramEnd"/>
      <w:r>
        <w:rPr>
          <w:rFonts w:ascii="楷体_GB2312" w:eastAsia="楷体_GB2312" w:hint="eastAsia"/>
          <w:kern w:val="0"/>
          <w:sz w:val="28"/>
          <w:szCs w:val="28"/>
        </w:rPr>
        <w:t>三期20MWp光伏并网发电项目监理部</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u w:val="single"/>
        </w:rPr>
        <w:t>201</w:t>
      </w:r>
      <w:r w:rsidR="001F5F92">
        <w:rPr>
          <w:rFonts w:ascii="楷体_GB2312" w:eastAsia="楷体_GB2312" w:hint="eastAsia"/>
          <w:kern w:val="0"/>
          <w:sz w:val="28"/>
          <w:szCs w:val="28"/>
          <w:u w:val="single"/>
        </w:rPr>
        <w:t>4</w:t>
      </w:r>
      <w:r>
        <w:rPr>
          <w:rFonts w:ascii="楷体_GB2312" w:eastAsia="楷体_GB2312" w:hint="eastAsia"/>
          <w:kern w:val="0"/>
          <w:sz w:val="28"/>
          <w:szCs w:val="28"/>
        </w:rPr>
        <w:t>年</w:t>
      </w:r>
      <w:r w:rsidR="001F5F92">
        <w:rPr>
          <w:rFonts w:ascii="楷体_GB2312" w:eastAsia="楷体_GB2312" w:hint="eastAsia"/>
          <w:kern w:val="0"/>
          <w:sz w:val="28"/>
          <w:szCs w:val="28"/>
        </w:rPr>
        <w:t>1</w:t>
      </w:r>
      <w:bookmarkStart w:id="0" w:name="_GoBack"/>
      <w:bookmarkEnd w:id="0"/>
      <w:r w:rsidR="00CD24A4">
        <w:rPr>
          <w:rFonts w:ascii="楷体_GB2312" w:eastAsia="楷体_GB2312" w:hint="eastAsia"/>
          <w:kern w:val="0"/>
          <w:sz w:val="28"/>
          <w:szCs w:val="28"/>
          <w:u w:val="single"/>
        </w:rPr>
        <w:t>2</w:t>
      </w:r>
      <w:r>
        <w:rPr>
          <w:rFonts w:ascii="楷体_GB2312" w:eastAsia="楷体_GB2312" w:hint="eastAsia"/>
          <w:kern w:val="0"/>
          <w:sz w:val="28"/>
          <w:szCs w:val="28"/>
        </w:rPr>
        <w:t>月</w:t>
      </w:r>
    </w:p>
    <w:p w:rsidR="00293DAC" w:rsidRDefault="008501C3" w:rsidP="00293DAC">
      <w:pPr>
        <w:widowControl/>
        <w:spacing w:beforeLines="700" w:before="2184"/>
        <w:jc w:val="center"/>
        <w:rPr>
          <w:rFonts w:ascii="宋体" w:hAnsi="宋体"/>
          <w:kern w:val="0"/>
          <w:sz w:val="28"/>
          <w:szCs w:val="28"/>
        </w:rPr>
      </w:pPr>
      <w:r>
        <w:br w:type="page"/>
      </w:r>
      <w:r w:rsidR="00293DAC">
        <w:rPr>
          <w:rFonts w:ascii="宋体" w:hAnsi="宋体" w:hint="eastAsia"/>
          <w:kern w:val="0"/>
          <w:sz w:val="28"/>
          <w:szCs w:val="28"/>
        </w:rPr>
        <w:lastRenderedPageBreak/>
        <w:t xml:space="preserve">批准：             </w:t>
      </w:r>
      <w:r w:rsidR="00293DAC">
        <w:rPr>
          <w:rFonts w:ascii="宋体" w:hAnsi="宋体" w:hint="eastAsia"/>
          <w:kern w:val="0"/>
          <w:sz w:val="28"/>
          <w:szCs w:val="28"/>
          <w:u w:val="single"/>
        </w:rPr>
        <w:t xml:space="preserve">    </w:t>
      </w:r>
      <w:r w:rsidR="00293DAC">
        <w:rPr>
          <w:rFonts w:ascii="宋体" w:hAnsi="宋体" w:hint="eastAsia"/>
          <w:kern w:val="0"/>
          <w:sz w:val="28"/>
          <w:szCs w:val="28"/>
        </w:rPr>
        <w:t>年</w:t>
      </w:r>
      <w:r w:rsidR="00293DAC">
        <w:rPr>
          <w:rFonts w:ascii="宋体" w:hAnsi="宋体" w:hint="eastAsia"/>
          <w:kern w:val="0"/>
          <w:sz w:val="28"/>
          <w:szCs w:val="28"/>
          <w:u w:val="single"/>
        </w:rPr>
        <w:t xml:space="preserve">    </w:t>
      </w:r>
      <w:r w:rsidR="00293DAC">
        <w:rPr>
          <w:rFonts w:ascii="宋体" w:hAnsi="宋体" w:hint="eastAsia"/>
          <w:kern w:val="0"/>
          <w:sz w:val="28"/>
          <w:szCs w:val="28"/>
        </w:rPr>
        <w:t>月</w:t>
      </w:r>
      <w:r w:rsidR="00293DAC">
        <w:rPr>
          <w:rFonts w:ascii="宋体" w:hAnsi="宋体" w:hint="eastAsia"/>
          <w:kern w:val="0"/>
          <w:sz w:val="28"/>
          <w:szCs w:val="28"/>
          <w:u w:val="single"/>
        </w:rPr>
        <w:t xml:space="preserve">   </w:t>
      </w:r>
      <w:r w:rsidR="00293DAC">
        <w:rPr>
          <w:rFonts w:ascii="宋体" w:hAnsi="宋体" w:hint="eastAsia"/>
          <w:kern w:val="0"/>
          <w:sz w:val="28"/>
          <w:szCs w:val="28"/>
        </w:rPr>
        <w:t>日</w:t>
      </w:r>
    </w:p>
    <w:p w:rsidR="00293DAC" w:rsidRDefault="00293DAC" w:rsidP="00293DAC">
      <w:pPr>
        <w:widowControl/>
        <w:topLinePunct/>
        <w:jc w:val="center"/>
        <w:rPr>
          <w:rFonts w:ascii="宋体" w:hAnsi="宋体"/>
          <w:kern w:val="0"/>
          <w:sz w:val="28"/>
          <w:szCs w:val="28"/>
        </w:rPr>
      </w:pPr>
      <w:r>
        <w:rPr>
          <w:noProof/>
        </w:rPr>
        <w:drawing>
          <wp:anchor distT="0" distB="0" distL="114300" distR="114300" simplePos="0" relativeHeight="251664384" behindDoc="1" locked="0" layoutInCell="1" allowOverlap="1" wp14:anchorId="68465C16" wp14:editId="6E47A5FC">
            <wp:simplePos x="0" y="0"/>
            <wp:positionH relativeFrom="column">
              <wp:posOffset>1304925</wp:posOffset>
            </wp:positionH>
            <wp:positionV relativeFrom="paragraph">
              <wp:posOffset>302895</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DB7A743" wp14:editId="199892C7">
            <wp:simplePos x="0" y="0"/>
            <wp:positionH relativeFrom="column">
              <wp:posOffset>1304925</wp:posOffset>
            </wp:positionH>
            <wp:positionV relativeFrom="paragraph">
              <wp:posOffset>-582930</wp:posOffset>
            </wp:positionV>
            <wp:extent cx="1047750" cy="64967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47750" cy="649673"/>
                    </a:xfrm>
                    <a:prstGeom prst="rect">
                      <a:avLst/>
                    </a:prstGeom>
                  </pic:spPr>
                </pic:pic>
              </a:graphicData>
            </a:graphic>
            <wp14:sizeRelH relativeFrom="page">
              <wp14:pctWidth>0</wp14:pctWidth>
            </wp14:sizeRelH>
            <wp14:sizeRelV relativeFrom="page">
              <wp14:pctHeight>0</wp14:pctHeight>
            </wp14:sizeRelV>
          </wp:anchor>
        </w:drawing>
      </w:r>
    </w:p>
    <w:p w:rsidR="00293DAC" w:rsidRDefault="00293DAC" w:rsidP="00293DAC">
      <w:pPr>
        <w:widowControl/>
        <w:topLinePunct/>
        <w:jc w:val="center"/>
        <w:rPr>
          <w:rFonts w:ascii="宋体" w:hAnsi="宋体"/>
          <w:kern w:val="0"/>
          <w:sz w:val="28"/>
          <w:szCs w:val="28"/>
        </w:rPr>
      </w:pPr>
      <w:r>
        <w:rPr>
          <w:rFonts w:ascii="宋体" w:hAnsi="宋体" w:hint="eastAsia"/>
          <w:kern w:val="0"/>
          <w:sz w:val="28"/>
          <w:szCs w:val="28"/>
        </w:rPr>
        <w:t xml:space="preserve">审核：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293DAC" w:rsidRDefault="00293DAC" w:rsidP="00293DAC">
      <w:pPr>
        <w:widowControl/>
        <w:jc w:val="center"/>
        <w:rPr>
          <w:rFonts w:ascii="宋体" w:hAnsi="宋体"/>
          <w:kern w:val="0"/>
          <w:sz w:val="28"/>
          <w:szCs w:val="28"/>
        </w:rPr>
      </w:pPr>
      <w:r>
        <w:rPr>
          <w:rFonts w:hint="eastAsia"/>
          <w:noProof/>
          <w:sz w:val="36"/>
        </w:rPr>
        <w:drawing>
          <wp:anchor distT="0" distB="0" distL="114300" distR="114300" simplePos="0" relativeHeight="251662336" behindDoc="1" locked="0" layoutInCell="1" allowOverlap="1" wp14:anchorId="0D43A32E" wp14:editId="76D7C8BD">
            <wp:simplePos x="0" y="0"/>
            <wp:positionH relativeFrom="column">
              <wp:posOffset>1377950</wp:posOffset>
            </wp:positionH>
            <wp:positionV relativeFrom="paragraph">
              <wp:posOffset>305435</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DAC" w:rsidRDefault="00293DAC" w:rsidP="00293DAC">
      <w:pPr>
        <w:widowControl/>
        <w:topLinePunct/>
        <w:jc w:val="center"/>
        <w:rPr>
          <w:rFonts w:ascii="宋体" w:hAnsi="宋体"/>
          <w:kern w:val="0"/>
          <w:sz w:val="28"/>
          <w:szCs w:val="28"/>
        </w:rPr>
      </w:pPr>
      <w:r>
        <w:rPr>
          <w:rFonts w:ascii="宋体" w:hAnsi="宋体" w:hint="eastAsia"/>
          <w:kern w:val="0"/>
          <w:sz w:val="28"/>
          <w:szCs w:val="28"/>
        </w:rPr>
        <w:t xml:space="preserve">编写：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Pr="00293DAC" w:rsidRDefault="008501C3" w:rsidP="00293DAC">
      <w:pPr>
        <w:widowControl/>
        <w:spacing w:beforeLines="700" w:before="2184"/>
        <w:jc w:val="center"/>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sectPr w:rsidR="008501C3">
          <w:pgSz w:w="11906" w:h="16838"/>
          <w:pgMar w:top="1440" w:right="1800" w:bottom="1440" w:left="1800" w:header="851" w:footer="992" w:gutter="0"/>
          <w:cols w:space="425"/>
          <w:docGrid w:type="lines" w:linePitch="312"/>
        </w:sectPr>
      </w:pPr>
    </w:p>
    <w:p w:rsidR="008501C3" w:rsidRDefault="008501C3" w:rsidP="008501C3">
      <w:pPr>
        <w:widowControl/>
        <w:topLinePunct/>
        <w:autoSpaceDN w:val="0"/>
        <w:rPr>
          <w:rFonts w:ascii="黑体" w:eastAsia="黑体" w:hAnsi="Arial" w:cs="Arial"/>
          <w:b/>
          <w:bCs/>
          <w:color w:val="000000"/>
          <w:kern w:val="0"/>
          <w:szCs w:val="21"/>
        </w:rPr>
      </w:pPr>
    </w:p>
    <w:p w:rsidR="009F48ED" w:rsidRDefault="009F48ED"/>
    <w:p w:rsidR="008501C3" w:rsidRDefault="008501C3" w:rsidP="008501C3">
      <w:pPr>
        <w:widowControl/>
        <w:spacing w:line="440" w:lineRule="atLeast"/>
        <w:ind w:left="720" w:hanging="720"/>
        <w:rPr>
          <w:rFonts w:ascii="黑体" w:eastAsia="黑体" w:hAnsi="黑体" w:cs="黑体"/>
          <w:kern w:val="0"/>
          <w:sz w:val="28"/>
          <w:szCs w:val="28"/>
        </w:rPr>
        <w:sectPr w:rsidR="008501C3" w:rsidSect="008501C3">
          <w:type w:val="continuous"/>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765222821"/>
        <w:docPartObj>
          <w:docPartGallery w:val="Table of Contents"/>
          <w:docPartUnique/>
        </w:docPartObj>
      </w:sdtPr>
      <w:sdtEndPr/>
      <w:sdtContent>
        <w:p w:rsidR="00625BC5" w:rsidRPr="00625BC5" w:rsidRDefault="00625BC5" w:rsidP="00625BC5">
          <w:pPr>
            <w:pStyle w:val="TOC"/>
            <w:spacing w:afterLines="250" w:after="780"/>
            <w:jc w:val="center"/>
            <w:rPr>
              <w:color w:val="000000" w:themeColor="text1"/>
              <w:sz w:val="40"/>
            </w:rPr>
          </w:pPr>
          <w:r w:rsidRPr="00625BC5">
            <w:rPr>
              <w:color w:val="000000" w:themeColor="text1"/>
              <w:sz w:val="40"/>
              <w:lang w:val="zh-CN"/>
            </w:rPr>
            <w:t>目</w:t>
          </w:r>
          <w:r w:rsidRPr="00625BC5">
            <w:rPr>
              <w:rFonts w:hint="eastAsia"/>
              <w:color w:val="000000" w:themeColor="text1"/>
              <w:sz w:val="40"/>
              <w:lang w:val="zh-CN"/>
            </w:rPr>
            <w:t xml:space="preserve">  </w:t>
          </w:r>
          <w:r w:rsidRPr="00625BC5">
            <w:rPr>
              <w:color w:val="000000" w:themeColor="text1"/>
              <w:sz w:val="40"/>
              <w:lang w:val="zh-CN"/>
            </w:rPr>
            <w:t>录</w:t>
          </w:r>
        </w:p>
        <w:p w:rsidR="00B456B1" w:rsidRPr="00B456B1" w:rsidRDefault="00625BC5"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8316941" w:history="1">
            <w:r w:rsidR="00B456B1" w:rsidRPr="00B456B1">
              <w:rPr>
                <w:rStyle w:val="a8"/>
                <w:rFonts w:hint="eastAsia"/>
                <w:noProof/>
                <w:sz w:val="22"/>
              </w:rPr>
              <w:t>一、工程概况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_Toc408316941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2" w:history="1">
            <w:r w:rsidR="00B456B1" w:rsidRPr="00B456B1">
              <w:rPr>
                <w:rStyle w:val="a8"/>
                <w:rFonts w:hint="eastAsia"/>
                <w:noProof/>
                <w:sz w:val="22"/>
              </w:rPr>
              <w:t>二、参建单位：</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_Toc408316942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3" w:history="1">
            <w:r w:rsidR="00B456B1" w:rsidRPr="00B456B1">
              <w:rPr>
                <w:rStyle w:val="a8"/>
                <w:rFonts w:hint="eastAsia"/>
                <w:noProof/>
                <w:sz w:val="22"/>
              </w:rPr>
              <w:t>三、</w:t>
            </w:r>
            <w:r w:rsidR="00B456B1" w:rsidRPr="00B456B1">
              <w:rPr>
                <w:rStyle w:val="a8"/>
                <w:rFonts w:ascii="宋体" w:hAnsi="宋体" w:hint="eastAsia"/>
                <w:noProof/>
                <w:kern w:val="21"/>
                <w:sz w:val="22"/>
              </w:rPr>
              <w:t>质量评估范围</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_Toc408316943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4" w:history="1">
            <w:r w:rsidR="00B456B1" w:rsidRPr="00B456B1">
              <w:rPr>
                <w:rStyle w:val="a8"/>
                <w:rFonts w:hint="eastAsia"/>
                <w:noProof/>
                <w:sz w:val="22"/>
              </w:rPr>
              <w:t>四、质量评估依据</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_Toc408316944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5" w:history="1">
            <w:r w:rsidR="00B456B1" w:rsidRPr="00B456B1">
              <w:rPr>
                <w:rStyle w:val="a8"/>
                <w:rFonts w:hint="eastAsia"/>
                <w:noProof/>
                <w:sz w:val="22"/>
              </w:rPr>
              <w:t>五、施工过程质量控制综述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_Toc408316945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6" w:history="1">
            <w:r w:rsidR="00B456B1" w:rsidRPr="00B456B1">
              <w:rPr>
                <w:rStyle w:val="a8"/>
                <w:rFonts w:hint="eastAsia"/>
                <w:noProof/>
                <w:sz w:val="22"/>
              </w:rPr>
              <w:t>六、工程质量监理控制概述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_Toc408316946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P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7" w:history="1">
            <w:r w:rsidR="00B456B1" w:rsidRPr="00B456B1">
              <w:rPr>
                <w:rStyle w:val="a8"/>
                <w:rFonts w:hint="eastAsia"/>
                <w:noProof/>
                <w:sz w:val="22"/>
              </w:rPr>
              <w:t>七、检验批、分项、分部工程和单位工程质量核查情况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_Toc408316947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Default="00906AE3"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Cs w:val="22"/>
            </w:rPr>
          </w:pPr>
          <w:hyperlink w:anchor="_Toc408316948" w:history="1">
            <w:r w:rsidR="00B456B1" w:rsidRPr="00B456B1">
              <w:rPr>
                <w:rStyle w:val="a8"/>
                <w:rFonts w:hint="eastAsia"/>
                <w:noProof/>
                <w:sz w:val="22"/>
              </w:rPr>
              <w:t>八、</w:t>
            </w:r>
            <w:r w:rsidR="00B456B1" w:rsidRPr="00B456B1">
              <w:rPr>
                <w:rStyle w:val="a8"/>
                <w:rFonts w:ascii="宋体" w:hAnsi="宋体" w:hint="eastAsia"/>
                <w:noProof/>
                <w:kern w:val="21"/>
                <w:sz w:val="22"/>
              </w:rPr>
              <w:t>工程质量评估结论</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_Toc408316948 \h </w:instrText>
            </w:r>
            <w:r w:rsidR="00B456B1" w:rsidRPr="00B456B1">
              <w:rPr>
                <w:noProof/>
                <w:webHidden/>
                <w:sz w:val="22"/>
              </w:rPr>
            </w:r>
            <w:r w:rsidR="00B456B1" w:rsidRPr="00B456B1">
              <w:rPr>
                <w:noProof/>
                <w:webHidden/>
                <w:sz w:val="22"/>
              </w:rPr>
              <w:fldChar w:fldCharType="separate"/>
            </w:r>
            <w:r w:rsidR="006A10E3">
              <w:rPr>
                <w:noProof/>
                <w:webHidden/>
                <w:sz w:val="22"/>
              </w:rPr>
              <w:t>6</w:t>
            </w:r>
            <w:r w:rsidR="00B456B1" w:rsidRPr="00B456B1">
              <w:rPr>
                <w:noProof/>
                <w:webHidden/>
                <w:sz w:val="22"/>
              </w:rPr>
              <w:fldChar w:fldCharType="end"/>
            </w:r>
          </w:hyperlink>
        </w:p>
        <w:p w:rsidR="00625BC5" w:rsidRDefault="00625BC5">
          <w:r>
            <w:rPr>
              <w:b/>
              <w:bCs/>
              <w:lang w:val="zh-CN"/>
            </w:rPr>
            <w:fldChar w:fldCharType="end"/>
          </w:r>
        </w:p>
      </w:sdtContent>
    </w:sdt>
    <w:p w:rsidR="00625BC5" w:rsidRDefault="00625BC5">
      <w:pPr>
        <w:widowControl/>
        <w:jc w:val="left"/>
        <w:rPr>
          <w:b/>
          <w:bCs/>
          <w:kern w:val="44"/>
          <w:sz w:val="32"/>
          <w:szCs w:val="44"/>
        </w:rPr>
      </w:pPr>
      <w:r>
        <w:br w:type="page"/>
      </w:r>
    </w:p>
    <w:p w:rsidR="008501C3" w:rsidRDefault="008501C3" w:rsidP="00B52931">
      <w:pPr>
        <w:pStyle w:val="1"/>
      </w:pPr>
      <w:bookmarkStart w:id="1" w:name="_Toc408316941"/>
      <w:r>
        <w:rPr>
          <w:rFonts w:hint="eastAsia"/>
        </w:rPr>
        <w:lastRenderedPageBreak/>
        <w:t>一、工程概况</w:t>
      </w:r>
      <w:bookmarkEnd w:id="1"/>
    </w:p>
    <w:p w:rsidR="00CD24A4" w:rsidRPr="00CD24A4" w:rsidRDefault="00CD24A4" w:rsidP="00CD24A4">
      <w:pPr>
        <w:spacing w:line="360" w:lineRule="auto"/>
        <w:ind w:leftChars="50" w:left="105" w:rightChars="50" w:right="105" w:firstLineChars="200" w:firstLine="480"/>
        <w:rPr>
          <w:rFonts w:asciiTheme="minorEastAsia" w:hAnsiTheme="minorEastAsia"/>
          <w:sz w:val="24"/>
          <w:szCs w:val="21"/>
        </w:rPr>
      </w:pPr>
      <w:r w:rsidRPr="00CD24A4">
        <w:rPr>
          <w:rFonts w:asciiTheme="minorEastAsia" w:hAnsiTheme="minorEastAsia" w:hint="eastAsia"/>
          <w:sz w:val="24"/>
          <w:szCs w:val="21"/>
        </w:rPr>
        <w:t>本电站并网点位于克朗沟110kV变电站。采用单回路供电，线路全长8.82km，电压等级35kV，其中电缆线长0.66km，架空线长8.16km。架空线采用LGJ240/30型钢芯铝绞线，进出线均采用电缆，电缆型号为ZR-YJV62-26/35-1×300型。全线架设单地线，采用OPGW（16芯）复合光缆，GJ-50型钢绞线仅在地线单、双变换时配合使用，电缆段通讯采用ADSS（16芯）复合光缆，随电缆沟敷设。全线杆塔材质选用水泥电杆和铁塔两种，其中水泥杆塔27个，铁塔28个。</w:t>
      </w:r>
    </w:p>
    <w:p w:rsidR="00B456B1" w:rsidRPr="00CD24A4" w:rsidRDefault="00CD24A4" w:rsidP="00CD24A4">
      <w:pPr>
        <w:spacing w:line="360" w:lineRule="auto"/>
        <w:ind w:firstLineChars="200" w:firstLine="480"/>
        <w:jc w:val="left"/>
        <w:rPr>
          <w:rFonts w:asciiTheme="minorEastAsia" w:eastAsiaTheme="minorEastAsia" w:hAnsiTheme="minorEastAsia"/>
          <w:sz w:val="32"/>
        </w:rPr>
      </w:pPr>
      <w:r w:rsidRPr="00CD24A4">
        <w:rPr>
          <w:rFonts w:asciiTheme="minorEastAsia" w:hAnsiTheme="minorEastAsia" w:hint="eastAsia"/>
          <w:sz w:val="24"/>
          <w:szCs w:val="21"/>
        </w:rPr>
        <w:t>2014年12月31日，临时T接</w:t>
      </w:r>
      <w:proofErr w:type="gramStart"/>
      <w:r w:rsidRPr="00CD24A4">
        <w:rPr>
          <w:rFonts w:asciiTheme="minorEastAsia" w:hAnsiTheme="minorEastAsia" w:hint="eastAsia"/>
          <w:sz w:val="24"/>
          <w:szCs w:val="21"/>
        </w:rPr>
        <w:t>萄</w:t>
      </w:r>
      <w:proofErr w:type="gramEnd"/>
      <w:r w:rsidRPr="00CD24A4">
        <w:rPr>
          <w:rFonts w:asciiTheme="minorEastAsia" w:hAnsiTheme="minorEastAsia" w:hint="eastAsia"/>
          <w:sz w:val="24"/>
          <w:szCs w:val="21"/>
        </w:rPr>
        <w:t>煤线（35Kv民用电）实现并网发电1次，后于2015年1月4日拆除线路，于2015年2月8日完成全线施工，调试完成并顺利实现并网发电。</w:t>
      </w:r>
    </w:p>
    <w:p w:rsidR="00466262" w:rsidRDefault="00DB793E" w:rsidP="00CD24A4">
      <w:pPr>
        <w:pStyle w:val="1"/>
      </w:pPr>
      <w:bookmarkStart w:id="2" w:name="_Toc408316942"/>
      <w:r>
        <w:rPr>
          <w:rFonts w:hint="eastAsia"/>
        </w:rPr>
        <w:t>二、参建</w:t>
      </w:r>
      <w:r w:rsidR="00466262">
        <w:rPr>
          <w:rFonts w:hint="eastAsia"/>
        </w:rPr>
        <w:t>单位：</w:t>
      </w:r>
      <w:bookmarkEnd w:id="2"/>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建设单位：吐鲁番昱泽光伏发电有限公司</w:t>
      </w:r>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r w:rsidR="00CD24A4">
        <w:rPr>
          <w:rFonts w:asciiTheme="minorEastAsia" w:eastAsiaTheme="minorEastAsia" w:hAnsiTheme="minorEastAsia" w:hint="eastAsia"/>
          <w:sz w:val="24"/>
          <w:szCs w:val="28"/>
        </w:rPr>
        <w:t>沈阳电业局电气安装公司</w:t>
      </w:r>
    </w:p>
    <w:p w:rsidR="008501C3" w:rsidRDefault="00466262" w:rsidP="00CD24A4">
      <w:pPr>
        <w:pStyle w:val="1"/>
        <w:rPr>
          <w:rFonts w:ascii="宋体" w:hAnsi="宋体"/>
          <w:color w:val="000000"/>
          <w:kern w:val="21"/>
          <w:szCs w:val="21"/>
        </w:rPr>
      </w:pPr>
      <w:bookmarkStart w:id="3" w:name="_Toc408316943"/>
      <w:r>
        <w:rPr>
          <w:rFonts w:hint="eastAsia"/>
        </w:rPr>
        <w:t>三</w:t>
      </w:r>
      <w:r w:rsidR="008501C3">
        <w:rPr>
          <w:rFonts w:hint="eastAsia"/>
        </w:rPr>
        <w:t>、</w:t>
      </w:r>
      <w:r w:rsidR="00B52931">
        <w:rPr>
          <w:rFonts w:ascii="宋体" w:hAnsi="宋体"/>
          <w:color w:val="000000"/>
          <w:kern w:val="21"/>
          <w:szCs w:val="21"/>
        </w:rPr>
        <w:t>质量评估范围</w:t>
      </w:r>
      <w:bookmarkEnd w:id="3"/>
    </w:p>
    <w:p w:rsidR="00B52931" w:rsidRPr="00B52931" w:rsidRDefault="00B52931" w:rsidP="00CD24A4">
      <w:pPr>
        <w:spacing w:line="360" w:lineRule="auto"/>
        <w:ind w:firstLineChars="200" w:firstLine="480"/>
        <w:jc w:val="left"/>
        <w:rPr>
          <w:sz w:val="24"/>
        </w:rPr>
      </w:pPr>
      <w:r w:rsidRPr="00B52931">
        <w:rPr>
          <w:rFonts w:hint="eastAsia"/>
          <w:sz w:val="24"/>
        </w:rPr>
        <w:t>根据合同约定条款，我公司承担本项目以下工程施工全过程质量控制工作：</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基础工程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杆塔组立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铁塔组立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架线施工</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光纤施工</w:t>
      </w:r>
    </w:p>
    <w:p w:rsidR="00CD24A4" w:rsidRDefault="00CD24A4" w:rsidP="00CD24A4">
      <w:pPr>
        <w:pStyle w:val="a5"/>
        <w:numPr>
          <w:ilvl w:val="0"/>
          <w:numId w:val="3"/>
        </w:numPr>
        <w:spacing w:line="360" w:lineRule="auto"/>
        <w:ind w:firstLineChars="0"/>
        <w:rPr>
          <w:sz w:val="24"/>
        </w:rPr>
      </w:pPr>
      <w:r w:rsidRPr="00CD24A4">
        <w:rPr>
          <w:rFonts w:hint="eastAsia"/>
          <w:sz w:val="24"/>
        </w:rPr>
        <w:t>接地施工</w:t>
      </w:r>
    </w:p>
    <w:p w:rsidR="00CD24A4" w:rsidRPr="00CD24A4" w:rsidRDefault="00CD24A4" w:rsidP="00CD24A4">
      <w:pPr>
        <w:pStyle w:val="a5"/>
        <w:numPr>
          <w:ilvl w:val="0"/>
          <w:numId w:val="3"/>
        </w:numPr>
        <w:spacing w:line="360" w:lineRule="auto"/>
        <w:ind w:firstLineChars="0"/>
        <w:rPr>
          <w:sz w:val="24"/>
        </w:rPr>
      </w:pPr>
      <w:r>
        <w:rPr>
          <w:rFonts w:hint="eastAsia"/>
          <w:sz w:val="24"/>
        </w:rPr>
        <w:t>电气试验</w:t>
      </w:r>
    </w:p>
    <w:p w:rsidR="00B52931" w:rsidRPr="00B52931" w:rsidRDefault="00466262" w:rsidP="00CD24A4">
      <w:pPr>
        <w:pStyle w:val="1"/>
      </w:pPr>
      <w:bookmarkStart w:id="4" w:name="_Toc408316944"/>
      <w:r>
        <w:rPr>
          <w:rFonts w:hint="eastAsia"/>
        </w:rPr>
        <w:t>四</w:t>
      </w:r>
      <w:r w:rsidR="00B52931" w:rsidRPr="00B52931">
        <w:rPr>
          <w:rFonts w:hint="eastAsia"/>
        </w:rPr>
        <w:t>、</w:t>
      </w:r>
      <w:r w:rsidR="00B52931" w:rsidRPr="00B52931">
        <w:t>质量评估依据</w:t>
      </w:r>
      <w:bookmarkEnd w:id="4"/>
    </w:p>
    <w:p w:rsidR="00B52931" w:rsidRDefault="00B52931" w:rsidP="00CD24A4">
      <w:pPr>
        <w:spacing w:line="36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B52931" w:rsidRDefault="00B52931" w:rsidP="00CD24A4">
      <w:pPr>
        <w:spacing w:line="360" w:lineRule="auto"/>
        <w:ind w:firstLine="480"/>
        <w:rPr>
          <w:sz w:val="24"/>
        </w:rPr>
      </w:pPr>
      <w:r>
        <w:rPr>
          <w:rFonts w:hint="eastAsia"/>
          <w:sz w:val="24"/>
        </w:rPr>
        <w:lastRenderedPageBreak/>
        <w:t>评估规范、条文为：</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工程建设相关的法律、法规及项目批审文件；</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建设工程项目有关的标准、规范</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《混凝土结构工程施工质量验收规范》</w:t>
      </w:r>
      <w:r w:rsidRPr="00CD24A4">
        <w:rPr>
          <w:rFonts w:hint="eastAsia"/>
          <w:sz w:val="22"/>
        </w:rPr>
        <w:t>(GB 50204-2002)2011</w:t>
      </w:r>
      <w:r w:rsidRPr="00CD24A4">
        <w:rPr>
          <w:rFonts w:hint="eastAsia"/>
          <w:sz w:val="22"/>
        </w:rPr>
        <w:t>版；</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《混凝土强度检验及评定标准》</w:t>
      </w:r>
      <w:r w:rsidRPr="00CD24A4">
        <w:rPr>
          <w:rFonts w:hint="eastAsia"/>
          <w:sz w:val="22"/>
        </w:rPr>
        <w:t>(GB/T50107-2010)</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w:t>
      </w:r>
      <w:r w:rsidRPr="00CD24A4">
        <w:rPr>
          <w:rFonts w:hint="eastAsia"/>
          <w:sz w:val="22"/>
        </w:rPr>
        <w:t>110</w:t>
      </w:r>
      <w:r w:rsidRPr="00CD24A4">
        <w:rPr>
          <w:rFonts w:hint="eastAsia"/>
          <w:sz w:val="22"/>
        </w:rPr>
        <w:t>～</w:t>
      </w:r>
      <w:r w:rsidRPr="00CD24A4">
        <w:rPr>
          <w:rFonts w:hint="eastAsia"/>
          <w:sz w:val="22"/>
        </w:rPr>
        <w:t>500kV</w:t>
      </w:r>
      <w:r w:rsidRPr="00CD24A4">
        <w:rPr>
          <w:rFonts w:hint="eastAsia"/>
          <w:sz w:val="22"/>
        </w:rPr>
        <w:t>架空电力线路施工及验收规范》（</w:t>
      </w:r>
      <w:r w:rsidRPr="00CD24A4">
        <w:rPr>
          <w:rFonts w:hint="eastAsia"/>
          <w:sz w:val="22"/>
        </w:rPr>
        <w:t>GB 50233-2005</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w:t>
      </w:r>
      <w:r w:rsidRPr="00CD24A4">
        <w:rPr>
          <w:rFonts w:hint="eastAsia"/>
          <w:sz w:val="22"/>
        </w:rPr>
        <w:t>110KV-500KV</w:t>
      </w:r>
      <w:r w:rsidRPr="00CD24A4">
        <w:rPr>
          <w:rFonts w:hint="eastAsia"/>
          <w:sz w:val="22"/>
        </w:rPr>
        <w:t>架空电力线路工程施工质量及评定规程》（</w:t>
      </w:r>
      <w:r w:rsidRPr="00CD24A4">
        <w:rPr>
          <w:rFonts w:hint="eastAsia"/>
          <w:sz w:val="22"/>
        </w:rPr>
        <w:t>DL/T 5168</w:t>
      </w:r>
      <w:r w:rsidRPr="00CD24A4">
        <w:rPr>
          <w:rFonts w:hint="eastAsia"/>
          <w:sz w:val="22"/>
        </w:rPr>
        <w:t>－</w:t>
      </w:r>
      <w:r w:rsidRPr="00CD24A4">
        <w:rPr>
          <w:rFonts w:hint="eastAsia"/>
          <w:sz w:val="22"/>
        </w:rPr>
        <w:t>2002</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《工程建设标准强制性条文》（电力工程部分）（</w:t>
      </w:r>
      <w:r w:rsidRPr="00CD24A4">
        <w:rPr>
          <w:rFonts w:hint="eastAsia"/>
          <w:sz w:val="22"/>
        </w:rPr>
        <w:t>2011</w:t>
      </w:r>
      <w:r w:rsidRPr="00CD24A4">
        <w:rPr>
          <w:rFonts w:hint="eastAsia"/>
          <w:sz w:val="22"/>
        </w:rPr>
        <w:t>年版）；</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《国家电网公司输变电工程建设监理管理办法》（国家电网基建【</w:t>
      </w:r>
      <w:r w:rsidRPr="00CD24A4">
        <w:rPr>
          <w:rFonts w:hint="eastAsia"/>
          <w:sz w:val="22"/>
        </w:rPr>
        <w:t>2012</w:t>
      </w:r>
      <w:r w:rsidRPr="00CD24A4">
        <w:rPr>
          <w:rFonts w:hint="eastAsia"/>
          <w:sz w:val="22"/>
        </w:rPr>
        <w:t>】</w:t>
      </w:r>
      <w:r w:rsidRPr="00CD24A4">
        <w:rPr>
          <w:rFonts w:hint="eastAsia"/>
          <w:sz w:val="22"/>
        </w:rPr>
        <w:t>1588</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《国家电网公司输变电工程安全文明施工标准化管理办法》（国家电网基建【</w:t>
      </w:r>
      <w:r w:rsidRPr="00CD24A4">
        <w:rPr>
          <w:rFonts w:hint="eastAsia"/>
          <w:sz w:val="22"/>
        </w:rPr>
        <w:t>2012</w:t>
      </w:r>
      <w:r w:rsidRPr="00CD24A4">
        <w:rPr>
          <w:rFonts w:hint="eastAsia"/>
          <w:sz w:val="22"/>
        </w:rPr>
        <w:t>】</w:t>
      </w:r>
      <w:r w:rsidRPr="00CD24A4">
        <w:rPr>
          <w:rFonts w:hint="eastAsia"/>
          <w:sz w:val="22"/>
        </w:rPr>
        <w:t>1377</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《国家电网公司输变电工程达标投产考核办法（</w:t>
      </w:r>
      <w:r w:rsidRPr="00CD24A4">
        <w:rPr>
          <w:rFonts w:hint="eastAsia"/>
          <w:sz w:val="22"/>
        </w:rPr>
        <w:t>2011</w:t>
      </w:r>
      <w:r w:rsidRPr="00CD24A4">
        <w:rPr>
          <w:rFonts w:hint="eastAsia"/>
          <w:sz w:val="22"/>
        </w:rPr>
        <w:t>版）》（国家电网基建【</w:t>
      </w:r>
      <w:r w:rsidRPr="00CD24A4">
        <w:rPr>
          <w:rFonts w:hint="eastAsia"/>
          <w:sz w:val="22"/>
        </w:rPr>
        <w:t>2011</w:t>
      </w:r>
      <w:r w:rsidRPr="00CD24A4">
        <w:rPr>
          <w:rFonts w:hint="eastAsia"/>
          <w:sz w:val="22"/>
        </w:rPr>
        <w:t>】</w:t>
      </w:r>
      <w:r w:rsidRPr="00CD24A4">
        <w:rPr>
          <w:rFonts w:hint="eastAsia"/>
          <w:sz w:val="22"/>
        </w:rPr>
        <w:t>146</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国家电网公司《关于利用数码照片资料加强输变电工程安全质量过程控制的通知》（基建安全【</w:t>
      </w:r>
      <w:r w:rsidRPr="00CD24A4">
        <w:rPr>
          <w:rFonts w:hint="eastAsia"/>
          <w:sz w:val="22"/>
        </w:rPr>
        <w:t>2007</w:t>
      </w:r>
      <w:r w:rsidRPr="00CD24A4">
        <w:rPr>
          <w:rFonts w:hint="eastAsia"/>
          <w:sz w:val="22"/>
        </w:rPr>
        <w:t>】</w:t>
      </w:r>
      <w:r w:rsidRPr="00CD24A4">
        <w:rPr>
          <w:rFonts w:hint="eastAsia"/>
          <w:sz w:val="22"/>
        </w:rPr>
        <w:t>25</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国家电网公司《关于强化输变电工程施工过程质理控制数码照片采集与管理的工作要求》（基建质量［</w:t>
      </w:r>
      <w:r w:rsidRPr="00CD24A4">
        <w:rPr>
          <w:rFonts w:hint="eastAsia"/>
          <w:sz w:val="22"/>
        </w:rPr>
        <w:t>2010</w:t>
      </w:r>
      <w:r w:rsidRPr="00CD24A4">
        <w:rPr>
          <w:rFonts w:hint="eastAsia"/>
          <w:sz w:val="22"/>
        </w:rPr>
        <w:t>］</w:t>
      </w:r>
      <w:r w:rsidRPr="00CD24A4">
        <w:rPr>
          <w:rFonts w:hint="eastAsia"/>
          <w:sz w:val="22"/>
        </w:rPr>
        <w:t>322</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《国家电网公司输变电工程标准工艺管理办法》（国家电网基建【</w:t>
      </w:r>
      <w:r w:rsidRPr="00CD24A4">
        <w:rPr>
          <w:rFonts w:hint="eastAsia"/>
          <w:sz w:val="22"/>
        </w:rPr>
        <w:t>2012</w:t>
      </w:r>
      <w:r w:rsidRPr="00CD24A4">
        <w:rPr>
          <w:rFonts w:hint="eastAsia"/>
          <w:sz w:val="22"/>
        </w:rPr>
        <w:t>】</w:t>
      </w:r>
      <w:r w:rsidRPr="00CD24A4">
        <w:rPr>
          <w:rFonts w:hint="eastAsia"/>
          <w:sz w:val="22"/>
        </w:rPr>
        <w:t>1588</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《国家电网公司输变电优质工程评定办法（</w:t>
      </w:r>
      <w:r w:rsidRPr="00CD24A4">
        <w:rPr>
          <w:rFonts w:hint="eastAsia"/>
          <w:sz w:val="22"/>
        </w:rPr>
        <w:t>2012</w:t>
      </w:r>
      <w:r w:rsidRPr="00CD24A4">
        <w:rPr>
          <w:rFonts w:hint="eastAsia"/>
          <w:sz w:val="22"/>
        </w:rPr>
        <w:t>年版）》（国家电网基建【</w:t>
      </w:r>
      <w:r w:rsidRPr="00CD24A4">
        <w:rPr>
          <w:rFonts w:hint="eastAsia"/>
          <w:sz w:val="22"/>
        </w:rPr>
        <w:t>2012</w:t>
      </w:r>
      <w:r w:rsidRPr="00CD24A4">
        <w:rPr>
          <w:rFonts w:hint="eastAsia"/>
          <w:sz w:val="22"/>
        </w:rPr>
        <w:t>】</w:t>
      </w:r>
      <w:r w:rsidRPr="00CD24A4">
        <w:rPr>
          <w:rFonts w:hint="eastAsia"/>
          <w:sz w:val="22"/>
        </w:rPr>
        <w:t>1432</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《国家电网公司输变电工程质量通病防治工作要求及技术措施》（国家电网基建〔</w:t>
      </w:r>
      <w:r w:rsidRPr="00CD24A4">
        <w:rPr>
          <w:rFonts w:hint="eastAsia"/>
          <w:sz w:val="22"/>
        </w:rPr>
        <w:t>2010</w:t>
      </w:r>
      <w:r w:rsidRPr="00CD24A4">
        <w:rPr>
          <w:rFonts w:hint="eastAsia"/>
          <w:sz w:val="22"/>
        </w:rPr>
        <w:t>〕</w:t>
      </w:r>
      <w:r w:rsidRPr="00CD24A4">
        <w:rPr>
          <w:rFonts w:hint="eastAsia"/>
          <w:sz w:val="22"/>
        </w:rPr>
        <w:t>19</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《国家电网公司电网建设项目档案管理办法（试行）》（国家电网办〔</w:t>
      </w:r>
      <w:r w:rsidRPr="00CD24A4">
        <w:rPr>
          <w:rFonts w:hint="eastAsia"/>
          <w:sz w:val="22"/>
        </w:rPr>
        <w:t>2010</w:t>
      </w:r>
      <w:r w:rsidRPr="00CD24A4">
        <w:rPr>
          <w:rFonts w:hint="eastAsia"/>
          <w:sz w:val="22"/>
        </w:rPr>
        <w:t>〕</w:t>
      </w:r>
      <w:r w:rsidRPr="00CD24A4">
        <w:rPr>
          <w:rFonts w:hint="eastAsia"/>
          <w:sz w:val="22"/>
        </w:rPr>
        <w:t>250</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设计文件、设计图纸等技术资料；</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建设工程相关的合同文件及工程过程文件。</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国家电网公司的有关规程、规定；</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其它与本工程有关的专业规范、验收规范。</w:t>
      </w:r>
    </w:p>
    <w:p w:rsidR="00B52931" w:rsidRDefault="00466262" w:rsidP="00CD24A4">
      <w:pPr>
        <w:pStyle w:val="1"/>
      </w:pPr>
      <w:bookmarkStart w:id="5" w:name="_Toc408316945"/>
      <w:r>
        <w:rPr>
          <w:rFonts w:hint="eastAsia"/>
        </w:rPr>
        <w:lastRenderedPageBreak/>
        <w:t>五</w:t>
      </w:r>
      <w:r w:rsidR="00B52931">
        <w:rPr>
          <w:rFonts w:hint="eastAsia"/>
        </w:rPr>
        <w:t>、</w:t>
      </w:r>
      <w:r w:rsidR="00B52931">
        <w:t>施工过程质量控制综述</w:t>
      </w:r>
      <w:bookmarkEnd w:id="5"/>
    </w:p>
    <w:p w:rsidR="00CD24A4" w:rsidRPr="00CD24A4"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施工单位施工项目部</w:t>
      </w:r>
      <w:r w:rsidRPr="00CD24A4">
        <w:rPr>
          <w:rFonts w:ascii="宋体" w:hAnsi="宋体" w:cs="宋体" w:hint="eastAsia"/>
          <w:kern w:val="0"/>
          <w:sz w:val="24"/>
          <w:szCs w:val="28"/>
        </w:rPr>
        <w:t>的</w:t>
      </w:r>
      <w:r w:rsidRPr="00CD24A4">
        <w:rPr>
          <w:rFonts w:ascii="宋体" w:hAnsi="宋体" w:cs="宋体"/>
          <w:kern w:val="0"/>
          <w:sz w:val="24"/>
          <w:szCs w:val="28"/>
        </w:rPr>
        <w:t>现场管理机构设置基本合理，人员资质证件合格有效，施工组织设计编制详实，技术方案可行，资源配备齐全，审批手续符合程序，建立和健全了质量管理体系和质量保证体系，建立了相应的质量管理制度、技术管理制度等各项工程管理制度，并运转正常。国家强制性标准条文的执行计划、施工方案和技术措施落实到位，质量目标明确，创优意识强，能认真处理施工过程中存在的质量问题，监理工程师通知单所提出问题整改及时，实现了闭环管理。</w:t>
      </w:r>
    </w:p>
    <w:p w:rsidR="00CD24A4" w:rsidRPr="00CD24A4"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业主项目部根据工程总体目标制定了明确的质量创优目标，质量管理到位，质量控制和管理措施齐全，有效。</w:t>
      </w:r>
    </w:p>
    <w:p w:rsidR="008501C3" w:rsidRPr="00B52931"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监理项目部组织机构健全，各项工程管理制度齐全，人员配备合理，并能实质性到位；严格按照国家规范、标准、规程和强制性条文实施质量控制，认真按照相关规定实施质量管理，文件审查、原材料、试验控制严格，巡视、旁站、检查到位，过程控制资料齐全，组织协调得力。</w:t>
      </w:r>
    </w:p>
    <w:p w:rsidR="00B52931" w:rsidRDefault="00466262" w:rsidP="00CD24A4">
      <w:pPr>
        <w:pStyle w:val="1"/>
      </w:pPr>
      <w:bookmarkStart w:id="6" w:name="_Toc408316946"/>
      <w:r>
        <w:rPr>
          <w:rFonts w:hint="eastAsia"/>
        </w:rPr>
        <w:t>六</w:t>
      </w:r>
      <w:r w:rsidR="00B52931" w:rsidRPr="00B52931">
        <w:rPr>
          <w:rFonts w:hint="eastAsia"/>
        </w:rPr>
        <w:t>、工程质量监理控制概述</w:t>
      </w:r>
      <w:bookmarkEnd w:id="6"/>
    </w:p>
    <w:p w:rsidR="00CD24A4" w:rsidRPr="00CD24A4" w:rsidRDefault="00CD24A4" w:rsidP="00CD24A4">
      <w:pPr>
        <w:spacing w:line="360" w:lineRule="auto"/>
        <w:ind w:firstLineChars="200" w:firstLine="480"/>
        <w:jc w:val="left"/>
        <w:rPr>
          <w:sz w:val="24"/>
          <w:szCs w:val="28"/>
        </w:rPr>
      </w:pPr>
      <w:bookmarkStart w:id="7" w:name="_Toc408316947"/>
      <w:r w:rsidRPr="00CD24A4">
        <w:rPr>
          <w:sz w:val="24"/>
          <w:szCs w:val="28"/>
        </w:rPr>
        <w:t>在施工过程中，监理项目部认真履行监理合同，严格按照国家规范、标准、规程和强制性条文实施质量控制，积极采取措施促进施工质量的提高，质量管理有序，质量控制效果良好。</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事前控制</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开工前认真根据工程特点编制了《监理规划》、《创优监理实施细则》、《专业监理实施细则》、《强制性条文监理实施方案》、《旁站监理方案》等监理质量控制文件，并组织监理人员进行学习、贯彻。</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认真组织、参与施工图</w:t>
      </w:r>
      <w:proofErr w:type="gramStart"/>
      <w:r w:rsidRPr="00CD24A4">
        <w:rPr>
          <w:rFonts w:hint="eastAsia"/>
          <w:sz w:val="24"/>
          <w:szCs w:val="28"/>
        </w:rPr>
        <w:t>的</w:t>
      </w:r>
      <w:r w:rsidRPr="00CD24A4">
        <w:rPr>
          <w:sz w:val="24"/>
          <w:szCs w:val="28"/>
        </w:rPr>
        <w:t>会检及</w:t>
      </w:r>
      <w:proofErr w:type="gramEnd"/>
      <w:r w:rsidRPr="00CD24A4">
        <w:rPr>
          <w:sz w:val="24"/>
          <w:szCs w:val="28"/>
        </w:rPr>
        <w:t>设计交底并形成会议纪要。</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开工前，认真审查承包单位报送的项目管理实施规划、质量管理体系和保证体系、管理人员和特种作业人员的资格证。</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认真审核承包单位编制的《工程建设强制性条文执行计划》和《质量通病防治措施》。</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审查承包单位报送的分包商资质、试验（检测）单位的资质和材料供货商的资质。</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审查承包单位报送的施工质量验收及评定项目划分和</w:t>
      </w:r>
      <w:r w:rsidRPr="00CD24A4">
        <w:rPr>
          <w:rFonts w:hint="eastAsia"/>
          <w:sz w:val="24"/>
          <w:szCs w:val="28"/>
        </w:rPr>
        <w:t>线路复测</w:t>
      </w:r>
      <w:r w:rsidRPr="00CD24A4">
        <w:rPr>
          <w:sz w:val="24"/>
          <w:szCs w:val="28"/>
        </w:rPr>
        <w:t>记录。</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lastRenderedPageBreak/>
        <w:t>严格开工报审程序，对不符合开工条件的坚决不许开工。</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完善工程管理制度，加强质量管理。</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事中控制</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认真审查承包单位报送的特殊施工技术方案和施工（调试）方案（措施），并监督施工单位认真执行、落实。</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及时对线路复测进行审核、确认。</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严格控制工程材料</w:t>
      </w:r>
      <w:r w:rsidRPr="00CD24A4">
        <w:rPr>
          <w:sz w:val="24"/>
          <w:szCs w:val="28"/>
        </w:rPr>
        <w:t>/</w:t>
      </w:r>
      <w:r w:rsidRPr="00CD24A4">
        <w:rPr>
          <w:sz w:val="24"/>
          <w:szCs w:val="28"/>
        </w:rPr>
        <w:t>构配件进场报审和复试，认真进行见证取样、检查和检验。</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对承包单位的主要施工管理人员、特种作业人员进行跟踪管理，检查承包单位的培训计划及实施情况。</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定期主持召开工地例会和质量专题会，检查分析工程项目质量状况，针对质量问题提出改进措施。</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推行</w:t>
      </w:r>
      <w:r w:rsidRPr="00CD24A4">
        <w:rPr>
          <w:sz w:val="24"/>
          <w:szCs w:val="28"/>
        </w:rPr>
        <w:t xml:space="preserve"> “</w:t>
      </w:r>
      <w:r w:rsidRPr="00CD24A4">
        <w:rPr>
          <w:sz w:val="24"/>
          <w:szCs w:val="28"/>
        </w:rPr>
        <w:t>样板带路</w:t>
      </w:r>
      <w:r w:rsidRPr="00CD24A4">
        <w:rPr>
          <w:sz w:val="24"/>
          <w:szCs w:val="28"/>
        </w:rPr>
        <w:t>”</w:t>
      </w:r>
      <w:r w:rsidRPr="00CD24A4">
        <w:rPr>
          <w:sz w:val="24"/>
          <w:szCs w:val="28"/>
        </w:rPr>
        <w:t>，对所有的工序均先做样板，符合创优要求方可展开大面积施工。</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对施工技术方案的实施及工程质量的控制实施动态跟踪管理，认真核查施工单位管理人员到位情况、设备运行状态。</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及时检查工程建设强制性条文执行情况和质量通病防治措施落实情况。</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事后控制</w:t>
      </w:r>
    </w:p>
    <w:p w:rsidR="00CD24A4" w:rsidRPr="00CD24A4" w:rsidRDefault="00CD24A4" w:rsidP="00CD24A4">
      <w:pPr>
        <w:pStyle w:val="a5"/>
        <w:numPr>
          <w:ilvl w:val="0"/>
          <w:numId w:val="13"/>
        </w:numPr>
        <w:tabs>
          <w:tab w:val="left" w:pos="0"/>
          <w:tab w:val="left" w:pos="1050"/>
          <w:tab w:val="left" w:pos="1155"/>
        </w:tabs>
        <w:spacing w:line="360" w:lineRule="auto"/>
        <w:ind w:firstLineChars="0"/>
        <w:jc w:val="left"/>
        <w:rPr>
          <w:sz w:val="24"/>
          <w:szCs w:val="28"/>
        </w:rPr>
      </w:pPr>
      <w:r w:rsidRPr="00CD24A4">
        <w:rPr>
          <w:sz w:val="24"/>
          <w:szCs w:val="28"/>
        </w:rPr>
        <w:t>认真按国家及行业制定的施工验收规范和验评标</w:t>
      </w:r>
      <w:proofErr w:type="gramStart"/>
      <w:r w:rsidRPr="00CD24A4">
        <w:rPr>
          <w:sz w:val="24"/>
          <w:szCs w:val="28"/>
        </w:rPr>
        <w:t>准进行</w:t>
      </w:r>
      <w:proofErr w:type="gramEnd"/>
      <w:r w:rsidRPr="00CD24A4">
        <w:rPr>
          <w:sz w:val="24"/>
          <w:szCs w:val="28"/>
        </w:rPr>
        <w:t>质量检查验收和评定。</w:t>
      </w:r>
    </w:p>
    <w:p w:rsidR="00CD24A4" w:rsidRPr="00CD24A4" w:rsidRDefault="00CD24A4" w:rsidP="00CD24A4">
      <w:pPr>
        <w:pStyle w:val="a5"/>
        <w:numPr>
          <w:ilvl w:val="0"/>
          <w:numId w:val="13"/>
        </w:numPr>
        <w:tabs>
          <w:tab w:val="left" w:pos="630"/>
          <w:tab w:val="left" w:pos="945"/>
          <w:tab w:val="left" w:pos="1050"/>
          <w:tab w:val="left" w:pos="1155"/>
        </w:tabs>
        <w:spacing w:line="360" w:lineRule="auto"/>
        <w:ind w:firstLineChars="0"/>
        <w:jc w:val="left"/>
        <w:rPr>
          <w:sz w:val="24"/>
          <w:szCs w:val="28"/>
        </w:rPr>
      </w:pPr>
      <w:r w:rsidRPr="00CD24A4">
        <w:rPr>
          <w:sz w:val="24"/>
          <w:szCs w:val="28"/>
        </w:rPr>
        <w:t>认真对待质量缺陷，及时责令承包单位进行整改，并根据整改情况进行处罚。</w:t>
      </w:r>
    </w:p>
    <w:p w:rsidR="00B52931" w:rsidRDefault="00466262" w:rsidP="00CD24A4">
      <w:pPr>
        <w:pStyle w:val="1"/>
      </w:pPr>
      <w:r>
        <w:rPr>
          <w:rFonts w:hint="eastAsia"/>
        </w:rPr>
        <w:t>七</w:t>
      </w:r>
      <w:r w:rsidR="00B52931" w:rsidRPr="00B52931">
        <w:rPr>
          <w:rFonts w:hint="eastAsia"/>
        </w:rPr>
        <w:t>、</w:t>
      </w:r>
      <w:r w:rsidR="00B52931" w:rsidRPr="00B52931">
        <w:t>检验批、分项、分部工程和单位工程质量核查情况</w:t>
      </w:r>
      <w:bookmarkEnd w:id="7"/>
    </w:p>
    <w:p w:rsidR="00CD24A4" w:rsidRPr="00CD24A4" w:rsidRDefault="00CD24A4" w:rsidP="00CD24A4">
      <w:pPr>
        <w:spacing w:line="360" w:lineRule="auto"/>
        <w:ind w:firstLineChars="200" w:firstLine="480"/>
        <w:jc w:val="left"/>
        <w:rPr>
          <w:sz w:val="24"/>
        </w:rPr>
      </w:pPr>
      <w:r w:rsidRPr="00CD24A4">
        <w:rPr>
          <w:sz w:val="24"/>
        </w:rPr>
        <w:t>在工程质量验收和评定上，监理部严格按照国家、行业现行施工质量验收规范的要求进行检查和验收，认真核查工程实物质量和工程技术资料。工程项目范围划分的检验比、分项、分部、单位工程设置齐全、合理，包含了工程所有工作内容</w:t>
      </w:r>
      <w:r w:rsidRPr="00CD24A4">
        <w:rPr>
          <w:rFonts w:hint="eastAsia"/>
          <w:sz w:val="24"/>
        </w:rPr>
        <w:t>，</w:t>
      </w:r>
      <w:r w:rsidRPr="00CD24A4">
        <w:rPr>
          <w:sz w:val="24"/>
        </w:rPr>
        <w:t>共验收：</w:t>
      </w:r>
      <w:r w:rsidRPr="00CD24A4">
        <w:rPr>
          <w:sz w:val="24"/>
        </w:rPr>
        <w:t xml:space="preserve"> </w:t>
      </w:r>
      <w:r w:rsidRPr="00CD24A4">
        <w:rPr>
          <w:rFonts w:hint="eastAsia"/>
          <w:sz w:val="24"/>
        </w:rPr>
        <w:t>1</w:t>
      </w:r>
      <w:r w:rsidRPr="00CD24A4">
        <w:rPr>
          <w:sz w:val="24"/>
        </w:rPr>
        <w:t>个单元工程、</w:t>
      </w:r>
      <w:r w:rsidRPr="00CD24A4">
        <w:rPr>
          <w:rFonts w:hint="eastAsia"/>
          <w:sz w:val="24"/>
        </w:rPr>
        <w:t>81</w:t>
      </w:r>
      <w:r w:rsidRPr="00CD24A4">
        <w:rPr>
          <w:sz w:val="24"/>
        </w:rPr>
        <w:t>个分项工程、</w:t>
      </w:r>
      <w:r w:rsidRPr="00CD24A4">
        <w:rPr>
          <w:rFonts w:hint="eastAsia"/>
          <w:sz w:val="24"/>
        </w:rPr>
        <w:t>6</w:t>
      </w:r>
      <w:r w:rsidRPr="00CD24A4">
        <w:rPr>
          <w:sz w:val="24"/>
        </w:rPr>
        <w:t>个分部工程，分项质量全部合格。质量控制资料完整、齐全、真实，功能和抽样检验结果合格，功能检测资料齐全、合格，分部工程质量优良，观感质量良好，质量保证资料齐全，所有单元工程、单位工程总体评定优良。</w:t>
      </w:r>
    </w:p>
    <w:p w:rsidR="00933810" w:rsidRDefault="00933810" w:rsidP="00CD24A4">
      <w:pPr>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br w:type="page"/>
      </w:r>
    </w:p>
    <w:p w:rsidR="008501C3" w:rsidRPr="00B52931" w:rsidRDefault="00466262" w:rsidP="00CD24A4">
      <w:pPr>
        <w:pStyle w:val="1"/>
      </w:pPr>
      <w:bookmarkStart w:id="8" w:name="_Toc408316948"/>
      <w:r>
        <w:rPr>
          <w:rFonts w:hint="eastAsia"/>
        </w:rPr>
        <w:lastRenderedPageBreak/>
        <w:t>八</w:t>
      </w:r>
      <w:r w:rsidR="008501C3" w:rsidRPr="00B52931">
        <w:rPr>
          <w:rFonts w:hint="eastAsia"/>
        </w:rPr>
        <w:t>、</w:t>
      </w:r>
      <w:r w:rsidR="00B52931">
        <w:rPr>
          <w:rFonts w:ascii="宋体" w:hAnsi="宋体"/>
          <w:color w:val="000000"/>
          <w:kern w:val="21"/>
          <w:szCs w:val="21"/>
        </w:rPr>
        <w:t>工程质量评估结论</w:t>
      </w:r>
      <w:bookmarkEnd w:id="8"/>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单位工程质量的核查评估工作均在施工项目部自行检查评定合格的基础上进行，施工项目部向监理项目部提交《工程竣工报验单》，总监理工程师收到工程竣工报验单后，组织专业监理工程师对工程质量严格进行检查、初检，并且对施工项目部报送的竣工资料认真进行核查，对工程实物和资料上存在的问题，提出限期整改要求、并通过整改复查。</w:t>
      </w:r>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经核查验收：参建单位的现场组织机构健全，质量目标明确，管理制度完善，管理人员合格、到位，质保体系运作正常；主要施工技术资料、强制性条文执行记录、隐蔽工程记录、施工记录、质量验评记录、出厂证明以及试验资料齐全、完整、规范、工整，数据真实可靠；质量保证资料齐全，使用安全和重要使用功能质量合格，满足设计要求；工程质量合格，观感质量良好，符合现行有关国家标准、电力行业规程规范和设计要求，符合《合同》约定的质量目标。</w:t>
      </w:r>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监理部对各分项、分部和单位工程初步验收评定为：分项工程合格率100%，分部、单位工程优良率100%，工程总体质量优良。</w:t>
      </w:r>
    </w:p>
    <w:p w:rsidR="00625BC5" w:rsidRDefault="00625BC5" w:rsidP="00625BC5">
      <w:pPr>
        <w:widowControl/>
        <w:spacing w:line="440" w:lineRule="atLeast"/>
        <w:rPr>
          <w:rFonts w:ascii="宋体" w:hAnsi="宋体" w:cs="宋体"/>
          <w:kern w:val="0"/>
          <w:sz w:val="28"/>
          <w:szCs w:val="28"/>
        </w:rPr>
      </w:pPr>
    </w:p>
    <w:p w:rsidR="00CD24A4" w:rsidRDefault="00CD24A4" w:rsidP="00625BC5">
      <w:pPr>
        <w:widowControl/>
        <w:spacing w:line="440" w:lineRule="atLeast"/>
        <w:rPr>
          <w:sz w:val="36"/>
        </w:rPr>
      </w:pPr>
    </w:p>
    <w:p w:rsidR="008501C3" w:rsidRPr="00625BC5" w:rsidRDefault="00625BC5" w:rsidP="00625BC5">
      <w:pPr>
        <w:widowControl/>
        <w:spacing w:line="440" w:lineRule="atLeast"/>
        <w:rPr>
          <w:rFonts w:ascii="华文新魏" w:eastAsia="华文新魏"/>
          <w:kern w:val="0"/>
          <w:sz w:val="28"/>
          <w:szCs w:val="28"/>
        </w:rPr>
      </w:pPr>
      <w:r>
        <w:rPr>
          <w:rFonts w:hint="eastAsia"/>
          <w:noProof/>
          <w:sz w:val="36"/>
        </w:rPr>
        <w:drawing>
          <wp:anchor distT="0" distB="0" distL="114300" distR="114300" simplePos="0" relativeHeight="251660288" behindDoc="1" locked="0" layoutInCell="1" allowOverlap="1" wp14:anchorId="3A8D31E6" wp14:editId="55C01387">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C5">
        <w:rPr>
          <w:rFonts w:hint="eastAsia"/>
          <w:sz w:val="36"/>
        </w:rPr>
        <w:t>总监理工程师</w:t>
      </w:r>
      <w:r>
        <w:rPr>
          <w:rFonts w:hint="eastAsia"/>
          <w:sz w:val="36"/>
        </w:rPr>
        <w:t>：</w:t>
      </w:r>
      <w:r>
        <w:rPr>
          <w:rFonts w:hint="eastAsia"/>
          <w:sz w:val="36"/>
        </w:rPr>
        <w:t xml:space="preserve">           </w:t>
      </w:r>
      <w:r>
        <w:rPr>
          <w:rFonts w:hint="eastAsia"/>
          <w:sz w:val="36"/>
        </w:rPr>
        <w:t>时间：</w:t>
      </w:r>
      <w:r w:rsidRPr="00625BC5">
        <w:rPr>
          <w:noProof/>
        </w:rPr>
        <w:t xml:space="preserve"> </w:t>
      </w:r>
    </w:p>
    <w:p w:rsidR="008501C3" w:rsidRDefault="008501C3" w:rsidP="008501C3">
      <w:pPr>
        <w:widowControl/>
        <w:spacing w:line="440" w:lineRule="atLeast"/>
        <w:jc w:val="center"/>
        <w:rPr>
          <w:rFonts w:ascii="仿宋_GB2312" w:eastAsia="仿宋_GB2312"/>
          <w:kern w:val="0"/>
          <w:sz w:val="28"/>
          <w:szCs w:val="28"/>
        </w:rPr>
      </w:pPr>
    </w:p>
    <w:p w:rsidR="00625BC5" w:rsidRPr="00625BC5" w:rsidRDefault="00625BC5" w:rsidP="00625BC5">
      <w:pPr>
        <w:spacing w:line="360" w:lineRule="auto"/>
        <w:ind w:firstLine="573"/>
        <w:jc w:val="left"/>
        <w:rPr>
          <w:sz w:val="36"/>
        </w:rPr>
      </w:pPr>
      <w:r w:rsidRPr="00625BC5">
        <w:rPr>
          <w:noProof/>
          <w:sz w:val="36"/>
        </w:rPr>
        <mc:AlternateContent>
          <mc:Choice Requires="wps">
            <w:drawing>
              <wp:anchor distT="0" distB="0" distL="114300" distR="114300" simplePos="0" relativeHeight="251659264" behindDoc="0" locked="0" layoutInCell="1" allowOverlap="1" wp14:anchorId="44A9243E" wp14:editId="27E03B83">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headEnd/>
                          <a:tailEnd/>
                        </a:ln>
                      </wps:spPr>
                      <wps:txbx>
                        <w:txbxContent>
                          <w:p w:rsidR="00625BC5" w:rsidRPr="00625BC5" w:rsidRDefault="00625BC5" w:rsidP="00625BC5">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7.1pt;margin-top:13.25pt;width:476.8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" strokecolor="white [3212]">
                <v:textbox>
                  <w:txbxContent>
                    <w:p w:rsidR="00625BC5" w:rsidRPr="00625BC5" w:rsidRDefault="00625BC5" w:rsidP="00625BC5">
                      <w:r>
                        <w:rPr>
                          <w:rFonts w:hint="eastAsia"/>
                          <w:sz w:val="36"/>
                        </w:rPr>
                        <w:t xml:space="preserve">                </w:t>
                      </w:r>
                    </w:p>
                  </w:txbxContent>
                </v:textbox>
              </v:shape>
            </w:pict>
          </mc:Fallback>
        </mc:AlternateContent>
      </w:r>
      <w:r>
        <w:rPr>
          <w:rFonts w:hint="eastAsia"/>
          <w:sz w:val="36"/>
        </w:rPr>
        <w:t xml:space="preserve">            </w:t>
      </w:r>
    </w:p>
    <w:sectPr w:rsidR="00625BC5" w:rsidRPr="00625BC5" w:rsidSect="008501C3">
      <w:headerReference w:type="default" r:id="rId12"/>
      <w:footerReference w:type="default" r:id="rId13"/>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E3" w:rsidRDefault="00906AE3" w:rsidP="008501C3">
      <w:r>
        <w:separator/>
      </w:r>
    </w:p>
  </w:endnote>
  <w:endnote w:type="continuationSeparator" w:id="0">
    <w:p w:rsidR="00906AE3" w:rsidRDefault="00906AE3" w:rsidP="008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59871"/>
      <w:docPartObj>
        <w:docPartGallery w:val="Page Numbers (Bottom of Page)"/>
        <w:docPartUnique/>
      </w:docPartObj>
    </w:sdtPr>
    <w:sdtEndPr/>
    <w:sdtContent>
      <w:p w:rsidR="008501C3" w:rsidRDefault="008501C3">
        <w:pPr>
          <w:pStyle w:val="a4"/>
          <w:jc w:val="center"/>
        </w:pPr>
        <w:r>
          <w:fldChar w:fldCharType="begin"/>
        </w:r>
        <w:r>
          <w:instrText>PAGE   \* MERGEFORMAT</w:instrText>
        </w:r>
        <w:r>
          <w:fldChar w:fldCharType="separate"/>
        </w:r>
        <w:r w:rsidR="001F5F92" w:rsidRPr="001F5F92">
          <w:rPr>
            <w:noProof/>
            <w:lang w:val="zh-CN"/>
          </w:rPr>
          <w:t>6</w:t>
        </w:r>
        <w:r>
          <w:fldChar w:fldCharType="end"/>
        </w:r>
      </w:p>
    </w:sdtContent>
  </w:sdt>
  <w:p w:rsidR="008501C3" w:rsidRDefault="00850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E3" w:rsidRDefault="00906AE3" w:rsidP="008501C3">
      <w:r>
        <w:separator/>
      </w:r>
    </w:p>
  </w:footnote>
  <w:footnote w:type="continuationSeparator" w:id="0">
    <w:p w:rsidR="00906AE3" w:rsidRDefault="00906AE3" w:rsidP="0085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C3" w:rsidRDefault="008501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09"/>
        </w:tabs>
        <w:ind w:left="709" w:hanging="709"/>
      </w:pPr>
      <w:rPr>
        <w:rFonts w:ascii="Arial" w:hAnsi="Arial" w:cs="Arial" w:hint="default"/>
        <w:b w:val="0"/>
      </w:rPr>
    </w:lvl>
    <w:lvl w:ilvl="3">
      <w:start w:val="1"/>
      <w:numFmt w:val="decimal"/>
      <w:lvlText w:val="%1.%2.%3.%4"/>
      <w:lvlJc w:val="left"/>
      <w:pPr>
        <w:tabs>
          <w:tab w:val="num" w:pos="851"/>
        </w:tabs>
        <w:ind w:left="851" w:hanging="851"/>
      </w:pPr>
      <w:rPr>
        <w:rFonts w:ascii="Arial" w:hAnsi="Arial" w:cs="Arial" w:hint="default"/>
        <w:b w:val="0"/>
        <w:i w:val="0"/>
        <w:color w:val="auto"/>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1">
    <w:nsid w:val="00000036"/>
    <w:multiLevelType w:val="multilevel"/>
    <w:tmpl w:val="00000036"/>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0" w:firstLine="0"/>
      </w:pPr>
      <w:rPr>
        <w:rFonts w:ascii="Arial" w:hAnsi="Arial" w:cs="Arial" w:hint="default"/>
        <w:color w:val="000000"/>
        <w:sz w:val="28"/>
        <w:szCs w:val="28"/>
      </w:rPr>
    </w:lvl>
    <w:lvl w:ilvl="2">
      <w:start w:val="1"/>
      <w:numFmt w:val="decimal"/>
      <w:lvlText w:val="%1.%2.%3"/>
      <w:lvlJc w:val="left"/>
      <w:pPr>
        <w:tabs>
          <w:tab w:val="num" w:pos="709"/>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2">
    <w:nsid w:val="0B2530C7"/>
    <w:multiLevelType w:val="hybridMultilevel"/>
    <w:tmpl w:val="7750CC68"/>
    <w:lvl w:ilvl="0" w:tplc="04090011">
      <w:start w:val="1"/>
      <w:numFmt w:val="decimal"/>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
    <w:nsid w:val="12143B28"/>
    <w:multiLevelType w:val="hybridMultilevel"/>
    <w:tmpl w:val="7B96CEC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29E4B5D"/>
    <w:multiLevelType w:val="hybridMultilevel"/>
    <w:tmpl w:val="EC94B2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F56D46"/>
    <w:multiLevelType w:val="hybridMultilevel"/>
    <w:tmpl w:val="96EA3D72"/>
    <w:lvl w:ilvl="0" w:tplc="3DD805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8CE7FC7"/>
    <w:multiLevelType w:val="hybridMultilevel"/>
    <w:tmpl w:val="6F688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0E4292"/>
    <w:multiLevelType w:val="hybridMultilevel"/>
    <w:tmpl w:val="5C48CFC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6D494B27"/>
    <w:multiLevelType w:val="hybridMultilevel"/>
    <w:tmpl w:val="AB2649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6F3D36"/>
    <w:multiLevelType w:val="hybridMultilevel"/>
    <w:tmpl w:val="20187AD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6FCF1737"/>
    <w:multiLevelType w:val="hybridMultilevel"/>
    <w:tmpl w:val="41166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708426D"/>
    <w:multiLevelType w:val="hybridMultilevel"/>
    <w:tmpl w:val="2B28E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2570CA"/>
    <w:multiLevelType w:val="hybridMultilevel"/>
    <w:tmpl w:val="1F1A8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7"/>
  </w:num>
  <w:num w:numId="4">
    <w:abstractNumId w:val="9"/>
  </w:num>
  <w:num w:numId="5">
    <w:abstractNumId w:val="5"/>
  </w:num>
  <w:num w:numId="6">
    <w:abstractNumId w:val="11"/>
  </w:num>
  <w:num w:numId="7">
    <w:abstractNumId w:val="3"/>
  </w:num>
  <w:num w:numId="8">
    <w:abstractNumId w:val="0"/>
  </w:num>
  <w:num w:numId="9">
    <w:abstractNumId w:val="1"/>
  </w:num>
  <w:num w:numId="10">
    <w:abstractNumId w:val="12"/>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183F62"/>
    <w:rsid w:val="001F5F92"/>
    <w:rsid w:val="00293DAC"/>
    <w:rsid w:val="002F20D8"/>
    <w:rsid w:val="0034434F"/>
    <w:rsid w:val="00466262"/>
    <w:rsid w:val="004F46DC"/>
    <w:rsid w:val="005D04BC"/>
    <w:rsid w:val="00625BC5"/>
    <w:rsid w:val="006A10E3"/>
    <w:rsid w:val="006B54B9"/>
    <w:rsid w:val="008501C3"/>
    <w:rsid w:val="008B4EAD"/>
    <w:rsid w:val="008F348D"/>
    <w:rsid w:val="00906AE3"/>
    <w:rsid w:val="00933810"/>
    <w:rsid w:val="00933B73"/>
    <w:rsid w:val="009F48ED"/>
    <w:rsid w:val="00A44986"/>
    <w:rsid w:val="00AA3D43"/>
    <w:rsid w:val="00AC196E"/>
    <w:rsid w:val="00AF4062"/>
    <w:rsid w:val="00B456B1"/>
    <w:rsid w:val="00B52931"/>
    <w:rsid w:val="00B76273"/>
    <w:rsid w:val="00B83009"/>
    <w:rsid w:val="00CD24A4"/>
    <w:rsid w:val="00DB793E"/>
    <w:rsid w:val="00E47CB3"/>
    <w:rsid w:val="00E729ED"/>
    <w:rsid w:val="00E923B9"/>
    <w:rsid w:val="00EA6617"/>
    <w:rsid w:val="00F43DCC"/>
    <w:rsid w:val="00F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9F78-46B2-46E7-8AEA-DB8266C6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Words>
  <Characters>3489</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DELL-N4050</cp:lastModifiedBy>
  <cp:revision>9</cp:revision>
  <cp:lastPrinted>2015-03-09T05:37:00Z</cp:lastPrinted>
  <dcterms:created xsi:type="dcterms:W3CDTF">2015-03-09T04:00:00Z</dcterms:created>
  <dcterms:modified xsi:type="dcterms:W3CDTF">2015-04-03T06:34:00Z</dcterms:modified>
  <cp:category>质量评估报告</cp:category>
</cp:coreProperties>
</file>