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ind w:firstLine="0" w:firstLineChars="0"/>
        <w:jc w:val="center"/>
        <w:rPr>
          <w:rFonts w:hint="eastAsia"/>
          <w:b/>
          <w:sz w:val="40"/>
          <w:szCs w:val="40"/>
          <w:u w:val="single"/>
        </w:rPr>
      </w:pPr>
      <w:r>
        <w:rPr>
          <w:rFonts w:hint="eastAsia"/>
          <w:b/>
          <w:sz w:val="40"/>
          <w:szCs w:val="40"/>
          <w:u w:val="single"/>
        </w:rPr>
        <w:t>绍兴华茂化纤有限公司</w:t>
      </w:r>
    </w:p>
    <w:p>
      <w:pPr>
        <w:widowControl/>
        <w:adjustRightInd w:val="0"/>
        <w:snapToGrid w:val="0"/>
        <w:ind w:firstLine="803"/>
        <w:jc w:val="center"/>
        <w:rPr>
          <w:rFonts w:hint="eastAsia" w:eastAsia="黑体"/>
          <w:b/>
          <w:kern w:val="0"/>
          <w:sz w:val="44"/>
          <w:szCs w:val="44"/>
        </w:rPr>
      </w:pPr>
      <w:r>
        <w:rPr>
          <w:rFonts w:hint="eastAsia"/>
          <w:b/>
          <w:sz w:val="40"/>
          <w:szCs w:val="40"/>
          <w:u w:val="single"/>
        </w:rPr>
        <w:t>4.8MW/10.4MWh电化学储能电站项目</w:t>
      </w:r>
    </w:p>
    <w:p>
      <w:pPr>
        <w:widowControl/>
        <w:adjustRightInd w:val="0"/>
        <w:snapToGrid w:val="0"/>
        <w:ind w:firstLine="883"/>
        <w:jc w:val="center"/>
        <w:rPr>
          <w:rFonts w:hint="eastAsia" w:eastAsia="黑体"/>
          <w:b/>
          <w:kern w:val="0"/>
          <w:sz w:val="44"/>
          <w:szCs w:val="44"/>
        </w:rPr>
      </w:pPr>
      <w:r>
        <w:rPr>
          <w:rFonts w:hint="eastAsia" w:eastAsia="黑体"/>
          <w:b/>
          <w:kern w:val="0"/>
          <w:sz w:val="44"/>
          <w:szCs w:val="44"/>
        </w:rPr>
        <w:t>PC总承包合同</w:t>
      </w:r>
    </w:p>
    <w:p>
      <w:pPr>
        <w:snapToGrid w:val="0"/>
        <w:ind w:firstLine="480"/>
        <w:jc w:val="center"/>
        <w:rPr>
          <w:rFonts w:hint="eastAsia" w:eastAsia="华文仿宋"/>
          <w:sz w:val="24"/>
        </w:rPr>
      </w:pPr>
    </w:p>
    <w:p>
      <w:pPr>
        <w:snapToGrid w:val="0"/>
        <w:ind w:firstLine="640"/>
        <w:jc w:val="center"/>
        <w:rPr>
          <w:rFonts w:hint="eastAsia" w:eastAsia="方正仿宋_GBK"/>
          <w:b/>
          <w:kern w:val="0"/>
          <w:sz w:val="32"/>
        </w:rPr>
      </w:pPr>
    </w:p>
    <w:p>
      <w:pPr>
        <w:snapToGrid w:val="0"/>
        <w:ind w:firstLine="640"/>
        <w:jc w:val="center"/>
        <w:rPr>
          <w:rFonts w:hint="eastAsia" w:eastAsia="方正仿宋_GBK"/>
          <w:b/>
          <w:kern w:val="0"/>
          <w:sz w:val="32"/>
        </w:rPr>
      </w:pPr>
    </w:p>
    <w:p>
      <w:pPr>
        <w:snapToGrid w:val="0"/>
        <w:ind w:firstLine="640"/>
        <w:jc w:val="center"/>
        <w:rPr>
          <w:rFonts w:hint="eastAsia" w:eastAsia="方正仿宋_GBK"/>
          <w:b/>
          <w:kern w:val="0"/>
          <w:sz w:val="32"/>
        </w:rPr>
      </w:pPr>
    </w:p>
    <w:p>
      <w:pPr>
        <w:snapToGrid w:val="0"/>
        <w:ind w:firstLine="640"/>
        <w:jc w:val="center"/>
        <w:rPr>
          <w:rFonts w:hint="eastAsia" w:eastAsia="方正仿宋_GBK"/>
          <w:b/>
          <w:kern w:val="0"/>
          <w:sz w:val="32"/>
        </w:rPr>
      </w:pPr>
    </w:p>
    <w:p>
      <w:pPr>
        <w:snapToGrid w:val="0"/>
        <w:ind w:firstLine="640"/>
        <w:jc w:val="center"/>
        <w:rPr>
          <w:rFonts w:hint="eastAsia" w:eastAsia="方正仿宋_GBK"/>
          <w:b/>
          <w:kern w:val="0"/>
          <w:sz w:val="32"/>
        </w:rPr>
      </w:pPr>
    </w:p>
    <w:p>
      <w:pPr>
        <w:snapToGrid w:val="0"/>
        <w:ind w:firstLine="640"/>
        <w:jc w:val="center"/>
        <w:rPr>
          <w:rFonts w:hint="eastAsia" w:eastAsia="方正仿宋_GBK"/>
          <w:b/>
          <w:kern w:val="0"/>
          <w:sz w:val="32"/>
        </w:rPr>
      </w:pPr>
    </w:p>
    <w:p>
      <w:pPr>
        <w:widowControl/>
        <w:adjustRightInd w:val="0"/>
        <w:snapToGrid w:val="0"/>
        <w:spacing w:line="480" w:lineRule="auto"/>
        <w:ind w:firstLine="643"/>
        <w:rPr>
          <w:rFonts w:hint="eastAsia" w:eastAsia="黑体"/>
          <w:b/>
          <w:kern w:val="0"/>
          <w:sz w:val="32"/>
          <w:szCs w:val="32"/>
        </w:rPr>
      </w:pPr>
      <w:r>
        <w:rPr>
          <w:rFonts w:hint="eastAsia" w:eastAsia="黑体"/>
          <w:b/>
          <w:kern w:val="0"/>
          <w:sz w:val="32"/>
          <w:szCs w:val="32"/>
        </w:rPr>
        <w:t>合同编号（发包人）：</w:t>
      </w:r>
    </w:p>
    <w:p>
      <w:pPr>
        <w:widowControl/>
        <w:adjustRightInd w:val="0"/>
        <w:snapToGrid w:val="0"/>
        <w:spacing w:line="480" w:lineRule="auto"/>
        <w:ind w:firstLine="643"/>
        <w:rPr>
          <w:rFonts w:hint="eastAsia" w:eastAsia="黑体"/>
          <w:b/>
          <w:kern w:val="0"/>
          <w:sz w:val="32"/>
          <w:szCs w:val="32"/>
        </w:rPr>
      </w:pPr>
      <w:r>
        <w:rPr>
          <w:rFonts w:hint="eastAsia" w:eastAsia="黑体"/>
          <w:b/>
          <w:kern w:val="0"/>
          <w:sz w:val="32"/>
          <w:szCs w:val="32"/>
        </w:rPr>
        <w:t>合同编号（承包人）:</w:t>
      </w:r>
    </w:p>
    <w:p>
      <w:pPr>
        <w:widowControl/>
        <w:adjustRightInd w:val="0"/>
        <w:snapToGrid w:val="0"/>
        <w:spacing w:line="480" w:lineRule="auto"/>
        <w:ind w:firstLine="643"/>
        <w:rPr>
          <w:rFonts w:hint="eastAsia" w:eastAsia="黑体"/>
          <w:b/>
          <w:kern w:val="0"/>
          <w:sz w:val="32"/>
          <w:szCs w:val="32"/>
        </w:rPr>
      </w:pPr>
      <w:r>
        <w:rPr>
          <w:rFonts w:hint="eastAsia" w:eastAsia="黑体"/>
          <w:b/>
          <w:kern w:val="0"/>
          <w:sz w:val="32"/>
          <w:szCs w:val="32"/>
        </w:rPr>
        <w:t>项目名称：绍兴华茂化纤有限公司4.8MW/10.4MWh电化学储能电站项目</w:t>
      </w:r>
    </w:p>
    <w:p>
      <w:pPr>
        <w:widowControl/>
        <w:adjustRightInd w:val="0"/>
        <w:snapToGrid w:val="0"/>
        <w:spacing w:line="480" w:lineRule="auto"/>
        <w:ind w:firstLine="643"/>
        <w:rPr>
          <w:rFonts w:hint="eastAsia" w:eastAsia="黑体"/>
          <w:b/>
          <w:kern w:val="0"/>
          <w:sz w:val="32"/>
          <w:szCs w:val="32"/>
        </w:rPr>
      </w:pPr>
      <w:r>
        <w:rPr>
          <w:rFonts w:hint="eastAsia" w:eastAsia="黑体"/>
          <w:b/>
          <w:kern w:val="0"/>
          <w:sz w:val="32"/>
          <w:szCs w:val="32"/>
        </w:rPr>
        <w:t>发包人：北京京能数字科技有限公司</w:t>
      </w:r>
    </w:p>
    <w:p>
      <w:pPr>
        <w:widowControl/>
        <w:adjustRightInd w:val="0"/>
        <w:snapToGrid w:val="0"/>
        <w:spacing w:line="480" w:lineRule="auto"/>
        <w:ind w:firstLine="643"/>
        <w:rPr>
          <w:rFonts w:hint="eastAsia" w:eastAsia="黑体"/>
          <w:b/>
          <w:kern w:val="0"/>
          <w:sz w:val="32"/>
          <w:szCs w:val="32"/>
        </w:rPr>
      </w:pPr>
      <w:r>
        <w:rPr>
          <w:rFonts w:hint="eastAsia" w:eastAsia="黑体"/>
          <w:b/>
          <w:kern w:val="0"/>
          <w:sz w:val="32"/>
          <w:szCs w:val="32"/>
        </w:rPr>
        <w:t>承包人：许继电气股份有限公司</w:t>
      </w:r>
    </w:p>
    <w:p>
      <w:pPr>
        <w:ind w:firstLine="0" w:firstLineChars="0"/>
        <w:rPr>
          <w:rFonts w:hint="eastAsia"/>
        </w:rPr>
      </w:pPr>
    </w:p>
    <w:p>
      <w:pPr>
        <w:ind w:firstLine="880"/>
        <w:jc w:val="both"/>
        <w:rPr>
          <w:rFonts w:hint="eastAsia"/>
          <w:sz w:val="44"/>
        </w:rPr>
        <w:sectPr>
          <w:headerReference r:id="rId7" w:type="first"/>
          <w:footerReference r:id="rId10" w:type="first"/>
          <w:headerReference r:id="rId5" w:type="default"/>
          <w:footerReference r:id="rId8" w:type="default"/>
          <w:headerReference r:id="rId6" w:type="even"/>
          <w:footerReference r:id="rId9" w:type="even"/>
          <w:pgSz w:w="11928" w:h="16870"/>
          <w:pgMar w:top="1420" w:right="1420" w:bottom="1420" w:left="1420" w:header="966" w:footer="852" w:gutter="0"/>
          <w:cols w:space="720" w:num="1"/>
          <w:docGrid w:type="lines" w:linePitch="312" w:charSpace="0"/>
        </w:sectPr>
      </w:pPr>
      <w:r>
        <w:rPr>
          <w:sz w:val="44"/>
        </w:rPr>
        <w:br w:type="page"/>
      </w:r>
    </w:p>
    <w:p>
      <w:pPr>
        <w:ind w:left="0" w:leftChars="0" w:firstLine="0" w:firstLineChars="0"/>
      </w:pPr>
      <w:bookmarkStart w:id="823" w:name="_GoBack"/>
      <w:bookmarkEnd w:id="823"/>
      <w:bookmarkStart w:id="0" w:name="_Toc170377801"/>
    </w:p>
    <w:sdt>
      <w:sdtPr>
        <w:rPr>
          <w:rFonts w:ascii="宋体" w:hAnsi="宋体" w:eastAsia="宋体" w:cs="宋体"/>
          <w:kern w:val="2"/>
          <w:sz w:val="21"/>
          <w:szCs w:val="22"/>
          <w:lang w:val="en-US" w:eastAsia="zh-CN" w:bidi="ar-SA"/>
        </w:rPr>
        <w:id w:val="147471780"/>
        <w15:color w:val="DBDBDB"/>
        <w:docPartObj>
          <w:docPartGallery w:val="Table of Contents"/>
          <w:docPartUnique/>
        </w:docPartObj>
      </w:sdtPr>
      <w:sdtEndPr>
        <w:rPr>
          <w:rFonts w:ascii="宋体" w:hAnsi="宋体" w:eastAsia="宋体" w:cs="宋体"/>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9088"/>
            </w:tabs>
          </w:pPr>
          <w:r>
            <w:fldChar w:fldCharType="begin"/>
          </w:r>
          <w:r>
            <w:instrText xml:space="preserve">TOC \o "1-3" \h \u </w:instrText>
          </w:r>
          <w:r>
            <w:fldChar w:fldCharType="separate"/>
          </w:r>
          <w:r>
            <w:fldChar w:fldCharType="begin"/>
          </w:r>
          <w:r>
            <w:instrText xml:space="preserve"> HYPERLINK \l _Toc3355 </w:instrText>
          </w:r>
          <w:r>
            <w:fldChar w:fldCharType="separate"/>
          </w:r>
          <w:r>
            <w:t>第一节 通用合同条款</w:t>
          </w:r>
          <w:r>
            <w:tab/>
          </w:r>
          <w:r>
            <w:fldChar w:fldCharType="begin"/>
          </w:r>
          <w:r>
            <w:instrText xml:space="preserve"> PAGEREF _Toc3355 \h </w:instrText>
          </w:r>
          <w:r>
            <w:fldChar w:fldCharType="separate"/>
          </w:r>
          <w:r>
            <w:t>9</w:t>
          </w:r>
          <w:r>
            <w:fldChar w:fldCharType="end"/>
          </w:r>
          <w:r>
            <w:fldChar w:fldCharType="end"/>
          </w:r>
        </w:p>
        <w:p>
          <w:pPr>
            <w:pStyle w:val="11"/>
            <w:tabs>
              <w:tab w:val="right" w:leader="dot" w:pos="9088"/>
            </w:tabs>
          </w:pPr>
          <w:r>
            <w:fldChar w:fldCharType="begin"/>
          </w:r>
          <w:r>
            <w:instrText xml:space="preserve"> HYPERLINK \l _Toc1623 </w:instrText>
          </w:r>
          <w:r>
            <w:fldChar w:fldCharType="separate"/>
          </w:r>
          <w:r>
            <w:rPr>
              <w:lang w:eastAsia="zh-CN"/>
            </w:rPr>
            <w:t>1. 一般规定</w:t>
          </w:r>
          <w:r>
            <w:tab/>
          </w:r>
          <w:r>
            <w:fldChar w:fldCharType="begin"/>
          </w:r>
          <w:r>
            <w:instrText xml:space="preserve"> PAGEREF _Toc1623 \h </w:instrText>
          </w:r>
          <w:r>
            <w:fldChar w:fldCharType="separate"/>
          </w:r>
          <w:r>
            <w:t>9</w:t>
          </w:r>
          <w:r>
            <w:fldChar w:fldCharType="end"/>
          </w:r>
          <w:r>
            <w:fldChar w:fldCharType="end"/>
          </w:r>
        </w:p>
        <w:p>
          <w:pPr>
            <w:pStyle w:val="11"/>
            <w:tabs>
              <w:tab w:val="right" w:leader="dot" w:pos="9088"/>
            </w:tabs>
          </w:pPr>
          <w:r>
            <w:fldChar w:fldCharType="begin"/>
          </w:r>
          <w:r>
            <w:instrText xml:space="preserve"> HYPERLINK \l _Toc32385 </w:instrText>
          </w:r>
          <w:r>
            <w:fldChar w:fldCharType="separate"/>
          </w:r>
          <w:r>
            <w:rPr>
              <w:lang w:eastAsia="zh-CN"/>
            </w:rPr>
            <w:t>2. 发包人</w:t>
          </w:r>
          <w:r>
            <w:tab/>
          </w:r>
          <w:r>
            <w:fldChar w:fldCharType="begin"/>
          </w:r>
          <w:r>
            <w:instrText xml:space="preserve"> PAGEREF _Toc32385 \h </w:instrText>
          </w:r>
          <w:r>
            <w:fldChar w:fldCharType="separate"/>
          </w:r>
          <w:r>
            <w:t>14</w:t>
          </w:r>
          <w:r>
            <w:fldChar w:fldCharType="end"/>
          </w:r>
          <w:r>
            <w:fldChar w:fldCharType="end"/>
          </w:r>
        </w:p>
        <w:p>
          <w:pPr>
            <w:pStyle w:val="11"/>
            <w:tabs>
              <w:tab w:val="right" w:leader="dot" w:pos="9088"/>
            </w:tabs>
          </w:pPr>
          <w:r>
            <w:fldChar w:fldCharType="begin"/>
          </w:r>
          <w:r>
            <w:instrText xml:space="preserve"> HYPERLINK \l _Toc10451 </w:instrText>
          </w:r>
          <w:r>
            <w:fldChar w:fldCharType="separate"/>
          </w:r>
          <w:r>
            <w:rPr>
              <w:lang w:eastAsia="zh-CN"/>
            </w:rPr>
            <w:t>3. 承包人</w:t>
          </w:r>
          <w:r>
            <w:tab/>
          </w:r>
          <w:r>
            <w:fldChar w:fldCharType="begin"/>
          </w:r>
          <w:r>
            <w:instrText xml:space="preserve"> PAGEREF _Toc10451 \h </w:instrText>
          </w:r>
          <w:r>
            <w:fldChar w:fldCharType="separate"/>
          </w:r>
          <w:r>
            <w:t>16</w:t>
          </w:r>
          <w:r>
            <w:fldChar w:fldCharType="end"/>
          </w:r>
          <w:r>
            <w:fldChar w:fldCharType="end"/>
          </w:r>
        </w:p>
        <w:p>
          <w:pPr>
            <w:pStyle w:val="11"/>
            <w:tabs>
              <w:tab w:val="right" w:leader="dot" w:pos="9088"/>
            </w:tabs>
          </w:pPr>
          <w:r>
            <w:fldChar w:fldCharType="begin"/>
          </w:r>
          <w:r>
            <w:instrText xml:space="preserve"> HYPERLINK \l _Toc8880 </w:instrText>
          </w:r>
          <w:r>
            <w:fldChar w:fldCharType="separate"/>
          </w:r>
          <w:r>
            <w:rPr>
              <w:lang w:eastAsia="zh-CN"/>
            </w:rPr>
            <w:t>4. 设计</w:t>
          </w:r>
          <w:r>
            <w:tab/>
          </w:r>
          <w:r>
            <w:fldChar w:fldCharType="begin"/>
          </w:r>
          <w:r>
            <w:instrText xml:space="preserve"> PAGEREF _Toc8880 \h </w:instrText>
          </w:r>
          <w:r>
            <w:fldChar w:fldCharType="separate"/>
          </w:r>
          <w:r>
            <w:t>25</w:t>
          </w:r>
          <w:r>
            <w:fldChar w:fldCharType="end"/>
          </w:r>
          <w:r>
            <w:fldChar w:fldCharType="end"/>
          </w:r>
        </w:p>
        <w:p>
          <w:pPr>
            <w:pStyle w:val="11"/>
            <w:tabs>
              <w:tab w:val="right" w:leader="dot" w:pos="9088"/>
            </w:tabs>
          </w:pPr>
          <w:r>
            <w:fldChar w:fldCharType="begin"/>
          </w:r>
          <w:r>
            <w:instrText xml:space="preserve"> HYPERLINK \l _Toc26036 </w:instrText>
          </w:r>
          <w:r>
            <w:fldChar w:fldCharType="separate"/>
          </w:r>
          <w:r>
            <w:rPr>
              <w:lang w:eastAsia="zh-CN"/>
            </w:rPr>
            <w:t>5. 设备和材料</w:t>
          </w:r>
          <w:r>
            <w:tab/>
          </w:r>
          <w:r>
            <w:fldChar w:fldCharType="begin"/>
          </w:r>
          <w:r>
            <w:instrText xml:space="preserve"> PAGEREF _Toc26036 \h </w:instrText>
          </w:r>
          <w:r>
            <w:fldChar w:fldCharType="separate"/>
          </w:r>
          <w:r>
            <w:t>27</w:t>
          </w:r>
          <w:r>
            <w:fldChar w:fldCharType="end"/>
          </w:r>
          <w:r>
            <w:fldChar w:fldCharType="end"/>
          </w:r>
        </w:p>
        <w:p>
          <w:pPr>
            <w:pStyle w:val="11"/>
            <w:tabs>
              <w:tab w:val="right" w:leader="dot" w:pos="9088"/>
            </w:tabs>
          </w:pPr>
          <w:r>
            <w:fldChar w:fldCharType="begin"/>
          </w:r>
          <w:r>
            <w:instrText xml:space="preserve"> HYPERLINK \l _Toc29037 </w:instrText>
          </w:r>
          <w:r>
            <w:fldChar w:fldCharType="separate"/>
          </w:r>
          <w:r>
            <w:rPr>
              <w:lang w:eastAsia="zh-CN"/>
            </w:rPr>
            <w:t>6. 施工</w:t>
          </w:r>
          <w:r>
            <w:tab/>
          </w:r>
          <w:r>
            <w:fldChar w:fldCharType="begin"/>
          </w:r>
          <w:r>
            <w:instrText xml:space="preserve"> PAGEREF _Toc29037 \h </w:instrText>
          </w:r>
          <w:r>
            <w:fldChar w:fldCharType="separate"/>
          </w:r>
          <w:r>
            <w:t>29</w:t>
          </w:r>
          <w:r>
            <w:fldChar w:fldCharType="end"/>
          </w:r>
          <w:r>
            <w:fldChar w:fldCharType="end"/>
          </w:r>
        </w:p>
        <w:p>
          <w:pPr>
            <w:pStyle w:val="11"/>
            <w:tabs>
              <w:tab w:val="right" w:leader="dot" w:pos="9088"/>
            </w:tabs>
          </w:pPr>
          <w:r>
            <w:fldChar w:fldCharType="begin"/>
          </w:r>
          <w:r>
            <w:instrText xml:space="preserve"> HYPERLINK \l _Toc889 </w:instrText>
          </w:r>
          <w:r>
            <w:fldChar w:fldCharType="separate"/>
          </w:r>
          <w:r>
            <w:rPr>
              <w:lang w:eastAsia="zh-CN"/>
            </w:rPr>
            <w:t>7. 调试与启动</w:t>
          </w:r>
          <w:r>
            <w:tab/>
          </w:r>
          <w:r>
            <w:fldChar w:fldCharType="begin"/>
          </w:r>
          <w:r>
            <w:instrText xml:space="preserve"> PAGEREF _Toc889 \h </w:instrText>
          </w:r>
          <w:r>
            <w:fldChar w:fldCharType="separate"/>
          </w:r>
          <w:r>
            <w:t>31</w:t>
          </w:r>
          <w:r>
            <w:fldChar w:fldCharType="end"/>
          </w:r>
          <w:r>
            <w:fldChar w:fldCharType="end"/>
          </w:r>
        </w:p>
        <w:p>
          <w:pPr>
            <w:pStyle w:val="11"/>
            <w:tabs>
              <w:tab w:val="right" w:leader="dot" w:pos="9088"/>
            </w:tabs>
          </w:pPr>
          <w:r>
            <w:fldChar w:fldCharType="begin"/>
          </w:r>
          <w:r>
            <w:instrText xml:space="preserve"> HYPERLINK \l _Toc21293 </w:instrText>
          </w:r>
          <w:r>
            <w:fldChar w:fldCharType="separate"/>
          </w:r>
          <w:r>
            <w:rPr>
              <w:lang w:eastAsia="zh-CN"/>
            </w:rPr>
            <w:t>8. 机组移交</w:t>
          </w:r>
          <w:r>
            <w:tab/>
          </w:r>
          <w:r>
            <w:fldChar w:fldCharType="begin"/>
          </w:r>
          <w:r>
            <w:instrText xml:space="preserve"> PAGEREF _Toc21293 \h </w:instrText>
          </w:r>
          <w:r>
            <w:fldChar w:fldCharType="separate"/>
          </w:r>
          <w:r>
            <w:t>33</w:t>
          </w:r>
          <w:r>
            <w:fldChar w:fldCharType="end"/>
          </w:r>
          <w:r>
            <w:fldChar w:fldCharType="end"/>
          </w:r>
        </w:p>
        <w:p>
          <w:pPr>
            <w:pStyle w:val="11"/>
            <w:tabs>
              <w:tab w:val="right" w:leader="dot" w:pos="9088"/>
            </w:tabs>
          </w:pPr>
          <w:r>
            <w:fldChar w:fldCharType="begin"/>
          </w:r>
          <w:r>
            <w:instrText xml:space="preserve"> HYPERLINK \l _Toc27561 </w:instrText>
          </w:r>
          <w:r>
            <w:fldChar w:fldCharType="separate"/>
          </w:r>
          <w:r>
            <w:rPr>
              <w:lang w:eastAsia="zh-CN"/>
            </w:rPr>
            <w:t>9. 性能验收试验</w:t>
          </w:r>
          <w:r>
            <w:tab/>
          </w:r>
          <w:r>
            <w:fldChar w:fldCharType="begin"/>
          </w:r>
          <w:r>
            <w:instrText xml:space="preserve"> PAGEREF _Toc27561 \h </w:instrText>
          </w:r>
          <w:r>
            <w:fldChar w:fldCharType="separate"/>
          </w:r>
          <w:r>
            <w:t>34</w:t>
          </w:r>
          <w:r>
            <w:fldChar w:fldCharType="end"/>
          </w:r>
          <w:r>
            <w:fldChar w:fldCharType="end"/>
          </w:r>
        </w:p>
        <w:p>
          <w:pPr>
            <w:pStyle w:val="11"/>
            <w:tabs>
              <w:tab w:val="right" w:leader="dot" w:pos="9088"/>
            </w:tabs>
          </w:pPr>
          <w:r>
            <w:fldChar w:fldCharType="begin"/>
          </w:r>
          <w:r>
            <w:instrText xml:space="preserve"> HYPERLINK \l _Toc26909 </w:instrText>
          </w:r>
          <w:r>
            <w:fldChar w:fldCharType="separate"/>
          </w:r>
          <w:r>
            <w:rPr>
              <w:lang w:eastAsia="zh-CN"/>
            </w:rPr>
            <w:t>10. 开工、完工、中止</w:t>
          </w:r>
          <w:r>
            <w:tab/>
          </w:r>
          <w:r>
            <w:fldChar w:fldCharType="begin"/>
          </w:r>
          <w:r>
            <w:instrText xml:space="preserve"> PAGEREF _Toc26909 \h </w:instrText>
          </w:r>
          <w:r>
            <w:fldChar w:fldCharType="separate"/>
          </w:r>
          <w:r>
            <w:t>36</w:t>
          </w:r>
          <w:r>
            <w:fldChar w:fldCharType="end"/>
          </w:r>
          <w:r>
            <w:fldChar w:fldCharType="end"/>
          </w:r>
        </w:p>
        <w:p>
          <w:pPr>
            <w:pStyle w:val="11"/>
            <w:tabs>
              <w:tab w:val="right" w:leader="dot" w:pos="9088"/>
            </w:tabs>
          </w:pPr>
          <w:r>
            <w:fldChar w:fldCharType="begin"/>
          </w:r>
          <w:r>
            <w:instrText xml:space="preserve"> HYPERLINK \l _Toc17891 </w:instrText>
          </w:r>
          <w:r>
            <w:fldChar w:fldCharType="separate"/>
          </w:r>
          <w:r>
            <w:rPr>
              <w:lang w:eastAsia="zh-CN"/>
            </w:rPr>
            <w:t>11. 责任限额</w:t>
          </w:r>
          <w:r>
            <w:tab/>
          </w:r>
          <w:r>
            <w:fldChar w:fldCharType="begin"/>
          </w:r>
          <w:r>
            <w:instrText xml:space="preserve"> PAGEREF _Toc17891 \h </w:instrText>
          </w:r>
          <w:r>
            <w:fldChar w:fldCharType="separate"/>
          </w:r>
          <w:r>
            <w:t>39</w:t>
          </w:r>
          <w:r>
            <w:fldChar w:fldCharType="end"/>
          </w:r>
          <w:r>
            <w:fldChar w:fldCharType="end"/>
          </w:r>
        </w:p>
        <w:p>
          <w:pPr>
            <w:pStyle w:val="11"/>
            <w:tabs>
              <w:tab w:val="right" w:leader="dot" w:pos="9088"/>
            </w:tabs>
          </w:pPr>
          <w:r>
            <w:fldChar w:fldCharType="begin"/>
          </w:r>
          <w:r>
            <w:instrText xml:space="preserve"> HYPERLINK \l _Toc9348 </w:instrText>
          </w:r>
          <w:r>
            <w:fldChar w:fldCharType="separate"/>
          </w:r>
          <w:r>
            <w:rPr>
              <w:lang w:eastAsia="zh-CN"/>
            </w:rPr>
            <w:t>12. 变更和调整</w:t>
          </w:r>
          <w:r>
            <w:tab/>
          </w:r>
          <w:r>
            <w:fldChar w:fldCharType="begin"/>
          </w:r>
          <w:r>
            <w:instrText xml:space="preserve"> PAGEREF _Toc9348 \h </w:instrText>
          </w:r>
          <w:r>
            <w:fldChar w:fldCharType="separate"/>
          </w:r>
          <w:r>
            <w:t>40</w:t>
          </w:r>
          <w:r>
            <w:fldChar w:fldCharType="end"/>
          </w:r>
          <w:r>
            <w:fldChar w:fldCharType="end"/>
          </w:r>
        </w:p>
        <w:p>
          <w:pPr>
            <w:pStyle w:val="11"/>
            <w:tabs>
              <w:tab w:val="right" w:leader="dot" w:pos="9088"/>
            </w:tabs>
          </w:pPr>
          <w:r>
            <w:fldChar w:fldCharType="begin"/>
          </w:r>
          <w:r>
            <w:instrText xml:space="preserve"> HYPERLINK \l _Toc14500 </w:instrText>
          </w:r>
          <w:r>
            <w:fldChar w:fldCharType="separate"/>
          </w:r>
          <w:r>
            <w:rPr>
              <w:lang w:eastAsia="zh-CN"/>
            </w:rPr>
            <w:t>13. 合同价格和付款</w:t>
          </w:r>
          <w:r>
            <w:tab/>
          </w:r>
          <w:r>
            <w:fldChar w:fldCharType="begin"/>
          </w:r>
          <w:r>
            <w:instrText xml:space="preserve"> PAGEREF _Toc14500 \h </w:instrText>
          </w:r>
          <w:r>
            <w:fldChar w:fldCharType="separate"/>
          </w:r>
          <w:r>
            <w:t>42</w:t>
          </w:r>
          <w:r>
            <w:fldChar w:fldCharType="end"/>
          </w:r>
          <w:r>
            <w:fldChar w:fldCharType="end"/>
          </w:r>
        </w:p>
        <w:p>
          <w:pPr>
            <w:pStyle w:val="11"/>
            <w:tabs>
              <w:tab w:val="right" w:leader="dot" w:pos="9088"/>
            </w:tabs>
          </w:pPr>
          <w:r>
            <w:fldChar w:fldCharType="begin"/>
          </w:r>
          <w:r>
            <w:instrText xml:space="preserve"> HYPERLINK \l _Toc17043 </w:instrText>
          </w:r>
          <w:r>
            <w:fldChar w:fldCharType="separate"/>
          </w:r>
          <w:r>
            <w:rPr>
              <w:lang w:eastAsia="zh-CN"/>
            </w:rPr>
            <w:t>14. 质量保证</w:t>
          </w:r>
          <w:r>
            <w:tab/>
          </w:r>
          <w:r>
            <w:fldChar w:fldCharType="begin"/>
          </w:r>
          <w:r>
            <w:instrText xml:space="preserve"> PAGEREF _Toc17043 \h </w:instrText>
          </w:r>
          <w:r>
            <w:fldChar w:fldCharType="separate"/>
          </w:r>
          <w:r>
            <w:t>45</w:t>
          </w:r>
          <w:r>
            <w:fldChar w:fldCharType="end"/>
          </w:r>
          <w:r>
            <w:fldChar w:fldCharType="end"/>
          </w:r>
        </w:p>
        <w:p>
          <w:pPr>
            <w:pStyle w:val="11"/>
            <w:tabs>
              <w:tab w:val="right" w:leader="dot" w:pos="9088"/>
            </w:tabs>
          </w:pPr>
          <w:r>
            <w:fldChar w:fldCharType="begin"/>
          </w:r>
          <w:r>
            <w:instrText xml:space="preserve"> HYPERLINK \l _Toc15060 </w:instrText>
          </w:r>
          <w:r>
            <w:fldChar w:fldCharType="separate"/>
          </w:r>
          <w:r>
            <w:rPr>
              <w:lang w:eastAsia="zh-CN"/>
            </w:rPr>
            <w:t>15. 提前终止</w:t>
          </w:r>
          <w:r>
            <w:tab/>
          </w:r>
          <w:r>
            <w:fldChar w:fldCharType="begin"/>
          </w:r>
          <w:r>
            <w:instrText xml:space="preserve"> PAGEREF _Toc15060 \h </w:instrText>
          </w:r>
          <w:r>
            <w:fldChar w:fldCharType="separate"/>
          </w:r>
          <w:r>
            <w:t>47</w:t>
          </w:r>
          <w:r>
            <w:fldChar w:fldCharType="end"/>
          </w:r>
          <w:r>
            <w:fldChar w:fldCharType="end"/>
          </w:r>
        </w:p>
        <w:p>
          <w:pPr>
            <w:pStyle w:val="11"/>
            <w:tabs>
              <w:tab w:val="right" w:leader="dot" w:pos="9088"/>
            </w:tabs>
          </w:pPr>
          <w:r>
            <w:fldChar w:fldCharType="begin"/>
          </w:r>
          <w:r>
            <w:instrText xml:space="preserve"> HYPERLINK \l _Toc1527 </w:instrText>
          </w:r>
          <w:r>
            <w:fldChar w:fldCharType="separate"/>
          </w:r>
          <w:r>
            <w:rPr>
              <w:lang w:eastAsia="zh-CN"/>
            </w:rPr>
            <w:t>16. 免责赔偿</w:t>
          </w:r>
          <w:r>
            <w:tab/>
          </w:r>
          <w:r>
            <w:fldChar w:fldCharType="begin"/>
          </w:r>
          <w:r>
            <w:instrText xml:space="preserve"> PAGEREF _Toc1527 \h </w:instrText>
          </w:r>
          <w:r>
            <w:fldChar w:fldCharType="separate"/>
          </w:r>
          <w:r>
            <w:t>48</w:t>
          </w:r>
          <w:r>
            <w:fldChar w:fldCharType="end"/>
          </w:r>
          <w:r>
            <w:fldChar w:fldCharType="end"/>
          </w:r>
        </w:p>
        <w:p>
          <w:pPr>
            <w:pStyle w:val="11"/>
            <w:tabs>
              <w:tab w:val="right" w:leader="dot" w:pos="9088"/>
            </w:tabs>
          </w:pPr>
          <w:r>
            <w:fldChar w:fldCharType="begin"/>
          </w:r>
          <w:r>
            <w:instrText xml:space="preserve"> HYPERLINK \l _Toc21167 </w:instrText>
          </w:r>
          <w:r>
            <w:fldChar w:fldCharType="separate"/>
          </w:r>
          <w:r>
            <w:rPr>
              <w:lang w:eastAsia="zh-CN"/>
            </w:rPr>
            <w:t>17. 保密</w:t>
          </w:r>
          <w:r>
            <w:tab/>
          </w:r>
          <w:r>
            <w:fldChar w:fldCharType="begin"/>
          </w:r>
          <w:r>
            <w:instrText xml:space="preserve"> PAGEREF _Toc21167 \h </w:instrText>
          </w:r>
          <w:r>
            <w:fldChar w:fldCharType="separate"/>
          </w:r>
          <w:r>
            <w:t>49</w:t>
          </w:r>
          <w:r>
            <w:fldChar w:fldCharType="end"/>
          </w:r>
          <w:r>
            <w:fldChar w:fldCharType="end"/>
          </w:r>
        </w:p>
        <w:p>
          <w:pPr>
            <w:pStyle w:val="11"/>
            <w:tabs>
              <w:tab w:val="right" w:leader="dot" w:pos="9088"/>
            </w:tabs>
          </w:pPr>
          <w:r>
            <w:fldChar w:fldCharType="begin"/>
          </w:r>
          <w:r>
            <w:instrText xml:space="preserve"> HYPERLINK \l _Toc6053 </w:instrText>
          </w:r>
          <w:r>
            <w:fldChar w:fldCharType="separate"/>
          </w:r>
          <w:r>
            <w:rPr>
              <w:lang w:eastAsia="zh-CN"/>
            </w:rPr>
            <w:t>18. 文件资料</w:t>
          </w:r>
          <w:r>
            <w:tab/>
          </w:r>
          <w:r>
            <w:fldChar w:fldCharType="begin"/>
          </w:r>
          <w:r>
            <w:instrText xml:space="preserve"> PAGEREF _Toc6053 \h </w:instrText>
          </w:r>
          <w:r>
            <w:fldChar w:fldCharType="separate"/>
          </w:r>
          <w:r>
            <w:t>50</w:t>
          </w:r>
          <w:r>
            <w:fldChar w:fldCharType="end"/>
          </w:r>
          <w:r>
            <w:fldChar w:fldCharType="end"/>
          </w:r>
        </w:p>
        <w:p>
          <w:pPr>
            <w:pStyle w:val="11"/>
            <w:tabs>
              <w:tab w:val="right" w:leader="dot" w:pos="9088"/>
            </w:tabs>
          </w:pPr>
          <w:r>
            <w:fldChar w:fldCharType="begin"/>
          </w:r>
          <w:r>
            <w:instrText xml:space="preserve"> HYPERLINK \l _Toc22807 </w:instrText>
          </w:r>
          <w:r>
            <w:fldChar w:fldCharType="separate"/>
          </w:r>
          <w:r>
            <w:rPr>
              <w:lang w:eastAsia="zh-CN"/>
            </w:rPr>
            <w:t>19. 保险</w:t>
          </w:r>
          <w:r>
            <w:tab/>
          </w:r>
          <w:r>
            <w:fldChar w:fldCharType="begin"/>
          </w:r>
          <w:r>
            <w:instrText xml:space="preserve"> PAGEREF _Toc22807 \h </w:instrText>
          </w:r>
          <w:r>
            <w:fldChar w:fldCharType="separate"/>
          </w:r>
          <w:r>
            <w:t>51</w:t>
          </w:r>
          <w:r>
            <w:fldChar w:fldCharType="end"/>
          </w:r>
          <w:r>
            <w:fldChar w:fldCharType="end"/>
          </w:r>
        </w:p>
        <w:p>
          <w:pPr>
            <w:pStyle w:val="11"/>
            <w:tabs>
              <w:tab w:val="right" w:leader="dot" w:pos="9088"/>
            </w:tabs>
          </w:pPr>
          <w:r>
            <w:fldChar w:fldCharType="begin"/>
          </w:r>
          <w:r>
            <w:instrText xml:space="preserve"> HYPERLINK \l _Toc21792 </w:instrText>
          </w:r>
          <w:r>
            <w:fldChar w:fldCharType="separate"/>
          </w:r>
          <w:r>
            <w:rPr>
              <w:lang w:eastAsia="zh-CN"/>
            </w:rPr>
            <w:t>20. 不可抗力</w:t>
          </w:r>
          <w:r>
            <w:tab/>
          </w:r>
          <w:r>
            <w:fldChar w:fldCharType="begin"/>
          </w:r>
          <w:r>
            <w:instrText xml:space="preserve"> PAGEREF _Toc21792 \h </w:instrText>
          </w:r>
          <w:r>
            <w:fldChar w:fldCharType="separate"/>
          </w:r>
          <w:r>
            <w:t>53</w:t>
          </w:r>
          <w:r>
            <w:fldChar w:fldCharType="end"/>
          </w:r>
          <w:r>
            <w:fldChar w:fldCharType="end"/>
          </w:r>
        </w:p>
        <w:p>
          <w:pPr>
            <w:pStyle w:val="11"/>
            <w:tabs>
              <w:tab w:val="right" w:leader="dot" w:pos="9088"/>
            </w:tabs>
          </w:pPr>
          <w:r>
            <w:fldChar w:fldCharType="begin"/>
          </w:r>
          <w:r>
            <w:instrText xml:space="preserve"> HYPERLINK \l _Toc21685 </w:instrText>
          </w:r>
          <w:r>
            <w:fldChar w:fldCharType="separate"/>
          </w:r>
          <w:r>
            <w:rPr>
              <w:lang w:eastAsia="zh-CN"/>
            </w:rPr>
            <w:t>21. 索赔</w:t>
          </w:r>
          <w:r>
            <w:tab/>
          </w:r>
          <w:r>
            <w:fldChar w:fldCharType="begin"/>
          </w:r>
          <w:r>
            <w:instrText xml:space="preserve"> PAGEREF _Toc21685 \h </w:instrText>
          </w:r>
          <w:r>
            <w:fldChar w:fldCharType="separate"/>
          </w:r>
          <w:r>
            <w:t>54</w:t>
          </w:r>
          <w:r>
            <w:fldChar w:fldCharType="end"/>
          </w:r>
          <w:r>
            <w:fldChar w:fldCharType="end"/>
          </w:r>
        </w:p>
        <w:p>
          <w:pPr>
            <w:pStyle w:val="11"/>
            <w:tabs>
              <w:tab w:val="right" w:leader="dot" w:pos="9088"/>
            </w:tabs>
          </w:pPr>
          <w:r>
            <w:fldChar w:fldCharType="begin"/>
          </w:r>
          <w:r>
            <w:instrText xml:space="preserve"> HYPERLINK \l _Toc29147 </w:instrText>
          </w:r>
          <w:r>
            <w:fldChar w:fldCharType="separate"/>
          </w:r>
          <w:r>
            <w:rPr>
              <w:lang w:eastAsia="zh-CN"/>
            </w:rPr>
            <w:t>22. 争议解决</w:t>
          </w:r>
          <w:r>
            <w:tab/>
          </w:r>
          <w:r>
            <w:fldChar w:fldCharType="begin"/>
          </w:r>
          <w:r>
            <w:instrText xml:space="preserve"> PAGEREF _Toc29147 \h </w:instrText>
          </w:r>
          <w:r>
            <w:fldChar w:fldCharType="separate"/>
          </w:r>
          <w:r>
            <w:t>55</w:t>
          </w:r>
          <w:r>
            <w:fldChar w:fldCharType="end"/>
          </w:r>
          <w:r>
            <w:fldChar w:fldCharType="end"/>
          </w:r>
        </w:p>
        <w:p>
          <w:pPr>
            <w:pStyle w:val="11"/>
            <w:tabs>
              <w:tab w:val="right" w:leader="dot" w:pos="9088"/>
            </w:tabs>
          </w:pPr>
          <w:r>
            <w:fldChar w:fldCharType="begin"/>
          </w:r>
          <w:r>
            <w:instrText xml:space="preserve"> HYPERLINK \l _Toc2778 </w:instrText>
          </w:r>
          <w:r>
            <w:fldChar w:fldCharType="separate"/>
          </w:r>
          <w:r>
            <w:rPr>
              <w:lang w:eastAsia="zh-CN"/>
            </w:rPr>
            <w:t>23. 其他</w:t>
          </w:r>
          <w:r>
            <w:tab/>
          </w:r>
          <w:r>
            <w:fldChar w:fldCharType="begin"/>
          </w:r>
          <w:r>
            <w:instrText xml:space="preserve"> PAGEREF _Toc2778 \h </w:instrText>
          </w:r>
          <w:r>
            <w:fldChar w:fldCharType="separate"/>
          </w:r>
          <w:r>
            <w:t>56</w:t>
          </w:r>
          <w:r>
            <w:fldChar w:fldCharType="end"/>
          </w:r>
          <w:r>
            <w:fldChar w:fldCharType="end"/>
          </w:r>
        </w:p>
        <w:p>
          <w:pPr>
            <w:pStyle w:val="11"/>
            <w:tabs>
              <w:tab w:val="right" w:leader="dot" w:pos="9088"/>
            </w:tabs>
          </w:pPr>
          <w:r>
            <w:fldChar w:fldCharType="begin"/>
          </w:r>
          <w:r>
            <w:instrText xml:space="preserve"> HYPERLINK \l _Toc20798 </w:instrText>
          </w:r>
          <w:r>
            <w:fldChar w:fldCharType="separate"/>
          </w:r>
          <w:r>
            <w:t>第二节 专用合同条款</w:t>
          </w:r>
          <w:r>
            <w:tab/>
          </w:r>
          <w:r>
            <w:fldChar w:fldCharType="begin"/>
          </w:r>
          <w:r>
            <w:instrText xml:space="preserve"> PAGEREF _Toc20798 \h </w:instrText>
          </w:r>
          <w:r>
            <w:fldChar w:fldCharType="separate"/>
          </w:r>
          <w:r>
            <w:t>57</w:t>
          </w:r>
          <w:r>
            <w:fldChar w:fldCharType="end"/>
          </w:r>
          <w:r>
            <w:fldChar w:fldCharType="end"/>
          </w:r>
        </w:p>
        <w:p>
          <w:pPr>
            <w:pStyle w:val="11"/>
            <w:tabs>
              <w:tab w:val="right" w:leader="dot" w:pos="9088"/>
            </w:tabs>
          </w:pPr>
          <w:r>
            <w:fldChar w:fldCharType="begin"/>
          </w:r>
          <w:r>
            <w:instrText xml:space="preserve"> HYPERLINK \l _Toc32574 </w:instrText>
          </w:r>
          <w:r>
            <w:fldChar w:fldCharType="separate"/>
          </w:r>
          <w:r>
            <w:rPr>
              <w:rFonts w:hint="eastAsia" w:cs="Times New Roman"/>
              <w:bCs/>
              <w:szCs w:val="32"/>
            </w:rPr>
            <w:t>1. 一般规定</w:t>
          </w:r>
          <w:r>
            <w:tab/>
          </w:r>
          <w:r>
            <w:fldChar w:fldCharType="begin"/>
          </w:r>
          <w:r>
            <w:instrText xml:space="preserve"> PAGEREF _Toc32574 \h </w:instrText>
          </w:r>
          <w:r>
            <w:fldChar w:fldCharType="separate"/>
          </w:r>
          <w:r>
            <w:t>57</w:t>
          </w:r>
          <w:r>
            <w:fldChar w:fldCharType="end"/>
          </w:r>
          <w:r>
            <w:fldChar w:fldCharType="end"/>
          </w:r>
        </w:p>
        <w:p>
          <w:pPr>
            <w:pStyle w:val="11"/>
            <w:tabs>
              <w:tab w:val="right" w:leader="dot" w:pos="9088"/>
            </w:tabs>
          </w:pPr>
          <w:r>
            <w:fldChar w:fldCharType="begin"/>
          </w:r>
          <w:r>
            <w:instrText xml:space="preserve"> HYPERLINK \l _Toc20963 </w:instrText>
          </w:r>
          <w:r>
            <w:fldChar w:fldCharType="separate"/>
          </w:r>
          <w:r>
            <w:rPr>
              <w:rFonts w:hint="eastAsia"/>
              <w:bCs/>
              <w:szCs w:val="32"/>
            </w:rPr>
            <w:t>2.</w:t>
          </w:r>
          <w:r>
            <w:rPr>
              <w:bCs/>
              <w:szCs w:val="32"/>
            </w:rPr>
            <w:t>发包人</w:t>
          </w:r>
          <w:r>
            <w:tab/>
          </w:r>
          <w:r>
            <w:fldChar w:fldCharType="begin"/>
          </w:r>
          <w:r>
            <w:instrText xml:space="preserve"> PAGEREF _Toc20963 \h </w:instrText>
          </w:r>
          <w:r>
            <w:fldChar w:fldCharType="separate"/>
          </w:r>
          <w:r>
            <w:t>58</w:t>
          </w:r>
          <w:r>
            <w:fldChar w:fldCharType="end"/>
          </w:r>
          <w:r>
            <w:fldChar w:fldCharType="end"/>
          </w:r>
        </w:p>
        <w:p>
          <w:pPr>
            <w:pStyle w:val="11"/>
            <w:tabs>
              <w:tab w:val="right" w:leader="dot" w:pos="9088"/>
            </w:tabs>
          </w:pPr>
          <w:r>
            <w:fldChar w:fldCharType="begin"/>
          </w:r>
          <w:r>
            <w:instrText xml:space="preserve"> HYPERLINK \l _Toc2105 </w:instrText>
          </w:r>
          <w:r>
            <w:fldChar w:fldCharType="separate"/>
          </w:r>
          <w:r>
            <w:rPr>
              <w:rFonts w:hint="eastAsia"/>
              <w:bCs/>
              <w:szCs w:val="32"/>
            </w:rPr>
            <w:t>3.承包人</w:t>
          </w:r>
          <w:r>
            <w:tab/>
          </w:r>
          <w:r>
            <w:fldChar w:fldCharType="begin"/>
          </w:r>
          <w:r>
            <w:instrText xml:space="preserve"> PAGEREF _Toc2105 \h </w:instrText>
          </w:r>
          <w:r>
            <w:fldChar w:fldCharType="separate"/>
          </w:r>
          <w:r>
            <w:t>58</w:t>
          </w:r>
          <w:r>
            <w:fldChar w:fldCharType="end"/>
          </w:r>
          <w:r>
            <w:fldChar w:fldCharType="end"/>
          </w:r>
        </w:p>
        <w:p>
          <w:pPr>
            <w:pStyle w:val="11"/>
            <w:tabs>
              <w:tab w:val="right" w:leader="dot" w:pos="9088"/>
            </w:tabs>
          </w:pPr>
          <w:r>
            <w:fldChar w:fldCharType="begin"/>
          </w:r>
          <w:r>
            <w:instrText xml:space="preserve"> HYPERLINK \l _Toc19924 </w:instrText>
          </w:r>
          <w:r>
            <w:fldChar w:fldCharType="separate"/>
          </w:r>
          <w:r>
            <w:rPr>
              <w:rFonts w:hint="eastAsia"/>
              <w:bCs/>
              <w:szCs w:val="32"/>
            </w:rPr>
            <w:t>4.</w:t>
          </w:r>
          <w:r>
            <w:rPr>
              <w:bCs/>
              <w:szCs w:val="32"/>
            </w:rPr>
            <w:t>设计</w:t>
          </w:r>
          <w:r>
            <w:tab/>
          </w:r>
          <w:r>
            <w:fldChar w:fldCharType="begin"/>
          </w:r>
          <w:r>
            <w:instrText xml:space="preserve"> PAGEREF _Toc19924 \h </w:instrText>
          </w:r>
          <w:r>
            <w:fldChar w:fldCharType="separate"/>
          </w:r>
          <w:r>
            <w:t>60</w:t>
          </w:r>
          <w:r>
            <w:fldChar w:fldCharType="end"/>
          </w:r>
          <w:r>
            <w:fldChar w:fldCharType="end"/>
          </w:r>
        </w:p>
        <w:p>
          <w:pPr>
            <w:pStyle w:val="11"/>
            <w:tabs>
              <w:tab w:val="right" w:leader="dot" w:pos="9088"/>
            </w:tabs>
          </w:pPr>
          <w:r>
            <w:fldChar w:fldCharType="begin"/>
          </w:r>
          <w:r>
            <w:instrText xml:space="preserve"> HYPERLINK \l _Toc10459 </w:instrText>
          </w:r>
          <w:r>
            <w:fldChar w:fldCharType="separate"/>
          </w:r>
          <w:r>
            <w:rPr>
              <w:rFonts w:hint="eastAsia"/>
              <w:bCs/>
              <w:szCs w:val="32"/>
            </w:rPr>
            <w:t>5.</w:t>
          </w:r>
          <w:r>
            <w:rPr>
              <w:bCs/>
              <w:szCs w:val="32"/>
            </w:rPr>
            <w:t>设备和材料</w:t>
          </w:r>
          <w:r>
            <w:tab/>
          </w:r>
          <w:r>
            <w:fldChar w:fldCharType="begin"/>
          </w:r>
          <w:r>
            <w:instrText xml:space="preserve"> PAGEREF _Toc10459 \h </w:instrText>
          </w:r>
          <w:r>
            <w:fldChar w:fldCharType="separate"/>
          </w:r>
          <w:r>
            <w:t>60</w:t>
          </w:r>
          <w:r>
            <w:fldChar w:fldCharType="end"/>
          </w:r>
          <w:r>
            <w:fldChar w:fldCharType="end"/>
          </w:r>
        </w:p>
        <w:p>
          <w:pPr>
            <w:pStyle w:val="11"/>
            <w:tabs>
              <w:tab w:val="right" w:leader="dot" w:pos="9088"/>
            </w:tabs>
          </w:pPr>
          <w:r>
            <w:fldChar w:fldCharType="begin"/>
          </w:r>
          <w:r>
            <w:instrText xml:space="preserve"> HYPERLINK \l _Toc9009 </w:instrText>
          </w:r>
          <w:r>
            <w:fldChar w:fldCharType="separate"/>
          </w:r>
          <w:r>
            <w:rPr>
              <w:rFonts w:hint="eastAsia"/>
              <w:bCs/>
              <w:szCs w:val="32"/>
            </w:rPr>
            <w:t>6.</w:t>
          </w:r>
          <w:r>
            <w:rPr>
              <w:bCs/>
              <w:szCs w:val="32"/>
            </w:rPr>
            <w:t>施工</w:t>
          </w:r>
          <w:r>
            <w:tab/>
          </w:r>
          <w:r>
            <w:fldChar w:fldCharType="begin"/>
          </w:r>
          <w:r>
            <w:instrText xml:space="preserve"> PAGEREF _Toc9009 \h </w:instrText>
          </w:r>
          <w:r>
            <w:fldChar w:fldCharType="separate"/>
          </w:r>
          <w:r>
            <w:t>60</w:t>
          </w:r>
          <w:r>
            <w:fldChar w:fldCharType="end"/>
          </w:r>
          <w:r>
            <w:fldChar w:fldCharType="end"/>
          </w:r>
        </w:p>
        <w:p>
          <w:pPr>
            <w:pStyle w:val="11"/>
            <w:tabs>
              <w:tab w:val="right" w:leader="dot" w:pos="9088"/>
            </w:tabs>
          </w:pPr>
          <w:r>
            <w:fldChar w:fldCharType="begin"/>
          </w:r>
          <w:r>
            <w:instrText xml:space="preserve"> HYPERLINK \l _Toc9501 </w:instrText>
          </w:r>
          <w:r>
            <w:fldChar w:fldCharType="separate"/>
          </w:r>
          <w:r>
            <w:rPr>
              <w:rFonts w:hint="eastAsia"/>
              <w:bCs/>
              <w:szCs w:val="32"/>
            </w:rPr>
            <w:t>7.</w:t>
          </w:r>
          <w:r>
            <w:rPr>
              <w:bCs/>
              <w:szCs w:val="32"/>
            </w:rPr>
            <w:t>调试与启动</w:t>
          </w:r>
          <w:r>
            <w:tab/>
          </w:r>
          <w:r>
            <w:fldChar w:fldCharType="begin"/>
          </w:r>
          <w:r>
            <w:instrText xml:space="preserve"> PAGEREF _Toc9501 \h </w:instrText>
          </w:r>
          <w:r>
            <w:fldChar w:fldCharType="separate"/>
          </w:r>
          <w:r>
            <w:t>61</w:t>
          </w:r>
          <w:r>
            <w:fldChar w:fldCharType="end"/>
          </w:r>
          <w:r>
            <w:fldChar w:fldCharType="end"/>
          </w:r>
        </w:p>
        <w:p>
          <w:pPr>
            <w:pStyle w:val="11"/>
            <w:tabs>
              <w:tab w:val="right" w:leader="dot" w:pos="9088"/>
            </w:tabs>
          </w:pPr>
          <w:r>
            <w:fldChar w:fldCharType="begin"/>
          </w:r>
          <w:r>
            <w:instrText xml:space="preserve"> HYPERLINK \l _Toc21245 </w:instrText>
          </w:r>
          <w:r>
            <w:fldChar w:fldCharType="separate"/>
          </w:r>
          <w:r>
            <w:rPr>
              <w:rFonts w:hint="eastAsia"/>
              <w:bCs/>
              <w:szCs w:val="32"/>
            </w:rPr>
            <w:t>8.机组</w:t>
          </w:r>
          <w:r>
            <w:rPr>
              <w:bCs/>
              <w:szCs w:val="32"/>
            </w:rPr>
            <w:t>移交</w:t>
          </w:r>
          <w:r>
            <w:tab/>
          </w:r>
          <w:r>
            <w:fldChar w:fldCharType="begin"/>
          </w:r>
          <w:r>
            <w:instrText xml:space="preserve"> PAGEREF _Toc21245 \h </w:instrText>
          </w:r>
          <w:r>
            <w:fldChar w:fldCharType="separate"/>
          </w:r>
          <w:r>
            <w:t>61</w:t>
          </w:r>
          <w:r>
            <w:fldChar w:fldCharType="end"/>
          </w:r>
          <w:r>
            <w:fldChar w:fldCharType="end"/>
          </w:r>
        </w:p>
        <w:p>
          <w:pPr>
            <w:pStyle w:val="11"/>
            <w:tabs>
              <w:tab w:val="right" w:leader="dot" w:pos="9088"/>
            </w:tabs>
          </w:pPr>
          <w:r>
            <w:fldChar w:fldCharType="begin"/>
          </w:r>
          <w:r>
            <w:instrText xml:space="preserve"> HYPERLINK \l _Toc23331 </w:instrText>
          </w:r>
          <w:r>
            <w:fldChar w:fldCharType="separate"/>
          </w:r>
          <w:r>
            <w:rPr>
              <w:rFonts w:hint="eastAsia"/>
              <w:bCs/>
              <w:szCs w:val="32"/>
            </w:rPr>
            <w:t>9.</w:t>
          </w:r>
          <w:r>
            <w:rPr>
              <w:bCs/>
              <w:szCs w:val="32"/>
            </w:rPr>
            <w:t>性能验收试验</w:t>
          </w:r>
          <w:r>
            <w:tab/>
          </w:r>
          <w:r>
            <w:fldChar w:fldCharType="begin"/>
          </w:r>
          <w:r>
            <w:instrText xml:space="preserve"> PAGEREF _Toc23331 \h </w:instrText>
          </w:r>
          <w:r>
            <w:fldChar w:fldCharType="separate"/>
          </w:r>
          <w:r>
            <w:t>62</w:t>
          </w:r>
          <w:r>
            <w:fldChar w:fldCharType="end"/>
          </w:r>
          <w:r>
            <w:fldChar w:fldCharType="end"/>
          </w:r>
        </w:p>
        <w:p>
          <w:pPr>
            <w:pStyle w:val="11"/>
            <w:tabs>
              <w:tab w:val="right" w:leader="dot" w:pos="9088"/>
            </w:tabs>
          </w:pPr>
          <w:r>
            <w:fldChar w:fldCharType="begin"/>
          </w:r>
          <w:r>
            <w:instrText xml:space="preserve"> HYPERLINK \l _Toc18256 </w:instrText>
          </w:r>
          <w:r>
            <w:fldChar w:fldCharType="separate"/>
          </w:r>
          <w:r>
            <w:rPr>
              <w:rFonts w:hint="eastAsia"/>
              <w:bCs/>
              <w:szCs w:val="32"/>
            </w:rPr>
            <w:t>10.</w:t>
          </w:r>
          <w:r>
            <w:rPr>
              <w:bCs/>
              <w:szCs w:val="32"/>
            </w:rPr>
            <w:t>开工、完工和终止</w:t>
          </w:r>
          <w:r>
            <w:tab/>
          </w:r>
          <w:r>
            <w:fldChar w:fldCharType="begin"/>
          </w:r>
          <w:r>
            <w:instrText xml:space="preserve"> PAGEREF _Toc18256 \h </w:instrText>
          </w:r>
          <w:r>
            <w:fldChar w:fldCharType="separate"/>
          </w:r>
          <w:r>
            <w:t>64</w:t>
          </w:r>
          <w:r>
            <w:fldChar w:fldCharType="end"/>
          </w:r>
          <w:r>
            <w:fldChar w:fldCharType="end"/>
          </w:r>
        </w:p>
        <w:p>
          <w:pPr>
            <w:pStyle w:val="11"/>
            <w:tabs>
              <w:tab w:val="right" w:leader="dot" w:pos="9088"/>
            </w:tabs>
          </w:pPr>
          <w:r>
            <w:fldChar w:fldCharType="begin"/>
          </w:r>
          <w:r>
            <w:instrText xml:space="preserve"> HYPERLINK \l _Toc1822 </w:instrText>
          </w:r>
          <w:r>
            <w:fldChar w:fldCharType="separate"/>
          </w:r>
          <w:r>
            <w:rPr>
              <w:rFonts w:hint="eastAsia"/>
              <w:bCs/>
              <w:szCs w:val="32"/>
            </w:rPr>
            <w:t>11.</w:t>
          </w:r>
          <w:r>
            <w:rPr>
              <w:bCs/>
              <w:szCs w:val="32"/>
            </w:rPr>
            <w:t>责任限额</w:t>
          </w:r>
          <w:r>
            <w:tab/>
          </w:r>
          <w:r>
            <w:fldChar w:fldCharType="begin"/>
          </w:r>
          <w:r>
            <w:instrText xml:space="preserve"> PAGEREF _Toc1822 \h </w:instrText>
          </w:r>
          <w:r>
            <w:fldChar w:fldCharType="separate"/>
          </w:r>
          <w:r>
            <w:t>64</w:t>
          </w:r>
          <w:r>
            <w:fldChar w:fldCharType="end"/>
          </w:r>
          <w:r>
            <w:fldChar w:fldCharType="end"/>
          </w:r>
        </w:p>
        <w:p>
          <w:pPr>
            <w:pStyle w:val="11"/>
            <w:tabs>
              <w:tab w:val="right" w:leader="dot" w:pos="9088"/>
            </w:tabs>
          </w:pPr>
          <w:r>
            <w:fldChar w:fldCharType="begin"/>
          </w:r>
          <w:r>
            <w:instrText xml:space="preserve"> HYPERLINK \l _Toc17448 </w:instrText>
          </w:r>
          <w:r>
            <w:fldChar w:fldCharType="separate"/>
          </w:r>
          <w:r>
            <w:rPr>
              <w:rFonts w:hint="eastAsia"/>
              <w:bCs/>
              <w:szCs w:val="32"/>
            </w:rPr>
            <w:t>12.变更和调整</w:t>
          </w:r>
          <w:r>
            <w:tab/>
          </w:r>
          <w:r>
            <w:fldChar w:fldCharType="begin"/>
          </w:r>
          <w:r>
            <w:instrText xml:space="preserve"> PAGEREF _Toc17448 \h </w:instrText>
          </w:r>
          <w:r>
            <w:fldChar w:fldCharType="separate"/>
          </w:r>
          <w:r>
            <w:t>64</w:t>
          </w:r>
          <w:r>
            <w:fldChar w:fldCharType="end"/>
          </w:r>
          <w:r>
            <w:fldChar w:fldCharType="end"/>
          </w:r>
        </w:p>
        <w:p>
          <w:pPr>
            <w:pStyle w:val="11"/>
            <w:tabs>
              <w:tab w:val="right" w:leader="dot" w:pos="9088"/>
            </w:tabs>
          </w:pPr>
          <w:r>
            <w:fldChar w:fldCharType="begin"/>
          </w:r>
          <w:r>
            <w:instrText xml:space="preserve"> HYPERLINK \l _Toc15194 </w:instrText>
          </w:r>
          <w:r>
            <w:fldChar w:fldCharType="separate"/>
          </w:r>
          <w:r>
            <w:rPr>
              <w:rFonts w:hint="eastAsia"/>
              <w:bCs/>
              <w:szCs w:val="32"/>
            </w:rPr>
            <w:t>13.</w:t>
          </w:r>
          <w:r>
            <w:rPr>
              <w:bCs/>
              <w:szCs w:val="32"/>
            </w:rPr>
            <w:t>合同价格和付款</w:t>
          </w:r>
          <w:r>
            <w:tab/>
          </w:r>
          <w:r>
            <w:fldChar w:fldCharType="begin"/>
          </w:r>
          <w:r>
            <w:instrText xml:space="preserve"> PAGEREF _Toc15194 \h </w:instrText>
          </w:r>
          <w:r>
            <w:fldChar w:fldCharType="separate"/>
          </w:r>
          <w:r>
            <w:t>65</w:t>
          </w:r>
          <w:r>
            <w:fldChar w:fldCharType="end"/>
          </w:r>
          <w:r>
            <w:fldChar w:fldCharType="end"/>
          </w:r>
        </w:p>
        <w:p>
          <w:pPr>
            <w:pStyle w:val="11"/>
            <w:tabs>
              <w:tab w:val="right" w:leader="dot" w:pos="9088"/>
            </w:tabs>
          </w:pPr>
          <w:r>
            <w:fldChar w:fldCharType="begin"/>
          </w:r>
          <w:r>
            <w:instrText xml:space="preserve"> HYPERLINK \l _Toc22082 </w:instrText>
          </w:r>
          <w:r>
            <w:fldChar w:fldCharType="separate"/>
          </w:r>
          <w:r>
            <w:rPr>
              <w:rFonts w:hint="eastAsia"/>
              <w:bCs/>
              <w:szCs w:val="32"/>
            </w:rPr>
            <w:t>15</w:t>
          </w:r>
          <w:r>
            <w:rPr>
              <w:bCs/>
              <w:szCs w:val="32"/>
            </w:rPr>
            <w:t>提前终止</w:t>
          </w:r>
          <w:r>
            <w:tab/>
          </w:r>
          <w:r>
            <w:fldChar w:fldCharType="begin"/>
          </w:r>
          <w:r>
            <w:instrText xml:space="preserve"> PAGEREF _Toc22082 \h </w:instrText>
          </w:r>
          <w:r>
            <w:fldChar w:fldCharType="separate"/>
          </w:r>
          <w:r>
            <w:t>69</w:t>
          </w:r>
          <w:r>
            <w:fldChar w:fldCharType="end"/>
          </w:r>
          <w:r>
            <w:fldChar w:fldCharType="end"/>
          </w:r>
        </w:p>
        <w:p>
          <w:pPr>
            <w:pStyle w:val="11"/>
            <w:tabs>
              <w:tab w:val="right" w:leader="dot" w:pos="9088"/>
            </w:tabs>
          </w:pPr>
          <w:r>
            <w:fldChar w:fldCharType="begin"/>
          </w:r>
          <w:r>
            <w:instrText xml:space="preserve"> HYPERLINK \l _Toc22371 </w:instrText>
          </w:r>
          <w:r>
            <w:fldChar w:fldCharType="separate"/>
          </w:r>
          <w:r>
            <w:rPr>
              <w:rFonts w:hint="eastAsia"/>
              <w:bCs/>
              <w:szCs w:val="32"/>
            </w:rPr>
            <w:t>17.</w:t>
          </w:r>
          <w:r>
            <w:rPr>
              <w:bCs/>
              <w:szCs w:val="32"/>
            </w:rPr>
            <w:t>保密</w:t>
          </w:r>
          <w:r>
            <w:tab/>
          </w:r>
          <w:r>
            <w:fldChar w:fldCharType="begin"/>
          </w:r>
          <w:r>
            <w:instrText xml:space="preserve"> PAGEREF _Toc22371 \h </w:instrText>
          </w:r>
          <w:r>
            <w:fldChar w:fldCharType="separate"/>
          </w:r>
          <w:r>
            <w:t>69</w:t>
          </w:r>
          <w:r>
            <w:fldChar w:fldCharType="end"/>
          </w:r>
          <w:r>
            <w:fldChar w:fldCharType="end"/>
          </w:r>
        </w:p>
        <w:p>
          <w:pPr>
            <w:pStyle w:val="11"/>
            <w:tabs>
              <w:tab w:val="right" w:leader="dot" w:pos="9088"/>
            </w:tabs>
          </w:pPr>
          <w:r>
            <w:fldChar w:fldCharType="begin"/>
          </w:r>
          <w:r>
            <w:instrText xml:space="preserve"> HYPERLINK \l _Toc24122 </w:instrText>
          </w:r>
          <w:r>
            <w:fldChar w:fldCharType="separate"/>
          </w:r>
          <w:r>
            <w:rPr>
              <w:rFonts w:hint="eastAsia"/>
              <w:bCs/>
              <w:szCs w:val="32"/>
            </w:rPr>
            <w:t>18.</w:t>
          </w:r>
          <w:r>
            <w:rPr>
              <w:bCs/>
              <w:szCs w:val="32"/>
            </w:rPr>
            <w:t>文件资料</w:t>
          </w:r>
          <w:r>
            <w:tab/>
          </w:r>
          <w:r>
            <w:fldChar w:fldCharType="begin"/>
          </w:r>
          <w:r>
            <w:instrText xml:space="preserve"> PAGEREF _Toc24122 \h </w:instrText>
          </w:r>
          <w:r>
            <w:fldChar w:fldCharType="separate"/>
          </w:r>
          <w:r>
            <w:t>70</w:t>
          </w:r>
          <w:r>
            <w:fldChar w:fldCharType="end"/>
          </w:r>
          <w:r>
            <w:fldChar w:fldCharType="end"/>
          </w:r>
        </w:p>
        <w:p>
          <w:pPr>
            <w:pStyle w:val="11"/>
            <w:tabs>
              <w:tab w:val="right" w:leader="dot" w:pos="9088"/>
            </w:tabs>
          </w:pPr>
          <w:r>
            <w:fldChar w:fldCharType="begin"/>
          </w:r>
          <w:r>
            <w:instrText xml:space="preserve"> HYPERLINK \l _Toc1526 </w:instrText>
          </w:r>
          <w:r>
            <w:fldChar w:fldCharType="separate"/>
          </w:r>
          <w:r>
            <w:rPr>
              <w:rFonts w:hint="eastAsia"/>
              <w:bCs/>
              <w:szCs w:val="32"/>
            </w:rPr>
            <w:t>19.保险</w:t>
          </w:r>
          <w:r>
            <w:tab/>
          </w:r>
          <w:r>
            <w:fldChar w:fldCharType="begin"/>
          </w:r>
          <w:r>
            <w:instrText xml:space="preserve"> PAGEREF _Toc1526 \h </w:instrText>
          </w:r>
          <w:r>
            <w:fldChar w:fldCharType="separate"/>
          </w:r>
          <w:r>
            <w:t>70</w:t>
          </w:r>
          <w:r>
            <w:fldChar w:fldCharType="end"/>
          </w:r>
          <w:r>
            <w:fldChar w:fldCharType="end"/>
          </w:r>
        </w:p>
        <w:p>
          <w:pPr>
            <w:pStyle w:val="11"/>
            <w:tabs>
              <w:tab w:val="right" w:leader="dot" w:pos="9088"/>
            </w:tabs>
          </w:pPr>
          <w:r>
            <w:fldChar w:fldCharType="begin"/>
          </w:r>
          <w:r>
            <w:instrText xml:space="preserve"> HYPERLINK \l _Toc2347 </w:instrText>
          </w:r>
          <w:r>
            <w:fldChar w:fldCharType="separate"/>
          </w:r>
          <w:r>
            <w:rPr>
              <w:rFonts w:hint="eastAsia"/>
              <w:bCs/>
              <w:szCs w:val="32"/>
            </w:rPr>
            <w:t>20.不可抗力</w:t>
          </w:r>
          <w:r>
            <w:tab/>
          </w:r>
          <w:r>
            <w:fldChar w:fldCharType="begin"/>
          </w:r>
          <w:r>
            <w:instrText xml:space="preserve"> PAGEREF _Toc2347 \h </w:instrText>
          </w:r>
          <w:r>
            <w:fldChar w:fldCharType="separate"/>
          </w:r>
          <w:r>
            <w:t>70</w:t>
          </w:r>
          <w:r>
            <w:fldChar w:fldCharType="end"/>
          </w:r>
          <w:r>
            <w:fldChar w:fldCharType="end"/>
          </w:r>
        </w:p>
        <w:p>
          <w:pPr>
            <w:pStyle w:val="11"/>
            <w:tabs>
              <w:tab w:val="right" w:leader="dot" w:pos="9088"/>
            </w:tabs>
          </w:pPr>
          <w:r>
            <w:fldChar w:fldCharType="begin"/>
          </w:r>
          <w:r>
            <w:instrText xml:space="preserve"> HYPERLINK \l _Toc17088 </w:instrText>
          </w:r>
          <w:r>
            <w:fldChar w:fldCharType="separate"/>
          </w:r>
          <w:r>
            <w:rPr>
              <w:rFonts w:hint="eastAsia"/>
              <w:bCs/>
              <w:szCs w:val="32"/>
            </w:rPr>
            <w:t>22.</w:t>
          </w:r>
          <w:r>
            <w:rPr>
              <w:bCs/>
              <w:szCs w:val="32"/>
            </w:rPr>
            <w:t>争议解决</w:t>
          </w:r>
          <w:r>
            <w:tab/>
          </w:r>
          <w:r>
            <w:fldChar w:fldCharType="begin"/>
          </w:r>
          <w:r>
            <w:instrText xml:space="preserve"> PAGEREF _Toc17088 \h </w:instrText>
          </w:r>
          <w:r>
            <w:fldChar w:fldCharType="separate"/>
          </w:r>
          <w:r>
            <w:t>71</w:t>
          </w:r>
          <w:r>
            <w:fldChar w:fldCharType="end"/>
          </w:r>
          <w:r>
            <w:fldChar w:fldCharType="end"/>
          </w:r>
        </w:p>
        <w:p>
          <w:pPr>
            <w:pStyle w:val="11"/>
            <w:tabs>
              <w:tab w:val="right" w:leader="dot" w:pos="9088"/>
            </w:tabs>
          </w:pPr>
          <w:r>
            <w:fldChar w:fldCharType="begin"/>
          </w:r>
          <w:r>
            <w:instrText xml:space="preserve"> HYPERLINK \l _Toc29977 </w:instrText>
          </w:r>
          <w:r>
            <w:fldChar w:fldCharType="separate"/>
          </w:r>
          <w:r>
            <w:t>第三节 合同附件格式</w:t>
          </w:r>
          <w:r>
            <w:tab/>
          </w:r>
          <w:r>
            <w:fldChar w:fldCharType="begin"/>
          </w:r>
          <w:r>
            <w:instrText xml:space="preserve"> PAGEREF _Toc29977 \h </w:instrText>
          </w:r>
          <w:r>
            <w:fldChar w:fldCharType="separate"/>
          </w:r>
          <w:r>
            <w:t>72</w:t>
          </w:r>
          <w:r>
            <w:fldChar w:fldCharType="end"/>
          </w:r>
          <w:r>
            <w:fldChar w:fldCharType="end"/>
          </w:r>
        </w:p>
        <w:p>
          <w:pPr>
            <w:pStyle w:val="6"/>
            <w:tabs>
              <w:tab w:val="right" w:leader="dot" w:pos="9088"/>
            </w:tabs>
          </w:pPr>
          <w:r>
            <w:fldChar w:fldCharType="begin"/>
          </w:r>
          <w:r>
            <w:instrText xml:space="preserve"> HYPERLINK \l _Toc1715 </w:instrText>
          </w:r>
          <w:r>
            <w:fldChar w:fldCharType="separate"/>
          </w:r>
          <w:r>
            <w:t>附件一：合同协议书</w:t>
          </w:r>
          <w:r>
            <w:tab/>
          </w:r>
          <w:r>
            <w:fldChar w:fldCharType="begin"/>
          </w:r>
          <w:r>
            <w:instrText xml:space="preserve"> PAGEREF _Toc1715 \h </w:instrText>
          </w:r>
          <w:r>
            <w:fldChar w:fldCharType="separate"/>
          </w:r>
          <w:r>
            <w:t>73</w:t>
          </w:r>
          <w:r>
            <w:fldChar w:fldCharType="end"/>
          </w:r>
          <w:r>
            <w:fldChar w:fldCharType="end"/>
          </w:r>
        </w:p>
        <w:p>
          <w:pPr>
            <w:pStyle w:val="6"/>
            <w:tabs>
              <w:tab w:val="right" w:leader="dot" w:pos="9088"/>
            </w:tabs>
          </w:pPr>
          <w:r>
            <w:fldChar w:fldCharType="begin"/>
          </w:r>
          <w:r>
            <w:instrText xml:space="preserve"> HYPERLINK \l _Toc29630 </w:instrText>
          </w:r>
          <w:r>
            <w:fldChar w:fldCharType="separate"/>
          </w:r>
          <w:r>
            <w:t>附件二：履约保证金格式</w:t>
          </w:r>
          <w:r>
            <w:tab/>
          </w:r>
          <w:r>
            <w:fldChar w:fldCharType="begin"/>
          </w:r>
          <w:r>
            <w:instrText xml:space="preserve"> PAGEREF _Toc29630 \h </w:instrText>
          </w:r>
          <w:r>
            <w:fldChar w:fldCharType="separate"/>
          </w:r>
          <w:r>
            <w:t>75</w:t>
          </w:r>
          <w:r>
            <w:fldChar w:fldCharType="end"/>
          </w:r>
          <w:r>
            <w:fldChar w:fldCharType="end"/>
          </w:r>
        </w:p>
        <w:p>
          <w:pPr>
            <w:pStyle w:val="6"/>
            <w:tabs>
              <w:tab w:val="right" w:leader="dot" w:pos="9088"/>
            </w:tabs>
          </w:pPr>
          <w:r>
            <w:fldChar w:fldCharType="begin"/>
          </w:r>
          <w:r>
            <w:instrText xml:space="preserve"> HYPERLINK \l _Toc18958 </w:instrText>
          </w:r>
          <w:r>
            <w:fldChar w:fldCharType="separate"/>
          </w:r>
          <w:r>
            <w:t>附件三： 性能验收要求</w:t>
          </w:r>
          <w:r>
            <w:tab/>
          </w:r>
          <w:r>
            <w:fldChar w:fldCharType="begin"/>
          </w:r>
          <w:r>
            <w:instrText xml:space="preserve"> PAGEREF _Toc18958 \h </w:instrText>
          </w:r>
          <w:r>
            <w:fldChar w:fldCharType="separate"/>
          </w:r>
          <w:r>
            <w:t>76</w:t>
          </w:r>
          <w:r>
            <w:fldChar w:fldCharType="end"/>
          </w:r>
          <w:r>
            <w:fldChar w:fldCharType="end"/>
          </w:r>
        </w:p>
        <w:p>
          <w:pPr>
            <w:pStyle w:val="6"/>
            <w:tabs>
              <w:tab w:val="right" w:leader="dot" w:pos="9088"/>
            </w:tabs>
          </w:pPr>
          <w:r>
            <w:fldChar w:fldCharType="begin"/>
          </w:r>
          <w:r>
            <w:instrText xml:space="preserve"> HYPERLINK \l _Toc14816 </w:instrText>
          </w:r>
          <w:r>
            <w:fldChar w:fldCharType="separate"/>
          </w:r>
          <w:r>
            <w:t>附件四：安全生产管理协议</w:t>
          </w:r>
          <w:r>
            <w:tab/>
          </w:r>
          <w:r>
            <w:fldChar w:fldCharType="begin"/>
          </w:r>
          <w:r>
            <w:instrText xml:space="preserve"> PAGEREF _Toc14816 \h </w:instrText>
          </w:r>
          <w:r>
            <w:fldChar w:fldCharType="separate"/>
          </w:r>
          <w:r>
            <w:t>77</w:t>
          </w:r>
          <w:r>
            <w:fldChar w:fldCharType="end"/>
          </w:r>
          <w:r>
            <w:fldChar w:fldCharType="end"/>
          </w:r>
        </w:p>
        <w:p>
          <w:pPr>
            <w:pStyle w:val="6"/>
            <w:tabs>
              <w:tab w:val="right" w:leader="dot" w:pos="9088"/>
            </w:tabs>
          </w:pPr>
          <w:r>
            <w:fldChar w:fldCharType="begin"/>
          </w:r>
          <w:r>
            <w:instrText xml:space="preserve"> HYPERLINK \l _Toc22741 </w:instrText>
          </w:r>
          <w:r>
            <w:fldChar w:fldCharType="separate"/>
          </w:r>
          <w:r>
            <w:t>附件五：工程档案管理要求</w:t>
          </w:r>
          <w:r>
            <w:tab/>
          </w:r>
          <w:r>
            <w:fldChar w:fldCharType="begin"/>
          </w:r>
          <w:r>
            <w:instrText xml:space="preserve"> PAGEREF _Toc22741 \h </w:instrText>
          </w:r>
          <w:r>
            <w:fldChar w:fldCharType="separate"/>
          </w:r>
          <w:r>
            <w:t>90</w:t>
          </w:r>
          <w:r>
            <w:fldChar w:fldCharType="end"/>
          </w:r>
          <w:r>
            <w:fldChar w:fldCharType="end"/>
          </w:r>
        </w:p>
        <w:p>
          <w:pPr>
            <w:pStyle w:val="6"/>
            <w:tabs>
              <w:tab w:val="right" w:leader="dot" w:pos="9088"/>
            </w:tabs>
          </w:pPr>
          <w:r>
            <w:fldChar w:fldCharType="begin"/>
          </w:r>
          <w:r>
            <w:instrText xml:space="preserve"> HYPERLINK \l _Toc7335 </w:instrText>
          </w:r>
          <w:r>
            <w:fldChar w:fldCharType="separate"/>
          </w:r>
          <w:r>
            <w:t>附件六 农民工工资结清证明</w:t>
          </w:r>
          <w:r>
            <w:tab/>
          </w:r>
          <w:r>
            <w:fldChar w:fldCharType="begin"/>
          </w:r>
          <w:r>
            <w:instrText xml:space="preserve"> PAGEREF _Toc7335 \h </w:instrText>
          </w:r>
          <w:r>
            <w:fldChar w:fldCharType="separate"/>
          </w:r>
          <w:r>
            <w:t>98</w:t>
          </w:r>
          <w:r>
            <w:fldChar w:fldCharType="end"/>
          </w:r>
          <w:r>
            <w:fldChar w:fldCharType="end"/>
          </w:r>
        </w:p>
        <w:p>
          <w:pPr>
            <w:pStyle w:val="6"/>
            <w:tabs>
              <w:tab w:val="right" w:leader="dot" w:pos="9088"/>
            </w:tabs>
          </w:pPr>
          <w:r>
            <w:fldChar w:fldCharType="begin"/>
          </w:r>
          <w:r>
            <w:instrText xml:space="preserve"> HYPERLINK \l _Toc27469 </w:instrText>
          </w:r>
          <w:r>
            <w:fldChar w:fldCharType="separate"/>
          </w:r>
          <w:r>
            <w:t>附件七 工程建设项目廉政责任书</w:t>
          </w:r>
          <w:r>
            <w:tab/>
          </w:r>
          <w:r>
            <w:fldChar w:fldCharType="begin"/>
          </w:r>
          <w:r>
            <w:instrText xml:space="preserve"> PAGEREF _Toc27469 \h </w:instrText>
          </w:r>
          <w:r>
            <w:fldChar w:fldCharType="separate"/>
          </w:r>
          <w:r>
            <w:t>99</w:t>
          </w:r>
          <w:r>
            <w:fldChar w:fldCharType="end"/>
          </w:r>
          <w:r>
            <w:fldChar w:fldCharType="end"/>
          </w:r>
        </w:p>
        <w:p>
          <w:pPr>
            <w:pStyle w:val="6"/>
            <w:tabs>
              <w:tab w:val="right" w:leader="dot" w:pos="9088"/>
            </w:tabs>
          </w:pPr>
          <w:r>
            <w:fldChar w:fldCharType="begin"/>
          </w:r>
          <w:r>
            <w:instrText xml:space="preserve"> HYPERLINK \l _Toc31864 </w:instrText>
          </w:r>
          <w:r>
            <w:fldChar w:fldCharType="separate"/>
          </w:r>
          <w:r>
            <w:t>附件八 合同价格清单表</w:t>
          </w:r>
          <w:r>
            <w:tab/>
          </w:r>
          <w:r>
            <w:fldChar w:fldCharType="begin"/>
          </w:r>
          <w:r>
            <w:instrText xml:space="preserve"> PAGEREF _Toc31864 \h </w:instrText>
          </w:r>
          <w:r>
            <w:fldChar w:fldCharType="separate"/>
          </w:r>
          <w:r>
            <w:t>I</w:t>
          </w:r>
          <w:r>
            <w:fldChar w:fldCharType="end"/>
          </w:r>
          <w:r>
            <w:fldChar w:fldCharType="end"/>
          </w:r>
        </w:p>
        <w:p>
          <w:pPr>
            <w:pStyle w:val="6"/>
            <w:tabs>
              <w:tab w:val="right" w:leader="dot" w:pos="9088"/>
            </w:tabs>
          </w:pPr>
          <w:r>
            <w:fldChar w:fldCharType="begin"/>
          </w:r>
          <w:r>
            <w:instrText xml:space="preserve"> HYPERLINK \l _Toc12115 </w:instrText>
          </w:r>
          <w:r>
            <w:fldChar w:fldCharType="separate"/>
          </w:r>
          <w:r>
            <w:rPr>
              <w:szCs w:val="28"/>
            </w:rPr>
            <w:t>附件九：外委单位安全管理考核实施细则</w:t>
          </w:r>
          <w:r>
            <w:tab/>
          </w:r>
          <w:r>
            <w:fldChar w:fldCharType="begin"/>
          </w:r>
          <w:r>
            <w:instrText xml:space="preserve"> PAGEREF _Toc12115 \h </w:instrText>
          </w:r>
          <w:r>
            <w:fldChar w:fldCharType="separate"/>
          </w:r>
          <w:r>
            <w:t>II</w:t>
          </w:r>
          <w:r>
            <w:fldChar w:fldCharType="end"/>
          </w:r>
          <w:r>
            <w:fldChar w:fldCharType="end"/>
          </w:r>
        </w:p>
        <w:p>
          <w:pPr>
            <w:pStyle w:val="9"/>
            <w:tabs>
              <w:tab w:val="right" w:leader="dot" w:pos="9088"/>
            </w:tabs>
          </w:pPr>
        </w:p>
        <w:p>
          <w:r>
            <w:fldChar w:fldCharType="end"/>
          </w:r>
        </w:p>
      </w:sdtContent>
    </w:sdt>
    <w:p>
      <w:pPr>
        <w:pStyle w:val="18"/>
      </w:pPr>
      <w:bookmarkStart w:id="1" w:name="_Toc3355"/>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r>
        <w:t>第一节 通用合同条款</w:t>
      </w:r>
      <w:bookmarkEnd w:id="0"/>
      <w:bookmarkEnd w:id="1"/>
    </w:p>
    <w:p>
      <w:pPr>
        <w:pStyle w:val="3"/>
        <w:spacing w:before="0" w:beforeLines="0" w:after="0" w:afterLines="0" w:line="360" w:lineRule="auto"/>
        <w:rPr>
          <w:rFonts w:hint="eastAsia"/>
          <w:color w:val="auto"/>
          <w:lang w:eastAsia="zh-CN"/>
        </w:rPr>
      </w:pPr>
      <w:bookmarkStart w:id="2" w:name="_Toc9463"/>
      <w:bookmarkStart w:id="3" w:name="_Toc120689280"/>
      <w:bookmarkStart w:id="4" w:name="_Toc170377802"/>
      <w:bookmarkStart w:id="5" w:name="_Toc1623"/>
      <w:r>
        <w:rPr>
          <w:color w:val="auto"/>
          <w:lang w:eastAsia="zh-CN"/>
        </w:rPr>
        <w:t>1. 一般规定</w:t>
      </w:r>
      <w:bookmarkEnd w:id="2"/>
      <w:bookmarkEnd w:id="3"/>
      <w:bookmarkEnd w:id="4"/>
      <w:bookmarkEnd w:id="5"/>
    </w:p>
    <w:p>
      <w:pPr>
        <w:pStyle w:val="4"/>
        <w:rPr>
          <w:rFonts w:hint="eastAsia"/>
        </w:rPr>
      </w:pPr>
      <w:bookmarkStart w:id="6" w:name="_Toc120689281"/>
      <w:bookmarkStart w:id="7" w:name="_Toc3542"/>
      <w:bookmarkStart w:id="8" w:name="_Toc170377803"/>
      <w:bookmarkStart w:id="9" w:name="_Toc24250"/>
      <w:r>
        <w:t>1.1 定义</w:t>
      </w:r>
      <w:bookmarkEnd w:id="6"/>
      <w:bookmarkEnd w:id="7"/>
      <w:bookmarkEnd w:id="8"/>
      <w:bookmarkEnd w:id="9"/>
    </w:p>
    <w:p>
      <w:pPr>
        <w:jc w:val="left"/>
        <w:rPr>
          <w:rFonts w:hint="eastAsia"/>
        </w:rPr>
      </w:pPr>
      <w:r>
        <w:rPr>
          <w:rFonts w:hint="eastAsia"/>
        </w:rPr>
        <w:t>除上下文另有要求外，下列词语在本合同中应具有以下含义：</w:t>
      </w:r>
    </w:p>
    <w:p>
      <w:pPr>
        <w:jc w:val="left"/>
        <w:rPr>
          <w:rFonts w:hint="eastAsia"/>
        </w:rPr>
      </w:pPr>
      <w:r>
        <w:t>1.1.1 合同</w:t>
      </w:r>
    </w:p>
    <w:p>
      <w:pPr>
        <w:jc w:val="left"/>
        <w:rPr>
          <w:rFonts w:hint="eastAsia"/>
        </w:rPr>
      </w:pPr>
      <w:r>
        <w:rPr>
          <w:rFonts w:hint="eastAsia"/>
        </w:rPr>
        <w:t>（</w:t>
      </w:r>
      <w:r>
        <w:t>1）“合同”系指合同协议书、通用条款、专用条款、招标文件、投标文件、合同附件、技术规范书（技术协议书）及合同协议书中所列明的其他文件（如果有的话）。</w:t>
      </w:r>
    </w:p>
    <w:p>
      <w:pPr>
        <w:jc w:val="left"/>
        <w:rPr>
          <w:rFonts w:hint="eastAsia"/>
        </w:rPr>
      </w:pPr>
      <w:r>
        <w:rPr>
          <w:rFonts w:hint="eastAsia"/>
        </w:rPr>
        <w:t>（</w:t>
      </w:r>
      <w:r>
        <w:t>2）“技术规范书”指发包人要求的并经承包人确认的本工程的技术规范，包括其中列明的工程的目标、范围、和（或）设计和（或）其他技术标准等，以及按合同对该文件所作的任何补充或修改。</w:t>
      </w:r>
    </w:p>
    <w:p>
      <w:pPr>
        <w:jc w:val="left"/>
        <w:rPr>
          <w:rFonts w:hint="eastAsia"/>
        </w:rPr>
      </w:pPr>
      <w:r>
        <w:t>1.1.2 各方和人员</w:t>
      </w:r>
    </w:p>
    <w:p>
      <w:pPr>
        <w:jc w:val="left"/>
        <w:rPr>
          <w:rFonts w:hint="eastAsia"/>
        </w:rPr>
      </w:pPr>
      <w:r>
        <w:rPr>
          <w:rFonts w:hint="eastAsia"/>
        </w:rPr>
        <w:t>（</w:t>
      </w:r>
      <w:r>
        <w:t>1）“发包人”指在合同协议书中被称为发包人的当事人及其财产所有权的合法继承人或经许可的受让人。</w:t>
      </w:r>
    </w:p>
    <w:p>
      <w:pPr>
        <w:jc w:val="left"/>
        <w:rPr>
          <w:rFonts w:hint="eastAsia"/>
        </w:rPr>
      </w:pPr>
      <w:r>
        <w:rPr>
          <w:rFonts w:hint="eastAsia"/>
        </w:rPr>
        <w:t>（</w:t>
      </w:r>
      <w:r>
        <w:t>2）“承包人”指合同协议书中被称为承包人的当事人及其财产所有权的合法继承人。</w:t>
      </w:r>
    </w:p>
    <w:p>
      <w:pPr>
        <w:jc w:val="left"/>
        <w:rPr>
          <w:rFonts w:hint="eastAsia"/>
        </w:rPr>
      </w:pPr>
      <w:r>
        <w:rPr>
          <w:rFonts w:hint="eastAsia"/>
        </w:rPr>
        <w:t>（</w:t>
      </w:r>
      <w:r>
        <w:t>3）“发包人代表”指由发包人在合同中指明的人员，或由发包人根据第2.3款的规定随时任命为其代表的人员。</w:t>
      </w:r>
    </w:p>
    <w:p>
      <w:pPr>
        <w:jc w:val="left"/>
        <w:rPr>
          <w:rFonts w:hint="eastAsia"/>
        </w:rPr>
      </w:pPr>
      <w:r>
        <w:rPr>
          <w:rFonts w:hint="eastAsia"/>
        </w:rPr>
        <w:t>（</w:t>
      </w:r>
      <w:r>
        <w:t>4）“项目经理”指由承包人在合同中指明的人员，或由承包人根据第3.2款的规定随时任命为其代表的人员。</w:t>
      </w:r>
    </w:p>
    <w:p>
      <w:pPr>
        <w:jc w:val="left"/>
        <w:rPr>
          <w:rFonts w:hint="eastAsia"/>
        </w:rPr>
      </w:pPr>
      <w:r>
        <w:rPr>
          <w:rFonts w:hint="eastAsia"/>
        </w:rPr>
        <w:t>（</w:t>
      </w:r>
      <w:r>
        <w:t>5）“发包人人员”指发包人代表、发包人和发包人代表的所有雇员，以及发包人或发包人代表指定的任何其他人员。</w:t>
      </w:r>
    </w:p>
    <w:p>
      <w:pPr>
        <w:jc w:val="left"/>
        <w:rPr>
          <w:rFonts w:hint="eastAsia"/>
        </w:rPr>
      </w:pPr>
      <w:r>
        <w:rPr>
          <w:rFonts w:hint="eastAsia"/>
        </w:rPr>
        <w:t>（</w:t>
      </w:r>
      <w:r>
        <w:t>6）“承包人人员”指项目经理和承包人在工程场地聘用的所有人员，包括承包人和其分包商的任何雇员，以及所有其他由承包人指定的人员。</w:t>
      </w:r>
    </w:p>
    <w:p>
      <w:pPr>
        <w:jc w:val="left"/>
        <w:rPr>
          <w:rFonts w:hint="eastAsia"/>
        </w:rPr>
      </w:pPr>
      <w:r>
        <w:rPr>
          <w:rFonts w:hint="eastAsia"/>
        </w:rPr>
        <w:t>（</w:t>
      </w:r>
      <w:r>
        <w:t>7）“分包商”指受承包人委托承担本合同下部分工作的当事人，包括其财产所有权的合法继承人。</w:t>
      </w:r>
    </w:p>
    <w:p>
      <w:pPr>
        <w:jc w:val="left"/>
        <w:rPr>
          <w:rFonts w:hint="eastAsia"/>
        </w:rPr>
      </w:pPr>
      <w:r>
        <w:rPr>
          <w:rFonts w:hint="eastAsia"/>
        </w:rPr>
        <w:t>（</w:t>
      </w:r>
      <w:r>
        <w:t>8）“其他承包人”指除承包人（包括其分包商）之外为发包人所雇用的，为工程某一部分的建设提供服务的当事人。</w:t>
      </w:r>
    </w:p>
    <w:p>
      <w:pPr>
        <w:jc w:val="left"/>
        <w:rPr>
          <w:rFonts w:hint="eastAsia"/>
        </w:rPr>
      </w:pPr>
      <w:r>
        <w:rPr>
          <w:rFonts w:hint="eastAsia"/>
        </w:rPr>
        <w:t>（</w:t>
      </w:r>
      <w:r>
        <w:t>9）“第三方”指除发包人和承包人之外的其他当事人，除非相关条款特别指明，否则第三方不包括发包人的其他承包人或经发包人聘请以履行其在本合同项下的义务或行使其在本合同项下权利的其他人；也不包括承包人的分包商或其代理人，或经发包人同意，受承包人聘用而履行其在本合同项下的义务或行使其在本合同项下权利的人。</w:t>
      </w:r>
    </w:p>
    <w:p>
      <w:pPr>
        <w:jc w:val="left"/>
        <w:rPr>
          <w:rFonts w:hint="eastAsia"/>
        </w:rPr>
      </w:pPr>
      <w:r>
        <w:rPr>
          <w:rFonts w:hint="eastAsia"/>
        </w:rPr>
        <w:t>（</w:t>
      </w:r>
      <w:r>
        <w:t>10）“监理工程师”指具有法律规定的资质并由发包人聘请负责对本工程全过程实施监理的当事人，详见本通用条款第2.4条。</w:t>
      </w:r>
    </w:p>
    <w:p>
      <w:pPr>
        <w:jc w:val="left"/>
        <w:rPr>
          <w:rFonts w:hint="eastAsia"/>
        </w:rPr>
      </w:pPr>
      <w:r>
        <w:rPr>
          <w:rFonts w:hint="eastAsia"/>
        </w:rPr>
        <w:t>（</w:t>
      </w:r>
      <w:r>
        <w:t>11）“电力调度机构”指按照国家有关规定，负责调度机组所发电力电量的电网公司或调度管理机构。</w:t>
      </w:r>
    </w:p>
    <w:p>
      <w:pPr>
        <w:jc w:val="left"/>
        <w:rPr>
          <w:rFonts w:hint="eastAsia"/>
        </w:rPr>
      </w:pPr>
      <w:r>
        <w:t>1.1.3 日期、试验、期限和竣工</w:t>
      </w:r>
    </w:p>
    <w:p>
      <w:pPr>
        <w:jc w:val="left"/>
        <w:rPr>
          <w:rFonts w:hint="eastAsia"/>
        </w:rPr>
      </w:pPr>
      <w:r>
        <w:rPr>
          <w:rFonts w:hint="eastAsia"/>
        </w:rPr>
        <w:t>（</w:t>
      </w:r>
      <w:r>
        <w:t>1）“合同生效日期”指合同协议书的生效日期。</w:t>
      </w:r>
    </w:p>
    <w:p>
      <w:pPr>
        <w:jc w:val="left"/>
        <w:rPr>
          <w:rFonts w:hint="eastAsia"/>
        </w:rPr>
      </w:pPr>
      <w:r>
        <w:rPr>
          <w:rFonts w:hint="eastAsia"/>
        </w:rPr>
        <w:t>（</w:t>
      </w:r>
      <w:r>
        <w:t>2）“基准日期”指递交投标文件截止日期前28天的日期。</w:t>
      </w:r>
    </w:p>
    <w:p>
      <w:pPr>
        <w:jc w:val="left"/>
        <w:rPr>
          <w:rFonts w:hint="eastAsia"/>
        </w:rPr>
      </w:pPr>
      <w:r>
        <w:rPr>
          <w:rFonts w:hint="eastAsia"/>
        </w:rPr>
        <w:t>（</w:t>
      </w:r>
      <w:r>
        <w:t>3）“开工日期”指合同协议书中规定的日期。</w:t>
      </w:r>
    </w:p>
    <w:p>
      <w:pPr>
        <w:jc w:val="left"/>
        <w:rPr>
          <w:rFonts w:hint="eastAsia"/>
        </w:rPr>
      </w:pPr>
      <w:r>
        <w:rPr>
          <w:rFonts w:hint="eastAsia"/>
        </w:rPr>
        <w:t>（</w:t>
      </w:r>
      <w:r>
        <w:t>4）“完工日”指合同协议书中规定的，工程的任何一台机组按计划应成功完成整套启动试运的日期。</w:t>
      </w:r>
    </w:p>
    <w:p>
      <w:pPr>
        <w:jc w:val="left"/>
        <w:rPr>
          <w:rFonts w:hint="eastAsia"/>
        </w:rPr>
      </w:pPr>
      <w:r>
        <w:rPr>
          <w:rFonts w:hint="eastAsia"/>
        </w:rPr>
        <w:t>（</w:t>
      </w:r>
      <w:r>
        <w:t>5）“启动试运”指承包人在完工日期前按国家有关规定（规程）和本合同约定进行的分部启动试运及整套启动试运。</w:t>
      </w:r>
    </w:p>
    <w:p>
      <w:pPr>
        <w:jc w:val="left"/>
        <w:rPr>
          <w:rFonts w:hint="eastAsia"/>
        </w:rPr>
      </w:pPr>
      <w:r>
        <w:rPr>
          <w:rFonts w:hint="eastAsia"/>
        </w:rPr>
        <w:t>（</w:t>
      </w:r>
      <w:r>
        <w:t>6）“性能验收试验”指为确定机组的实际性能指标而按本合同规定的程序和要求进行的试验。</w:t>
      </w:r>
    </w:p>
    <w:p>
      <w:pPr>
        <w:jc w:val="left"/>
        <w:rPr>
          <w:rFonts w:hint="eastAsia"/>
        </w:rPr>
      </w:pPr>
      <w:r>
        <w:rPr>
          <w:rFonts w:hint="eastAsia"/>
        </w:rPr>
        <w:t>（</w:t>
      </w:r>
      <w:r>
        <w:t>7）“消缺清单”指承包人编制并经发包人确认的清单（可按需要定期修改）。该清单中应列出每一台机组完工后仍有待完成，但对机组的正常、安全、经济运行不会产生任何不利影响的工作，以确保本工程完全符合合同中规定的所有标准和要求。</w:t>
      </w:r>
    </w:p>
    <w:p>
      <w:pPr>
        <w:jc w:val="left"/>
        <w:rPr>
          <w:rFonts w:hint="eastAsia"/>
        </w:rPr>
      </w:pPr>
      <w:r>
        <w:rPr>
          <w:rFonts w:hint="eastAsia"/>
        </w:rPr>
        <w:t>（</w:t>
      </w:r>
      <w:r>
        <w:t>8）“性能验收证书”指根据附件四《性能验收试验》中的有关规定由发包人向承包人签发的，表明任何一台机组己完全达到或视为达到合同规定的性能验收要求的证书。</w:t>
      </w:r>
    </w:p>
    <w:p>
      <w:pPr>
        <w:jc w:val="left"/>
        <w:rPr>
          <w:rFonts w:hint="eastAsia"/>
        </w:rPr>
      </w:pPr>
      <w:r>
        <w:rPr>
          <w:rFonts w:hint="eastAsia"/>
        </w:rPr>
        <w:t>（</w:t>
      </w:r>
      <w:r>
        <w:t>9）“竣工资料”指承包人按照合同规定在工程完工后交付给发包人的完整的资料（包括竣工图纸）。</w:t>
      </w:r>
    </w:p>
    <w:p>
      <w:pPr>
        <w:jc w:val="left"/>
        <w:rPr>
          <w:rFonts w:hint="eastAsia"/>
        </w:rPr>
      </w:pPr>
      <w:r>
        <w:rPr>
          <w:rFonts w:hint="eastAsia"/>
        </w:rPr>
        <w:t>（</w:t>
      </w:r>
      <w:r>
        <w:t>10）“质量保证期”指承包人就每台机组承担质量保证责任的期间，为从相应机组完工日起12个月。</w:t>
      </w:r>
    </w:p>
    <w:p>
      <w:pPr>
        <w:jc w:val="left"/>
        <w:rPr>
          <w:rFonts w:hint="eastAsia"/>
        </w:rPr>
      </w:pPr>
      <w:r>
        <w:rPr>
          <w:rFonts w:hint="eastAsia"/>
        </w:rPr>
        <w:t>（</w:t>
      </w:r>
      <w:r>
        <w:t>11）“移交证书”系指根据第8.1.2条规定颁发的证书。</w:t>
      </w:r>
    </w:p>
    <w:p>
      <w:pPr>
        <w:jc w:val="left"/>
        <w:rPr>
          <w:rFonts w:hint="eastAsia"/>
        </w:rPr>
      </w:pPr>
      <w:r>
        <w:rPr>
          <w:rFonts w:hint="eastAsia"/>
        </w:rPr>
        <w:t>（</w:t>
      </w:r>
      <w:r>
        <w:t>12）“日（天）”系指一个日历日，“年”系指365天。</w:t>
      </w:r>
    </w:p>
    <w:p>
      <w:pPr>
        <w:jc w:val="left"/>
        <w:rPr>
          <w:rFonts w:hint="eastAsia"/>
        </w:rPr>
      </w:pPr>
      <w:r>
        <w:t>1.1.4 款项与支付</w:t>
      </w:r>
    </w:p>
    <w:p>
      <w:pPr>
        <w:jc w:val="left"/>
        <w:rPr>
          <w:rFonts w:hint="eastAsia"/>
        </w:rPr>
      </w:pPr>
      <w:r>
        <w:rPr>
          <w:rFonts w:hint="eastAsia"/>
        </w:rPr>
        <w:t>（</w:t>
      </w:r>
      <w:r>
        <w:t>1）“合同价格”指在合同协议书中列明的合同总金额。</w:t>
      </w:r>
    </w:p>
    <w:p>
      <w:pPr>
        <w:jc w:val="left"/>
        <w:rPr>
          <w:rFonts w:hint="eastAsia"/>
        </w:rPr>
      </w:pPr>
      <w:r>
        <w:rPr>
          <w:rFonts w:hint="eastAsia"/>
        </w:rPr>
        <w:t>（</w:t>
      </w:r>
      <w:r>
        <w:t>2）“成本（费用）”指承包人在工程场地内外所发生（或将发生）的所有合理开支，包括管理费用及类似的支出，但不包括利润。</w:t>
      </w:r>
    </w:p>
    <w:p>
      <w:pPr>
        <w:jc w:val="left"/>
        <w:rPr>
          <w:rFonts w:hint="eastAsia"/>
        </w:rPr>
      </w:pPr>
      <w:r>
        <w:rPr>
          <w:rFonts w:hint="eastAsia"/>
        </w:rPr>
        <w:t>（</w:t>
      </w:r>
      <w:r>
        <w:t>3）“竣工报表”指第13.7条规定的报表。</w:t>
      </w:r>
    </w:p>
    <w:p>
      <w:pPr>
        <w:jc w:val="left"/>
        <w:rPr>
          <w:rFonts w:hint="eastAsia"/>
        </w:rPr>
      </w:pPr>
      <w:r>
        <w:rPr>
          <w:rFonts w:hint="eastAsia"/>
        </w:rPr>
        <w:t>（</w:t>
      </w:r>
      <w:r>
        <w:t>4）“外币”指可用于支付合同价格中部分（或全部）款项的当地货币以外的某种货币。</w:t>
      </w:r>
    </w:p>
    <w:p>
      <w:pPr>
        <w:jc w:val="left"/>
        <w:rPr>
          <w:rFonts w:hint="eastAsia"/>
        </w:rPr>
      </w:pPr>
      <w:r>
        <w:rPr>
          <w:rFonts w:hint="eastAsia"/>
        </w:rPr>
        <w:t>（</w:t>
      </w:r>
      <w:r>
        <w:t>5）“暂列金额”指合同中规定作为暂列金额的一笔款额（如果有），用于工程某一部分的实施，或用于提供生产设备、材料或服务。</w:t>
      </w:r>
    </w:p>
    <w:p>
      <w:pPr>
        <w:jc w:val="left"/>
        <w:rPr>
          <w:rFonts w:hint="eastAsia"/>
        </w:rPr>
      </w:pPr>
      <w:r>
        <w:rPr>
          <w:rFonts w:hint="eastAsia"/>
        </w:rPr>
        <w:t>（</w:t>
      </w:r>
      <w:r>
        <w:t>6）“报表”指承包人根据第13条的规定提交的作为付款申请的组成部分的报表。</w:t>
      </w:r>
    </w:p>
    <w:p>
      <w:pPr>
        <w:jc w:val="left"/>
        <w:rPr>
          <w:rFonts w:hint="eastAsia"/>
        </w:rPr>
      </w:pPr>
      <w:r>
        <w:rPr>
          <w:rFonts w:hint="eastAsia"/>
        </w:rPr>
        <w:t>（</w:t>
      </w:r>
      <w:r>
        <w:t>7）“质保金”指第13.6条所列明的质保金累计金额。</w:t>
      </w:r>
    </w:p>
    <w:p>
      <w:pPr>
        <w:jc w:val="left"/>
        <w:rPr>
          <w:rFonts w:hint="eastAsia"/>
        </w:rPr>
      </w:pPr>
      <w:r>
        <w:rPr>
          <w:rFonts w:hint="eastAsia"/>
        </w:rPr>
        <w:t>（</w:t>
      </w:r>
      <w:r>
        <w:t>8）“逾期付款率”指专用条款所述的日息率，按单利计算。</w:t>
      </w:r>
    </w:p>
    <w:p>
      <w:pPr>
        <w:jc w:val="left"/>
        <w:rPr>
          <w:rFonts w:hint="eastAsia"/>
        </w:rPr>
      </w:pPr>
      <w:r>
        <w:t>1.1.5 工程、机组和设备</w:t>
      </w:r>
    </w:p>
    <w:p>
      <w:pPr>
        <w:jc w:val="left"/>
        <w:rPr>
          <w:rFonts w:hint="eastAsia"/>
        </w:rPr>
      </w:pPr>
      <w:r>
        <w:rPr>
          <w:rFonts w:hint="eastAsia"/>
        </w:rPr>
        <w:t>（</w:t>
      </w:r>
      <w:r>
        <w:t>1）“工程”指合同协议书中所述的工程，包括构成该工程的所有发电机组、配套设施及其他构成工程资产的设备、设施。</w:t>
      </w:r>
    </w:p>
    <w:p>
      <w:pPr>
        <w:jc w:val="left"/>
        <w:rPr>
          <w:rFonts w:hint="eastAsia"/>
        </w:rPr>
      </w:pPr>
      <w:r>
        <w:rPr>
          <w:rFonts w:hint="eastAsia"/>
        </w:rPr>
        <w:t>（</w:t>
      </w:r>
      <w:r>
        <w:t>2）“工程场地”指为建设工程而获得的所有永久性用地及临时性用地。</w:t>
      </w:r>
    </w:p>
    <w:p>
      <w:pPr>
        <w:jc w:val="left"/>
        <w:rPr>
          <w:rFonts w:hint="eastAsia"/>
        </w:rPr>
      </w:pPr>
      <w:r>
        <w:rPr>
          <w:rFonts w:hint="eastAsia"/>
        </w:rPr>
        <w:t>（</w:t>
      </w:r>
      <w:r>
        <w:t>3）“施工设备”指为承包人所有的且不构成工程一部分的，为承包人实施和完成工程、以及修补任何缺陷所需的所有仪器、机械、车辆和其他物品。施工设备不包括临时工程、发包人设备（如果有）、以及构成或计划构成工程一部分的工程设备、材料和／或其他任何物品。</w:t>
      </w:r>
    </w:p>
    <w:p>
      <w:pPr>
        <w:jc w:val="left"/>
        <w:rPr>
          <w:rFonts w:hint="eastAsia"/>
        </w:rPr>
      </w:pPr>
      <w:r>
        <w:rPr>
          <w:rFonts w:hint="eastAsia"/>
        </w:rPr>
        <w:t>（</w:t>
      </w:r>
      <w:r>
        <w:t>4）“永久工程”系指承包人根据合同进行设计和施工的并移交给发包人使用的工程（包括工程设备）。</w:t>
      </w:r>
    </w:p>
    <w:p>
      <w:pPr>
        <w:jc w:val="left"/>
        <w:rPr>
          <w:rFonts w:hint="eastAsia"/>
        </w:rPr>
      </w:pPr>
      <w:r>
        <w:rPr>
          <w:rFonts w:hint="eastAsia"/>
        </w:rPr>
        <w:t>（</w:t>
      </w:r>
      <w:r>
        <w:t>5）“工程设备”指构成或计划构成工程一部分的机电设备、金属结构设备、仪器装置及其他类似的设备和装置。</w:t>
      </w:r>
    </w:p>
    <w:p>
      <w:pPr>
        <w:jc w:val="left"/>
        <w:rPr>
          <w:rFonts w:hint="eastAsia"/>
        </w:rPr>
      </w:pPr>
      <w:r>
        <w:rPr>
          <w:rFonts w:hint="eastAsia"/>
        </w:rPr>
        <w:t>（</w:t>
      </w:r>
      <w:r>
        <w:t>6）“临时工程”指为实施和完成工程或修补工程的任何缺陷而在工程场地所建设的所有各类临时性工程。</w:t>
      </w:r>
    </w:p>
    <w:p>
      <w:pPr>
        <w:jc w:val="left"/>
        <w:rPr>
          <w:rFonts w:hint="eastAsia"/>
        </w:rPr>
      </w:pPr>
      <w:r>
        <w:rPr>
          <w:rFonts w:hint="eastAsia"/>
        </w:rPr>
        <w:t>（</w:t>
      </w:r>
      <w:r>
        <w:t>7）“机组”指构成工程的任何及所有发电机组。</w:t>
      </w:r>
    </w:p>
    <w:p>
      <w:pPr>
        <w:jc w:val="left"/>
        <w:rPr>
          <w:rFonts w:hint="eastAsia"/>
        </w:rPr>
      </w:pPr>
      <w:r>
        <w:rPr>
          <w:rFonts w:hint="eastAsia"/>
        </w:rPr>
        <w:t>（</w:t>
      </w:r>
      <w:r>
        <w:t>8）“并网设施”指构成工程一部分，以便将机组所发电力电量输送到电力调度机构电网的设施。</w:t>
      </w:r>
    </w:p>
    <w:p>
      <w:pPr>
        <w:jc w:val="left"/>
        <w:rPr>
          <w:rFonts w:hint="eastAsia"/>
        </w:rPr>
      </w:pPr>
      <w:r>
        <w:rPr>
          <w:rFonts w:hint="eastAsia"/>
        </w:rPr>
        <w:t>（</w:t>
      </w:r>
      <w:r>
        <w:t>9）“配套接入电网系统工程”指电力调度机构所有，非构成工程一部分的用于接收机组所发电力电量的设施及其他相关设备。</w:t>
      </w:r>
    </w:p>
    <w:p>
      <w:pPr>
        <w:jc w:val="left"/>
        <w:rPr>
          <w:rFonts w:hint="eastAsia"/>
        </w:rPr>
      </w:pPr>
      <w:r>
        <w:t>1.1.6 其他定义</w:t>
      </w:r>
    </w:p>
    <w:p>
      <w:pPr>
        <w:jc w:val="left"/>
        <w:rPr>
          <w:rFonts w:hint="eastAsia"/>
        </w:rPr>
      </w:pPr>
      <w:r>
        <w:rPr>
          <w:rFonts w:hint="eastAsia"/>
        </w:rPr>
        <w:t>（</w:t>
      </w:r>
      <w:r>
        <w:t>1）“初步设计”指承包人为本工程编制的初步设计文件，以及政府有关部门对该初步设计文件的审查意见（如有的话）。</w:t>
      </w:r>
    </w:p>
    <w:p>
      <w:pPr>
        <w:jc w:val="left"/>
        <w:rPr>
          <w:rFonts w:hint="eastAsia"/>
        </w:rPr>
      </w:pPr>
      <w:r>
        <w:rPr>
          <w:rFonts w:hint="eastAsia"/>
        </w:rPr>
        <w:t>（</w:t>
      </w:r>
      <w:r>
        <w:t>2）“承包人文件”指第18.l条中所述的，承包人根据合同应提交的所有图纸、手册以及其他技术性文件，如果发包人要求，包括该类文件的电子版。</w:t>
      </w:r>
    </w:p>
    <w:p>
      <w:pPr>
        <w:jc w:val="left"/>
        <w:rPr>
          <w:rFonts w:hint="eastAsia"/>
        </w:rPr>
      </w:pPr>
      <w:r>
        <w:rPr>
          <w:rFonts w:hint="eastAsia"/>
        </w:rPr>
        <w:t>（</w:t>
      </w:r>
      <w:r>
        <w:t>3）“技术服务”是指由承包人提供的与本工程合同有关的工程设计、地质勘察、设备监造、检验、土建、安装、调试、验收、性能验收试验、运行、检修时相应的技术指导、技术配合、技术培训等全过程的服务。</w:t>
      </w:r>
    </w:p>
    <w:p>
      <w:pPr>
        <w:jc w:val="left"/>
        <w:rPr>
          <w:rFonts w:hint="eastAsia"/>
        </w:rPr>
      </w:pPr>
      <w:r>
        <w:rPr>
          <w:rFonts w:hint="eastAsia"/>
        </w:rPr>
        <w:t>（</w:t>
      </w:r>
      <w:r>
        <w:t>4）“备品备件”是指承包人根据本合同技术规范书规定而提供的发电设备备用部件，包括随机备品备件和运行使用的备品备件。</w:t>
      </w:r>
    </w:p>
    <w:p>
      <w:pPr>
        <w:jc w:val="left"/>
        <w:rPr>
          <w:rFonts w:hint="eastAsia"/>
        </w:rPr>
      </w:pPr>
      <w:r>
        <w:rPr>
          <w:rFonts w:hint="eastAsia"/>
        </w:rPr>
        <w:t>（</w:t>
      </w:r>
      <w:r>
        <w:t>5）“工程质量监督”是电力工程建设质监站、电力工程建设质监中心站、电力工程建设质监总站、政府职能部门和政府职能部门指定的机构等，按规定对工程进行的质量监督活动。</w:t>
      </w:r>
    </w:p>
    <w:p>
      <w:pPr>
        <w:jc w:val="left"/>
        <w:rPr>
          <w:rFonts w:hint="eastAsia"/>
        </w:rPr>
      </w:pPr>
      <w:r>
        <w:rPr>
          <w:rFonts w:hint="eastAsia"/>
        </w:rPr>
        <w:t>（</w:t>
      </w:r>
      <w:r>
        <w:t>6）“适用法律或法律”指中华人民共和国现行的法律、行政法规、部门规章、与工程或服务有关的省、市地方法规及有关政府部门颁布的政策、规定、命令等所有在合同履行过程中有效并对工程产生或可能产生影响的规范文件。除另有规定外，本合同中所提到的法律应包括在本合同生效日后对该法律所作的任何修订、重订、变更、修改或补充。</w:t>
      </w:r>
    </w:p>
    <w:p>
      <w:pPr>
        <w:pStyle w:val="4"/>
        <w:rPr>
          <w:rFonts w:hint="eastAsia"/>
        </w:rPr>
      </w:pPr>
      <w:bookmarkStart w:id="10" w:name="_Toc170377804"/>
      <w:bookmarkStart w:id="11" w:name="_Toc28375"/>
      <w:bookmarkStart w:id="12" w:name="_Toc120689282"/>
      <w:bookmarkStart w:id="13" w:name="_Toc17594"/>
      <w:r>
        <w:t>1.2 解释</w:t>
      </w:r>
      <w:bookmarkEnd w:id="10"/>
      <w:bookmarkEnd w:id="11"/>
      <w:bookmarkEnd w:id="12"/>
      <w:bookmarkEnd w:id="13"/>
    </w:p>
    <w:p>
      <w:pPr>
        <w:jc w:val="left"/>
        <w:rPr>
          <w:rFonts w:hint="eastAsia"/>
        </w:rPr>
      </w:pPr>
      <w:r>
        <w:rPr>
          <w:rFonts w:hint="eastAsia"/>
        </w:rPr>
        <w:t>除上下文另有要求外，本合同按照下列规则进行解释：</w:t>
      </w:r>
    </w:p>
    <w:p>
      <w:pPr>
        <w:jc w:val="left"/>
        <w:rPr>
          <w:rFonts w:hint="eastAsia"/>
        </w:rPr>
      </w:pPr>
      <w:r>
        <w:rPr>
          <w:rFonts w:hint="eastAsia"/>
        </w:rPr>
        <w:t>（</w:t>
      </w:r>
      <w:r>
        <w:t>1）本合同所提到的条、节、款、项和附件（除上下文另有要求外）指本合同的条、节、款、项和附件。</w:t>
      </w:r>
    </w:p>
    <w:p>
      <w:pPr>
        <w:jc w:val="left"/>
        <w:rPr>
          <w:rFonts w:hint="eastAsia"/>
        </w:rPr>
      </w:pPr>
      <w:r>
        <w:rPr>
          <w:rFonts w:hint="eastAsia"/>
        </w:rPr>
        <w:t>（</w:t>
      </w:r>
      <w:r>
        <w:t>2）本合同的标题只是为了查阅的方便，不影响对本合同的解释。</w:t>
      </w:r>
    </w:p>
    <w:p>
      <w:pPr>
        <w:jc w:val="left"/>
        <w:rPr>
          <w:rFonts w:hint="eastAsia"/>
        </w:rPr>
      </w:pPr>
      <w:r>
        <w:rPr>
          <w:rFonts w:hint="eastAsia"/>
        </w:rPr>
        <w:t>（</w:t>
      </w:r>
      <w:r>
        <w:t>3）本合同中所使用的“日”、“月”、“年”均指公历的日、月、年。本合同中所使用的任何期间的起点均指相应事件发生之日的下一日。如果任何时间的起算是以某一期间届满为条件，则起算点应为该期间届满之日的下一日。任何期间的到期日为该期间届满之日的当日。“工作日”指除中国法定节假日之外的其他公历日。</w:t>
      </w:r>
    </w:p>
    <w:p>
      <w:pPr>
        <w:jc w:val="left"/>
        <w:rPr>
          <w:rFonts w:hint="eastAsia"/>
        </w:rPr>
      </w:pPr>
      <w:r>
        <w:rPr>
          <w:rFonts w:hint="eastAsia"/>
        </w:rPr>
        <w:t>（</w:t>
      </w:r>
      <w:r>
        <w:t>4）本合同中所提到的本合同或其它任何合同或协议包括按该文件中所规定的方式修订、修改、补充、更换、更新、扩充或取代后的该等合同或协议，不顾及当事人身份的变化。</w:t>
      </w:r>
    </w:p>
    <w:p>
      <w:pPr>
        <w:jc w:val="left"/>
        <w:rPr>
          <w:rFonts w:hint="eastAsia"/>
        </w:rPr>
      </w:pPr>
      <w:r>
        <w:rPr>
          <w:rFonts w:hint="eastAsia"/>
        </w:rPr>
        <w:t>（</w:t>
      </w:r>
      <w:r>
        <w:t>5）包括“同意（商定）”、“已达成（取得）一致”、或“协议”等词的各项规定都要求用书面记载；</w:t>
      </w:r>
    </w:p>
    <w:p>
      <w:pPr>
        <w:jc w:val="left"/>
        <w:rPr>
          <w:rFonts w:hint="eastAsia"/>
        </w:rPr>
      </w:pPr>
      <w:r>
        <w:rPr>
          <w:rFonts w:hint="eastAsia"/>
        </w:rPr>
        <w:t>（</w:t>
      </w:r>
      <w:r>
        <w:t>6）“书面”指手写、打字、印刷、或电子制作，并形成经有权代表签字的永久性记录。</w:t>
      </w:r>
    </w:p>
    <w:p>
      <w:pPr>
        <w:pStyle w:val="4"/>
        <w:rPr>
          <w:rFonts w:hint="eastAsia"/>
        </w:rPr>
      </w:pPr>
      <w:bookmarkStart w:id="14" w:name="_Toc170377805"/>
      <w:bookmarkStart w:id="15" w:name="_Toc9516"/>
      <w:bookmarkStart w:id="16" w:name="_Toc120689283"/>
      <w:bookmarkStart w:id="17" w:name="_Toc21234"/>
      <w:r>
        <w:t>1.3 通知</w:t>
      </w:r>
      <w:bookmarkEnd w:id="14"/>
      <w:bookmarkEnd w:id="15"/>
      <w:bookmarkEnd w:id="16"/>
      <w:bookmarkEnd w:id="17"/>
    </w:p>
    <w:p>
      <w:pPr>
        <w:jc w:val="left"/>
        <w:rPr>
          <w:rFonts w:hint="eastAsia"/>
        </w:rPr>
      </w:pPr>
      <w:r>
        <w:rPr>
          <w:rFonts w:hint="eastAsia"/>
        </w:rPr>
        <w:t>根据本合同给予或颁发的批准、证明、同意、确定、通知和请求等均应采用书面形式，通过专人、邮寄或以专用条款中提出的电子传输方式发送至专用条款注明的地址。</w:t>
      </w:r>
    </w:p>
    <w:p>
      <w:pPr>
        <w:jc w:val="left"/>
        <w:rPr>
          <w:rFonts w:hint="eastAsia"/>
        </w:rPr>
      </w:pPr>
      <w:r>
        <w:rPr>
          <w:rFonts w:hint="eastAsia"/>
        </w:rPr>
        <w:t>如以专人递交方式发送，则应以接收人签署回单的时间作为送达时间。如以邮寄方式发送，则应以邮寄单位的回执所述时间作为送达时间。如以电子传输方式发送，则应以双方商定的时间作为送达时间；双方未商定送达时间的，以法律规定为准。</w:t>
      </w:r>
    </w:p>
    <w:p>
      <w:pPr>
        <w:jc w:val="left"/>
        <w:rPr>
          <w:rFonts w:hint="eastAsia"/>
        </w:rPr>
      </w:pPr>
      <w:r>
        <w:rPr>
          <w:rFonts w:hint="eastAsia"/>
        </w:rPr>
        <w:t>如接收人通知了另外地址时，随后通讯信息应按新址发送。</w:t>
      </w:r>
    </w:p>
    <w:p>
      <w:pPr>
        <w:jc w:val="left"/>
        <w:rPr>
          <w:rFonts w:hint="eastAsia"/>
        </w:rPr>
      </w:pPr>
      <w:r>
        <w:rPr>
          <w:rFonts w:hint="eastAsia"/>
        </w:rPr>
        <w:t>批准、证明、同意和确定不得无故被扣压或拖延。</w:t>
      </w:r>
    </w:p>
    <w:p>
      <w:pPr>
        <w:pStyle w:val="4"/>
        <w:rPr>
          <w:rFonts w:hint="eastAsia"/>
        </w:rPr>
      </w:pPr>
      <w:bookmarkStart w:id="18" w:name="_Toc120689284"/>
      <w:bookmarkStart w:id="19" w:name="_Toc170377806"/>
      <w:bookmarkStart w:id="20" w:name="_Toc12691"/>
      <w:bookmarkStart w:id="21" w:name="_Toc32400"/>
      <w:r>
        <w:t>1.4 转让</w:t>
      </w:r>
      <w:bookmarkEnd w:id="18"/>
      <w:bookmarkEnd w:id="19"/>
      <w:bookmarkEnd w:id="20"/>
      <w:bookmarkEnd w:id="21"/>
    </w:p>
    <w:p>
      <w:pPr>
        <w:jc w:val="left"/>
        <w:rPr>
          <w:rFonts w:hint="eastAsia"/>
        </w:rPr>
      </w:pPr>
      <w:r>
        <w:rPr>
          <w:rFonts w:hint="eastAsia"/>
        </w:rPr>
        <w:t>承包人不得将本合同下的全部或部分义务转让他人</w:t>
      </w:r>
      <w:bookmarkStart w:id="22" w:name="_Hlk118893654"/>
      <w:r>
        <w:rPr>
          <w:rFonts w:hint="eastAsia"/>
        </w:rPr>
        <w:t>，擅自转让其在合同项下的权利和（或）义务的一方当事人应承担给另一方当事人造成的全部损失，并对合同项下权利和（或）义务的接收方的行为承担连带责任。</w:t>
      </w:r>
      <w:bookmarkEnd w:id="22"/>
    </w:p>
    <w:p>
      <w:pPr>
        <w:pStyle w:val="4"/>
        <w:rPr>
          <w:rFonts w:hint="eastAsia"/>
        </w:rPr>
      </w:pPr>
      <w:bookmarkStart w:id="23" w:name="_Toc3031"/>
      <w:bookmarkStart w:id="24" w:name="_Toc170377807"/>
      <w:bookmarkStart w:id="25" w:name="_Toc120689285"/>
      <w:bookmarkStart w:id="26" w:name="_Toc29720"/>
      <w:r>
        <w:t>1.5 许可和批准</w:t>
      </w:r>
      <w:bookmarkEnd w:id="23"/>
      <w:bookmarkEnd w:id="24"/>
      <w:bookmarkEnd w:id="25"/>
      <w:bookmarkEnd w:id="26"/>
    </w:p>
    <w:p>
      <w:pPr>
        <w:jc w:val="left"/>
        <w:rPr>
          <w:rFonts w:hint="eastAsia"/>
        </w:rPr>
      </w:pPr>
      <w:r>
        <w:rPr>
          <w:rFonts w:hint="eastAsia"/>
        </w:rPr>
        <w:t>发包人负责从政府有关部门和其他方依法取得所有与工程建设有关的应以发包人名义取得的各种许可、批准和</w:t>
      </w:r>
      <w:r>
        <w:t>/或许可证。在发包人要求时，承包人应尽最大努力协助发包人及时从有关政府部门或其他方获得上述的许可、批准和/或许可证。</w:t>
      </w:r>
    </w:p>
    <w:p>
      <w:pPr>
        <w:pStyle w:val="4"/>
        <w:rPr>
          <w:rFonts w:hint="eastAsia"/>
        </w:rPr>
      </w:pPr>
      <w:bookmarkStart w:id="27" w:name="_Toc170377808"/>
      <w:bookmarkStart w:id="28" w:name="_Toc120689286"/>
      <w:bookmarkStart w:id="29" w:name="_Toc5522"/>
      <w:bookmarkStart w:id="30" w:name="_Toc30925"/>
      <w:r>
        <w:t>1.6 修改</w:t>
      </w:r>
      <w:bookmarkEnd w:id="27"/>
      <w:bookmarkEnd w:id="28"/>
      <w:bookmarkEnd w:id="29"/>
      <w:bookmarkEnd w:id="30"/>
    </w:p>
    <w:p>
      <w:pPr>
        <w:jc w:val="left"/>
        <w:rPr>
          <w:rFonts w:hint="eastAsia"/>
        </w:rPr>
      </w:pPr>
      <w:r>
        <w:rPr>
          <w:rFonts w:hint="eastAsia"/>
        </w:rPr>
        <w:t>本合同的修改，只有以书面形式并由双方的法定代表人或其授权代表签署方为有效。</w:t>
      </w:r>
    </w:p>
    <w:p>
      <w:pPr>
        <w:pStyle w:val="4"/>
        <w:rPr>
          <w:rFonts w:hint="eastAsia"/>
        </w:rPr>
      </w:pPr>
      <w:bookmarkStart w:id="31" w:name="_Toc10754"/>
      <w:bookmarkStart w:id="32" w:name="_Toc120689287"/>
      <w:bookmarkStart w:id="33" w:name="_Toc170377809"/>
      <w:bookmarkStart w:id="34" w:name="_Toc3958"/>
      <w:r>
        <w:t>1.7 遵守法律</w:t>
      </w:r>
      <w:bookmarkEnd w:id="31"/>
      <w:bookmarkEnd w:id="32"/>
      <w:bookmarkEnd w:id="33"/>
      <w:bookmarkEnd w:id="34"/>
    </w:p>
    <w:p>
      <w:pPr>
        <w:jc w:val="left"/>
        <w:rPr>
          <w:rFonts w:hint="eastAsia"/>
        </w:rPr>
      </w:pPr>
      <w:r>
        <w:rPr>
          <w:rFonts w:hint="eastAsia"/>
        </w:rPr>
        <w:t>本合同任何一方在履行本合同过程中均应遵守适用</w:t>
      </w:r>
      <w:r>
        <w:rPr>
          <w:rFonts w:hint="eastAsia"/>
          <w:lang w:eastAsia="zh-Hans"/>
        </w:rPr>
        <w:t>相关</w:t>
      </w:r>
      <w:r>
        <w:rPr>
          <w:rFonts w:hint="eastAsia"/>
        </w:rPr>
        <w:t>法律</w:t>
      </w:r>
      <w:r>
        <w:rPr>
          <w:rFonts w:hint="eastAsia"/>
          <w:lang w:eastAsia="zh-Hans"/>
        </w:rPr>
        <w:t>、法规</w:t>
      </w:r>
      <w:r>
        <w:rPr>
          <w:rFonts w:hint="eastAsia"/>
        </w:rPr>
        <w:t>。</w:t>
      </w:r>
    </w:p>
    <w:p>
      <w:pPr>
        <w:jc w:val="left"/>
        <w:rPr>
          <w:rFonts w:hint="eastAsia"/>
        </w:rPr>
      </w:pPr>
      <w:r>
        <w:rPr>
          <w:rFonts w:hint="eastAsia"/>
        </w:rPr>
        <w:t>承包人应缴纳各项税费，按照法律关于工程设计、实施和竣工、以及修补任何缺陷等方面的要求，办理并领取所需要的全部许可、执照或批准；承包人应保障并保持使发包人免受因未能完成上述工作带来的损害。</w:t>
      </w:r>
    </w:p>
    <w:p>
      <w:pPr>
        <w:pStyle w:val="4"/>
        <w:rPr>
          <w:rFonts w:hint="eastAsia"/>
        </w:rPr>
      </w:pPr>
      <w:bookmarkStart w:id="35" w:name="_Toc170377810"/>
      <w:bookmarkStart w:id="36" w:name="_Toc9790"/>
      <w:bookmarkStart w:id="37" w:name="_Toc120689288"/>
      <w:bookmarkStart w:id="38" w:name="_Toc7954"/>
      <w:r>
        <w:t>1.8 独立承包人</w:t>
      </w:r>
      <w:bookmarkEnd w:id="35"/>
      <w:bookmarkEnd w:id="36"/>
      <w:bookmarkEnd w:id="37"/>
      <w:bookmarkEnd w:id="38"/>
    </w:p>
    <w:p>
      <w:pPr>
        <w:jc w:val="left"/>
        <w:rPr>
          <w:rFonts w:hint="eastAsia"/>
        </w:rPr>
      </w:pPr>
      <w:r>
        <w:rPr>
          <w:rFonts w:hint="eastAsia"/>
        </w:rPr>
        <w:t>承包人应作为独立的承包人履行合同。合同不衍生承包人与发包人之间的代理、合伙、合营或其他合作关系。承包人在实施工程过程中聘用的所有人员或分包商应完全接受承包人的控制，与发包人没有雇佣关系。</w:t>
      </w:r>
    </w:p>
    <w:p>
      <w:pPr>
        <w:pStyle w:val="4"/>
        <w:rPr>
          <w:rFonts w:hint="eastAsia"/>
        </w:rPr>
      </w:pPr>
      <w:bookmarkStart w:id="39" w:name="_Toc22929"/>
      <w:bookmarkStart w:id="40" w:name="_Toc120689289"/>
      <w:bookmarkStart w:id="41" w:name="_Toc170377811"/>
      <w:bookmarkStart w:id="42" w:name="_Toc28580"/>
      <w:r>
        <w:t>1.9 不放弃权利</w:t>
      </w:r>
      <w:bookmarkEnd w:id="39"/>
      <w:bookmarkEnd w:id="40"/>
      <w:bookmarkEnd w:id="41"/>
      <w:bookmarkEnd w:id="42"/>
    </w:p>
    <w:p>
      <w:pPr>
        <w:jc w:val="left"/>
        <w:rPr>
          <w:rFonts w:hint="eastAsia"/>
        </w:rPr>
      </w:pPr>
      <w:r>
        <w:rPr>
          <w:rFonts w:hint="eastAsia"/>
        </w:rPr>
        <w:t>双方理解并同意，任何一方延迟、放弃或遗漏行使其在本合同项下享有的任何权利，不应被解释为该方对该等权利的放弃，也不应被解释为该方对其日后产生或享有的权利的放弃。</w:t>
      </w:r>
    </w:p>
    <w:p>
      <w:pPr>
        <w:pStyle w:val="4"/>
        <w:rPr>
          <w:rFonts w:hint="eastAsia"/>
        </w:rPr>
      </w:pPr>
      <w:bookmarkStart w:id="43" w:name="_Toc2419"/>
      <w:bookmarkStart w:id="44" w:name="_Toc170377812"/>
      <w:bookmarkStart w:id="45" w:name="_Toc120689290"/>
      <w:bookmarkStart w:id="46" w:name="_Toc20782"/>
      <w:r>
        <w:t>1.10 合同语言</w:t>
      </w:r>
      <w:bookmarkEnd w:id="43"/>
      <w:bookmarkEnd w:id="44"/>
      <w:bookmarkEnd w:id="45"/>
      <w:bookmarkEnd w:id="46"/>
    </w:p>
    <w:p>
      <w:pPr>
        <w:jc w:val="left"/>
        <w:rPr>
          <w:rFonts w:hint="eastAsia"/>
        </w:rPr>
      </w:pPr>
      <w:r>
        <w:rPr>
          <w:rFonts w:hint="eastAsia"/>
        </w:rPr>
        <w:t>本合同以中文书写，并依中文习惯予以解释。专用术语使用外文的，应附有中文注释。合同语言出现表述和解释不一致的情况，应以中文为准。</w:t>
      </w:r>
    </w:p>
    <w:p>
      <w:pPr>
        <w:pStyle w:val="3"/>
        <w:spacing w:before="0" w:beforeLines="0" w:after="0" w:afterLines="0" w:line="360" w:lineRule="auto"/>
        <w:rPr>
          <w:rFonts w:hint="eastAsia"/>
          <w:color w:val="auto"/>
          <w:lang w:eastAsia="zh-CN"/>
        </w:rPr>
      </w:pPr>
      <w:bookmarkStart w:id="47" w:name="_Toc5745"/>
      <w:bookmarkStart w:id="48" w:name="_Toc170377813"/>
      <w:bookmarkStart w:id="49" w:name="_Toc120689291"/>
      <w:bookmarkStart w:id="50" w:name="_Toc32385"/>
      <w:r>
        <w:rPr>
          <w:color w:val="auto"/>
          <w:lang w:eastAsia="zh-CN"/>
        </w:rPr>
        <w:t>2. 发包人</w:t>
      </w:r>
      <w:bookmarkEnd w:id="47"/>
      <w:bookmarkEnd w:id="48"/>
      <w:bookmarkEnd w:id="49"/>
      <w:bookmarkEnd w:id="50"/>
    </w:p>
    <w:p>
      <w:pPr>
        <w:pStyle w:val="4"/>
        <w:rPr>
          <w:rFonts w:hint="eastAsia"/>
        </w:rPr>
      </w:pPr>
      <w:bookmarkStart w:id="51" w:name="_Toc27381"/>
      <w:bookmarkStart w:id="52" w:name="_Toc170377814"/>
      <w:bookmarkStart w:id="53" w:name="_Toc120689292"/>
      <w:bookmarkStart w:id="54" w:name="_Toc23969"/>
      <w:r>
        <w:t>2.1 工程场地和工程场地进入权</w:t>
      </w:r>
      <w:bookmarkEnd w:id="51"/>
      <w:bookmarkEnd w:id="52"/>
      <w:bookmarkEnd w:id="53"/>
      <w:bookmarkEnd w:id="54"/>
    </w:p>
    <w:p>
      <w:pPr>
        <w:jc w:val="left"/>
        <w:rPr>
          <w:rFonts w:hint="eastAsia"/>
        </w:rPr>
      </w:pPr>
      <w:r>
        <w:rPr>
          <w:rFonts w:hint="eastAsia"/>
        </w:rPr>
        <w:t>发包人应负责总平面图规划的工程场地的征用、借用、拆迁、补偿及复耕安排，并在合同专用条款规定的时间内，向承包人提供进入和占用工程场地各部分的权利。</w:t>
      </w:r>
    </w:p>
    <w:p>
      <w:pPr>
        <w:pStyle w:val="4"/>
        <w:rPr>
          <w:rFonts w:hint="eastAsia"/>
        </w:rPr>
      </w:pPr>
      <w:bookmarkStart w:id="55" w:name="_Toc120689293"/>
      <w:bookmarkStart w:id="56" w:name="_Toc170377815"/>
      <w:bookmarkStart w:id="57" w:name="_Toc18077"/>
      <w:bookmarkStart w:id="58" w:name="_Toc13352"/>
      <w:r>
        <w:t>2.2 资金安排和付款</w:t>
      </w:r>
      <w:bookmarkEnd w:id="55"/>
      <w:bookmarkEnd w:id="56"/>
      <w:bookmarkEnd w:id="57"/>
      <w:bookmarkEnd w:id="58"/>
    </w:p>
    <w:p>
      <w:pPr>
        <w:jc w:val="left"/>
        <w:rPr>
          <w:rFonts w:hint="eastAsia"/>
        </w:rPr>
      </w:pPr>
      <w:r>
        <w:rPr>
          <w:rFonts w:hint="eastAsia"/>
        </w:rPr>
        <w:t>发包人按批准后的资金使用计划合理安排资金，按合同约定向承包人提供工程款支付担保，并按期支付合同价款。</w:t>
      </w:r>
    </w:p>
    <w:p>
      <w:pPr>
        <w:pStyle w:val="4"/>
        <w:rPr>
          <w:rFonts w:hint="eastAsia"/>
        </w:rPr>
      </w:pPr>
      <w:bookmarkStart w:id="59" w:name="_Toc170377816"/>
      <w:bookmarkStart w:id="60" w:name="_Toc1276"/>
      <w:bookmarkStart w:id="61" w:name="_Toc120689294"/>
      <w:bookmarkStart w:id="62" w:name="_Toc6479"/>
      <w:r>
        <w:t>2.3 发包人代表</w:t>
      </w:r>
      <w:bookmarkEnd w:id="59"/>
      <w:bookmarkEnd w:id="60"/>
      <w:bookmarkEnd w:id="61"/>
      <w:bookmarkEnd w:id="62"/>
    </w:p>
    <w:p>
      <w:pPr>
        <w:jc w:val="left"/>
        <w:rPr>
          <w:rFonts w:hint="eastAsia"/>
        </w:rPr>
      </w:pPr>
      <w:r>
        <w:rPr>
          <w:rFonts w:hint="eastAsia"/>
        </w:rPr>
        <w:t>发包人应委派一名代表履行发包人在本合同项下的义务，并享有发包人在本合同项下的权利。除本合同另有规定外，发包人代表应是唯一经授权代表发包人的人。发包人应将其委派的发包人代表人选在本合同签订后</w:t>
      </w:r>
      <w:r>
        <w:t>10日内通知承包人。</w:t>
      </w:r>
    </w:p>
    <w:p>
      <w:pPr>
        <w:jc w:val="left"/>
        <w:rPr>
          <w:rFonts w:hint="eastAsia"/>
        </w:rPr>
      </w:pPr>
      <w:r>
        <w:rPr>
          <w:rFonts w:hint="eastAsia"/>
        </w:rPr>
        <w:t>发包人代表应常驻工程场地，如果发包人代表需离开工程场地，则其</w:t>
      </w:r>
      <w:r>
        <w:rPr>
          <w:rFonts w:hint="eastAsia"/>
          <w:lang w:eastAsia="zh-Hans"/>
        </w:rPr>
        <w:t>需</w:t>
      </w:r>
      <w:r>
        <w:rPr>
          <w:rFonts w:hint="eastAsia"/>
        </w:rPr>
        <w:t>指定一名全权代表代行其职责，并及时通知承包人。</w:t>
      </w:r>
    </w:p>
    <w:p>
      <w:pPr>
        <w:jc w:val="left"/>
        <w:rPr>
          <w:rFonts w:hint="eastAsia"/>
        </w:rPr>
      </w:pPr>
      <w:r>
        <w:rPr>
          <w:rFonts w:hint="eastAsia"/>
        </w:rPr>
        <w:t>在本合同有效期内，发包人可在书面通知承包人后随时更换原发包人代表，对新发包人代表的任命在发包人的委任通知到达承包人后正式生效。</w:t>
      </w:r>
    </w:p>
    <w:p>
      <w:pPr>
        <w:pStyle w:val="4"/>
        <w:rPr>
          <w:rFonts w:hint="eastAsia"/>
        </w:rPr>
      </w:pPr>
      <w:bookmarkStart w:id="63" w:name="_Toc120689295"/>
      <w:bookmarkStart w:id="64" w:name="_Toc170377817"/>
      <w:bookmarkStart w:id="65" w:name="_Toc32518"/>
      <w:bookmarkStart w:id="66" w:name="_Toc17867"/>
      <w:r>
        <w:t>2.4 监理工程师</w:t>
      </w:r>
      <w:bookmarkEnd w:id="63"/>
      <w:bookmarkEnd w:id="64"/>
      <w:bookmarkEnd w:id="65"/>
      <w:bookmarkEnd w:id="66"/>
    </w:p>
    <w:p>
      <w:pPr>
        <w:jc w:val="left"/>
        <w:rPr>
          <w:rFonts w:hint="eastAsia"/>
        </w:rPr>
      </w:pPr>
      <w:r>
        <w:t>2.4.1 发包人将委托监理工程师对工程实行监理，监理工程师的名称、监理范围、内容和权限见专用条款。发包人可在书面通知承包人后随时更换监理工程师。</w:t>
      </w:r>
    </w:p>
    <w:p>
      <w:pPr>
        <w:jc w:val="left"/>
        <w:rPr>
          <w:rFonts w:hint="eastAsia"/>
        </w:rPr>
      </w:pPr>
      <w:r>
        <w:t>2.4.2 监理工程师按国家有关规定对工程实施监督与管理。承包人及其分包商应对监理工程师的监理工作给予全面合作并提供必要的协助。监理工程师的职权与发包人代表的职权相重叠或不明确时，由发包人予以协调和明确，并以书面形式通知承包人。</w:t>
      </w:r>
    </w:p>
    <w:p>
      <w:pPr>
        <w:jc w:val="left"/>
        <w:rPr>
          <w:rFonts w:hint="eastAsia"/>
        </w:rPr>
      </w:pPr>
      <w:r>
        <w:t>2.4.3 监理工程师无权修改合同。任何涉及合同价款增加和计划完工日延长的变更，经监理工程师审核后，还须获得发包人的批准方可生效。</w:t>
      </w:r>
    </w:p>
    <w:p>
      <w:pPr>
        <w:jc w:val="left"/>
        <w:rPr>
          <w:rFonts w:hint="eastAsia"/>
        </w:rPr>
      </w:pPr>
      <w:r>
        <w:t>2.4.4 监理工程师的任何批准、校核、证明、同意、检查、指示、通知、建议、要求、试验或类似行动（包括未表示不批准），不解除合同规定的承包人的任何责任或义务。</w:t>
      </w:r>
    </w:p>
    <w:p>
      <w:pPr>
        <w:jc w:val="left"/>
        <w:rPr>
          <w:rFonts w:hint="eastAsia"/>
        </w:rPr>
      </w:pPr>
      <w:r>
        <w:t>2.4.5 监理工程师可按照合同规定向承包人发出承包人履行合同义务所需的指示。承包人应接受监理工程师或经授权的监理工程师代表的指示。</w:t>
      </w:r>
    </w:p>
    <w:p>
      <w:pPr>
        <w:pStyle w:val="4"/>
        <w:rPr>
          <w:rFonts w:hint="eastAsia"/>
        </w:rPr>
      </w:pPr>
      <w:bookmarkStart w:id="67" w:name="_Toc13798"/>
      <w:bookmarkStart w:id="68" w:name="_Toc120689296"/>
      <w:bookmarkStart w:id="69" w:name="_Toc170377818"/>
      <w:bookmarkStart w:id="70" w:name="_Toc10248"/>
      <w:r>
        <w:t>2.5 指示</w:t>
      </w:r>
      <w:bookmarkEnd w:id="67"/>
      <w:bookmarkEnd w:id="68"/>
      <w:bookmarkEnd w:id="69"/>
      <w:bookmarkEnd w:id="70"/>
    </w:p>
    <w:p>
      <w:pPr>
        <w:jc w:val="left"/>
        <w:rPr>
          <w:rFonts w:hint="eastAsia"/>
        </w:rPr>
      </w:pPr>
      <w:r>
        <w:rPr>
          <w:rFonts w:hint="eastAsia"/>
        </w:rPr>
        <w:t>发包人可向承包人发出承包人履行合同义务所需要的指示。每项指示均应以书面形式进行，并说明承包人须履行的有关义务，以及规定这些义务的条款。如果任何此类指示构成一项变更，则应按照第</w:t>
      </w:r>
      <w:r>
        <w:t>12款的规定办理。</w:t>
      </w:r>
    </w:p>
    <w:p>
      <w:pPr>
        <w:pStyle w:val="4"/>
        <w:rPr>
          <w:rFonts w:hint="eastAsia"/>
        </w:rPr>
      </w:pPr>
      <w:bookmarkStart w:id="71" w:name="_Toc170377819"/>
      <w:bookmarkStart w:id="72" w:name="_Toc5373"/>
      <w:bookmarkStart w:id="73" w:name="_Toc120689297"/>
      <w:bookmarkStart w:id="74" w:name="_Toc17110"/>
      <w:r>
        <w:t>2.6 运行人员</w:t>
      </w:r>
      <w:bookmarkEnd w:id="71"/>
      <w:bookmarkEnd w:id="72"/>
      <w:bookmarkEnd w:id="73"/>
      <w:bookmarkEnd w:id="74"/>
    </w:p>
    <w:p>
      <w:pPr>
        <w:jc w:val="left"/>
        <w:rPr>
          <w:rFonts w:hint="eastAsia"/>
        </w:rPr>
      </w:pPr>
      <w:r>
        <w:rPr>
          <w:rFonts w:hint="eastAsia"/>
        </w:rPr>
        <w:t>发包人应按本合同的规定向承包人提供合格的运行人员。</w:t>
      </w:r>
    </w:p>
    <w:p>
      <w:pPr>
        <w:jc w:val="left"/>
        <w:rPr>
          <w:rFonts w:hint="eastAsia"/>
        </w:rPr>
      </w:pPr>
      <w:r>
        <w:rPr>
          <w:rFonts w:hint="eastAsia"/>
        </w:rPr>
        <w:t>运行人员应在承包人指挥和指导下参与机组启动、调试有关的运行和维护工作。承包人应负责在机组启动、调试过程中监督运行人员的工作，并保证他们的人身安全。发包人根据本款提供运行人员，不解除承包人在本合同项下的任何义务或责任。</w:t>
      </w:r>
    </w:p>
    <w:p>
      <w:pPr>
        <w:pStyle w:val="4"/>
        <w:rPr>
          <w:rFonts w:hint="eastAsia"/>
        </w:rPr>
      </w:pPr>
      <w:bookmarkStart w:id="75" w:name="_Toc21629"/>
      <w:bookmarkStart w:id="76" w:name="_Toc170377820"/>
      <w:bookmarkStart w:id="77" w:name="_Toc120689298"/>
      <w:bookmarkStart w:id="78" w:name="_Toc30600"/>
      <w:r>
        <w:t>2.7 并网</w:t>
      </w:r>
      <w:bookmarkEnd w:id="75"/>
      <w:bookmarkEnd w:id="76"/>
      <w:bookmarkEnd w:id="77"/>
      <w:bookmarkEnd w:id="78"/>
    </w:p>
    <w:p>
      <w:pPr>
        <w:jc w:val="left"/>
        <w:rPr>
          <w:rFonts w:hint="eastAsia"/>
        </w:rPr>
      </w:pPr>
      <w:r>
        <w:rPr>
          <w:rFonts w:hint="eastAsia"/>
        </w:rPr>
        <w:t>发包人应与电力调度机构就配套送出工程的建设和接收机组所发出的电力电量作好合同安排，如果发包人要求，承包人应给予相应的协助。</w:t>
      </w:r>
    </w:p>
    <w:p>
      <w:pPr>
        <w:pStyle w:val="4"/>
        <w:rPr>
          <w:rFonts w:hint="eastAsia"/>
        </w:rPr>
      </w:pPr>
      <w:bookmarkStart w:id="79" w:name="_Toc2017"/>
      <w:bookmarkStart w:id="80" w:name="_Toc120689299"/>
      <w:bookmarkStart w:id="81" w:name="_Toc170377821"/>
      <w:bookmarkStart w:id="82" w:name="_Toc11536"/>
      <w:r>
        <w:t>2.8 协调</w:t>
      </w:r>
      <w:bookmarkEnd w:id="79"/>
      <w:bookmarkEnd w:id="80"/>
      <w:bookmarkEnd w:id="81"/>
      <w:bookmarkEnd w:id="82"/>
    </w:p>
    <w:p>
      <w:pPr>
        <w:jc w:val="left"/>
        <w:rPr>
          <w:rFonts w:hint="eastAsia"/>
        </w:rPr>
      </w:pPr>
      <w:r>
        <w:rPr>
          <w:rFonts w:hint="eastAsia"/>
        </w:rPr>
        <w:t>发包人与承包人应按各自责任范围协调与第三方的关系，如承包人提出需要，发包人可给予协助。</w:t>
      </w:r>
    </w:p>
    <w:p>
      <w:pPr>
        <w:pStyle w:val="3"/>
        <w:spacing w:before="0" w:beforeLines="0" w:after="0" w:afterLines="0" w:line="360" w:lineRule="auto"/>
        <w:rPr>
          <w:rFonts w:hint="eastAsia"/>
          <w:color w:val="auto"/>
          <w:lang w:eastAsia="zh-CN"/>
        </w:rPr>
      </w:pPr>
      <w:bookmarkStart w:id="83" w:name="_Toc170377822"/>
      <w:bookmarkStart w:id="84" w:name="_Toc16250"/>
      <w:bookmarkStart w:id="85" w:name="_Toc120689300"/>
      <w:bookmarkStart w:id="86" w:name="_Toc10451"/>
      <w:r>
        <w:rPr>
          <w:color w:val="auto"/>
          <w:lang w:eastAsia="zh-CN"/>
        </w:rPr>
        <w:t>3. 承包人</w:t>
      </w:r>
      <w:bookmarkEnd w:id="83"/>
      <w:bookmarkEnd w:id="84"/>
      <w:bookmarkEnd w:id="85"/>
      <w:bookmarkEnd w:id="86"/>
    </w:p>
    <w:p>
      <w:pPr>
        <w:pStyle w:val="4"/>
        <w:rPr>
          <w:rFonts w:hint="eastAsia"/>
        </w:rPr>
      </w:pPr>
      <w:bookmarkStart w:id="87" w:name="_Toc27915"/>
      <w:bookmarkStart w:id="88" w:name="_Toc120689301"/>
      <w:bookmarkStart w:id="89" w:name="_Toc170377823"/>
      <w:bookmarkStart w:id="90" w:name="_Toc23270"/>
      <w:r>
        <w:t>3.1 联合体</w:t>
      </w:r>
      <w:bookmarkEnd w:id="87"/>
      <w:bookmarkEnd w:id="88"/>
      <w:r>
        <w:rPr>
          <w:rFonts w:hint="eastAsia"/>
        </w:rPr>
        <w:t>(不适用)</w:t>
      </w:r>
      <w:bookmarkEnd w:id="89"/>
      <w:bookmarkEnd w:id="90"/>
    </w:p>
    <w:p>
      <w:pPr>
        <w:jc w:val="left"/>
        <w:rPr>
          <w:rFonts w:hint="eastAsia"/>
        </w:rPr>
      </w:pPr>
      <w:r>
        <w:rPr>
          <w:rFonts w:hint="eastAsia"/>
        </w:rPr>
        <w:t>承包人为由</w:t>
      </w:r>
      <w:r>
        <w:t>_______公司和___________设计院共同组成的联合体，_____________为联合体牵头方。联合体牵头方为联合体代表，与本合同有关的一切事宜发包人只与联合体牵头方联系。联合体内部事宜（包括但不限于工作分工、收益分配等）由联合体成员自行解决，与发包人无关。联合体双方应向发包人提交联合体协议，明确授权联合体牵头方代表联合体执行和管理本合同下的承包人义务。未经发包人事先同意，承包人不得改变联合体组成。</w:t>
      </w:r>
    </w:p>
    <w:p>
      <w:pPr>
        <w:jc w:val="left"/>
        <w:rPr>
          <w:rFonts w:hint="eastAsia"/>
        </w:rPr>
      </w:pPr>
      <w:r>
        <w:rPr>
          <w:rFonts w:hint="eastAsia"/>
        </w:rPr>
        <w:t>联合体各成员方按照工作分工履行承包人在本合同下的义务，对发包人承担连带责任。</w:t>
      </w:r>
    </w:p>
    <w:p>
      <w:pPr>
        <w:pStyle w:val="4"/>
        <w:rPr>
          <w:rFonts w:hint="eastAsia"/>
        </w:rPr>
      </w:pPr>
      <w:bookmarkStart w:id="91" w:name="_Toc120689302"/>
      <w:bookmarkStart w:id="92" w:name="_Toc18997"/>
      <w:bookmarkStart w:id="93" w:name="_Toc170377824"/>
      <w:bookmarkStart w:id="94" w:name="_Toc9543"/>
      <w:r>
        <w:t>3.2 服务范围</w:t>
      </w:r>
      <w:bookmarkEnd w:id="91"/>
      <w:bookmarkEnd w:id="92"/>
      <w:bookmarkEnd w:id="93"/>
      <w:bookmarkEnd w:id="94"/>
    </w:p>
    <w:p>
      <w:pPr>
        <w:jc w:val="left"/>
        <w:rPr>
          <w:rFonts w:hint="eastAsia"/>
        </w:rPr>
      </w:pPr>
      <w:r>
        <w:t>3.2.1 承包人应在合同规定的期限内，依照合同规定负责全面完成工程（包括所有相关土木工程）的设计、采购、施工、安装和调试，对工程的缺陷补救等工作。承包人并应负责按本合同规定向发包人移交工程全部或其部分，完成本合同项下所有试验，并保证其设计及施工能满足合同规定的各项要求。</w:t>
      </w:r>
    </w:p>
    <w:p>
      <w:pPr>
        <w:jc w:val="left"/>
        <w:rPr>
          <w:rFonts w:hint="eastAsia"/>
        </w:rPr>
      </w:pPr>
      <w:r>
        <w:rPr>
          <w:rFonts w:hint="eastAsia"/>
        </w:rPr>
        <w:t>承包人应进行并提供合同中没有具体规定，但可从合同合理推断为工程正常实施或工程达到合同规定功能所必需的工作和／或设备材料，如同合同明确规定该工作和</w:t>
      </w:r>
      <w:r>
        <w:t>/或材料一样。</w:t>
      </w:r>
    </w:p>
    <w:p>
      <w:pPr>
        <w:jc w:val="left"/>
        <w:rPr>
          <w:rFonts w:hint="eastAsia"/>
        </w:rPr>
      </w:pPr>
      <w:r>
        <w:t>3.2.2 在不损害上述原则的前提下，承包人尤其应负责：</w:t>
      </w:r>
    </w:p>
    <w:p>
      <w:pPr>
        <w:jc w:val="left"/>
        <w:rPr>
          <w:rFonts w:hint="eastAsia"/>
        </w:rPr>
      </w:pPr>
      <w:r>
        <w:rPr>
          <w:rFonts w:hint="eastAsia"/>
        </w:rPr>
        <w:t>（</w:t>
      </w:r>
      <w:r>
        <w:t>1）进行地质、地形调查及水文资料的研究，进行工程设计、选择材料、设备、设施、工具、加工工艺以及技术；</w:t>
      </w:r>
    </w:p>
    <w:p>
      <w:pPr>
        <w:jc w:val="left"/>
        <w:rPr>
          <w:rFonts w:hint="eastAsia"/>
        </w:rPr>
      </w:pPr>
      <w:r>
        <w:rPr>
          <w:rFonts w:hint="eastAsia"/>
        </w:rPr>
        <w:t>（</w:t>
      </w:r>
      <w:r>
        <w:t>2）工程管理及工程协调；</w:t>
      </w:r>
    </w:p>
    <w:p>
      <w:pPr>
        <w:jc w:val="left"/>
        <w:rPr>
          <w:rFonts w:hint="eastAsia"/>
        </w:rPr>
      </w:pPr>
      <w:r>
        <w:rPr>
          <w:rFonts w:hint="eastAsia"/>
        </w:rPr>
        <w:t>（</w:t>
      </w:r>
      <w:r>
        <w:t>3）按合同规定采购材料、设备、设施、机具以及其他物品；</w:t>
      </w:r>
    </w:p>
    <w:p>
      <w:pPr>
        <w:jc w:val="left"/>
        <w:rPr>
          <w:rFonts w:hint="eastAsia"/>
        </w:rPr>
      </w:pPr>
      <w:r>
        <w:rPr>
          <w:rFonts w:hint="eastAsia"/>
        </w:rPr>
        <w:t>（</w:t>
      </w:r>
      <w:r>
        <w:t>4）把材料、设备、设施、机具以及其它货物运输到工程场地，并负责其存放、保护、保管及在场地内的二次搬运；</w:t>
      </w:r>
    </w:p>
    <w:p>
      <w:pPr>
        <w:jc w:val="left"/>
        <w:rPr>
          <w:rFonts w:hint="eastAsia"/>
        </w:rPr>
      </w:pPr>
      <w:r>
        <w:rPr>
          <w:rFonts w:hint="eastAsia"/>
        </w:rPr>
        <w:t>（</w:t>
      </w:r>
      <w:r>
        <w:t>5）实施土建、安装及所有与此相关的工作；</w:t>
      </w:r>
    </w:p>
    <w:p>
      <w:pPr>
        <w:jc w:val="left"/>
        <w:rPr>
          <w:rFonts w:hint="eastAsia"/>
        </w:rPr>
      </w:pPr>
      <w:r>
        <w:rPr>
          <w:rFonts w:hint="eastAsia"/>
        </w:rPr>
        <w:t>（</w:t>
      </w:r>
      <w:r>
        <w:t>6）按合同规定对机组进行试验、调试和启动试运；</w:t>
      </w:r>
    </w:p>
    <w:p>
      <w:pPr>
        <w:jc w:val="left"/>
        <w:rPr>
          <w:rFonts w:hint="eastAsia"/>
        </w:rPr>
      </w:pPr>
      <w:r>
        <w:rPr>
          <w:rFonts w:hint="eastAsia"/>
        </w:rPr>
        <w:t>（</w:t>
      </w:r>
      <w:r>
        <w:t>7）完成使工程满负荷商业运行所需的所有工作；</w:t>
      </w:r>
    </w:p>
    <w:p>
      <w:pPr>
        <w:jc w:val="left"/>
        <w:rPr>
          <w:rFonts w:hint="eastAsia"/>
        </w:rPr>
      </w:pPr>
      <w:r>
        <w:rPr>
          <w:rFonts w:hint="eastAsia"/>
        </w:rPr>
        <w:t>（</w:t>
      </w:r>
      <w:r>
        <w:t>8）在签署性能验收证书前，提供缺陷补救所需要的人员；</w:t>
      </w:r>
    </w:p>
    <w:p>
      <w:pPr>
        <w:jc w:val="left"/>
        <w:rPr>
          <w:rFonts w:hint="eastAsia"/>
        </w:rPr>
      </w:pPr>
      <w:r>
        <w:rPr>
          <w:rFonts w:hint="eastAsia"/>
        </w:rPr>
        <w:t>（</w:t>
      </w:r>
      <w:r>
        <w:t>9）在启动试运结束前，按合同规定提供工程建设及运行维护所需的消耗性材料、备品备件、竣工图纸、工艺流程图和设备运行与维护手册说明书、技术规范等；</w:t>
      </w:r>
    </w:p>
    <w:p>
      <w:pPr>
        <w:jc w:val="left"/>
        <w:rPr>
          <w:rFonts w:hint="eastAsia"/>
        </w:rPr>
      </w:pPr>
      <w:r>
        <w:rPr>
          <w:rFonts w:hint="eastAsia"/>
        </w:rPr>
        <w:t>（</w:t>
      </w:r>
      <w:r>
        <w:t>10）根据第14条的规定完成质量保证期内的服务。</w:t>
      </w:r>
    </w:p>
    <w:p>
      <w:pPr>
        <w:jc w:val="left"/>
        <w:rPr>
          <w:rFonts w:hint="eastAsia"/>
        </w:rPr>
      </w:pPr>
      <w:r>
        <w:rPr>
          <w:rFonts w:hint="eastAsia"/>
        </w:rPr>
        <w:t>承包人服务的具体内容及相关的技术细节见合同专用条款。</w:t>
      </w:r>
    </w:p>
    <w:p>
      <w:pPr>
        <w:jc w:val="left"/>
        <w:rPr>
          <w:rFonts w:hint="eastAsia"/>
        </w:rPr>
      </w:pPr>
      <w:r>
        <w:t>3.2.3 承包人应从开工日期开始按技术规范书所规定的方式（或若没有作出如此规定时，则以令发包人合理满意的方式）开展和执行本合同项下的所有服务。如果本合同服务范围中的任何一项或多项已由承包人在合同正式生效之前提供，则此该类已完工作自本合同生效之日起即应视为承包人在本合同项下的服务。承包人应按本合同对该前期己完工作承担相应的责任并享有相应的权利，该类已完工作的费用已纳入本合同价格中。</w:t>
      </w:r>
    </w:p>
    <w:p>
      <w:pPr>
        <w:pStyle w:val="4"/>
        <w:rPr>
          <w:rFonts w:hint="eastAsia"/>
        </w:rPr>
      </w:pPr>
      <w:bookmarkStart w:id="95" w:name="_Toc170377825"/>
      <w:bookmarkStart w:id="96" w:name="_Toc120689303"/>
      <w:bookmarkStart w:id="97" w:name="_Toc6228"/>
      <w:bookmarkStart w:id="98" w:name="_Toc29254"/>
      <w:r>
        <w:t>3.3 承包人人员</w:t>
      </w:r>
      <w:bookmarkEnd w:id="95"/>
      <w:bookmarkEnd w:id="96"/>
      <w:bookmarkEnd w:id="97"/>
      <w:bookmarkEnd w:id="98"/>
    </w:p>
    <w:p>
      <w:pPr>
        <w:jc w:val="left"/>
        <w:rPr>
          <w:rFonts w:hint="eastAsia"/>
        </w:rPr>
      </w:pPr>
      <w:r>
        <w:t>3.3.1 项目经理</w:t>
      </w:r>
    </w:p>
    <w:p>
      <w:pPr>
        <w:jc w:val="left"/>
        <w:rPr>
          <w:rFonts w:hint="eastAsia"/>
        </w:rPr>
      </w:pPr>
      <w:r>
        <w:rPr>
          <w:rFonts w:hint="eastAsia"/>
        </w:rPr>
        <w:t>承包人应按专用条款的要求指派具有同类工程建设经验、并熟悉工程建设全过程的合格人员担任项目经理，该人员应具有代表承包人履行合同所需要的全部权力。项目经理以承包人的名义履行本合同，是承包人履行本合同项下服务的唯一授权代表。</w:t>
      </w:r>
    </w:p>
    <w:p>
      <w:pPr>
        <w:jc w:val="left"/>
        <w:rPr>
          <w:rFonts w:hint="eastAsia"/>
        </w:rPr>
      </w:pPr>
      <w:r>
        <w:rPr>
          <w:rFonts w:hint="eastAsia"/>
        </w:rPr>
        <w:t>项目经理可在本合同范围内将其所享有的职权授予任何胜任的承包人人员，亦可随时撤销授权。任何授权或授权的撤销，应在发包人收到项目经理签发的授权委托书或撤销授权的事先通知后生效。</w:t>
      </w:r>
    </w:p>
    <w:p>
      <w:pPr>
        <w:jc w:val="left"/>
        <w:rPr>
          <w:rFonts w:hint="eastAsia"/>
        </w:rPr>
      </w:pPr>
      <w:r>
        <w:rPr>
          <w:rFonts w:hint="eastAsia"/>
        </w:rPr>
        <w:t>如合同中未写明项目经理的姓名，承包人应在开工日期前，按专用条款的要求将其拟任命为项目经理的人员姓名和详细资料提交给发包人，此类任命须经发包人批准方可生效。如果发包人不批准项目经理人选，承包人应提交其认为合适的其他人选供发包人批准。</w:t>
      </w:r>
    </w:p>
    <w:p>
      <w:pPr>
        <w:jc w:val="left"/>
        <w:rPr>
          <w:rFonts w:hint="eastAsia"/>
        </w:rPr>
      </w:pPr>
      <w:r>
        <w:rPr>
          <w:rFonts w:hint="eastAsia"/>
        </w:rPr>
        <w:t>项目经理应是承包人的员工，承包人应在合同生效后</w:t>
      </w:r>
      <w:r>
        <w:t>10日内向发包人提交项目经理与承包人之间的劳动合同，以及承包人为项目经理缴纳社会保险的有效证明，承包人不提交上述文件的，项目经理无权履行职责，由此影响工程进度或发生其它问题的，由承包人承担责任。</w:t>
      </w:r>
    </w:p>
    <w:p>
      <w:pPr>
        <w:jc w:val="left"/>
        <w:rPr>
          <w:rFonts w:hint="eastAsia"/>
        </w:rPr>
      </w:pPr>
      <w:r>
        <w:rPr>
          <w:rFonts w:hint="eastAsia"/>
        </w:rPr>
        <w:t>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jc w:val="left"/>
        <w:rPr>
          <w:rFonts w:hint="eastAsia"/>
        </w:rPr>
      </w:pPr>
      <w:r>
        <w:rPr>
          <w:rFonts w:hint="eastAsia"/>
        </w:rPr>
        <w:t>承包人违反上述约定的，按照专用条款的约定，承担违约责任。</w:t>
      </w:r>
    </w:p>
    <w:p>
      <w:pPr>
        <w:jc w:val="left"/>
        <w:rPr>
          <w:rFonts w:hint="eastAsia"/>
        </w:rPr>
      </w:pPr>
      <w:r>
        <w:rPr>
          <w:rFonts w:hint="eastAsia"/>
        </w:rPr>
        <w:t>未经发包人事先同意，承包人不得以任何理由撤换项目经理，否则发包人有权解除本合同。</w:t>
      </w:r>
    </w:p>
    <w:p>
      <w:pPr>
        <w:jc w:val="left"/>
        <w:rPr>
          <w:rFonts w:hint="eastAsia"/>
        </w:rPr>
      </w:pPr>
      <w:r>
        <w:t>3.3.2 人员雇用</w:t>
      </w:r>
    </w:p>
    <w:p>
      <w:pPr>
        <w:jc w:val="left"/>
        <w:rPr>
          <w:rFonts w:hint="eastAsia"/>
        </w:rPr>
      </w:pPr>
      <w:r>
        <w:rPr>
          <w:rFonts w:hint="eastAsia"/>
        </w:rPr>
        <w:t>承包人应按专用条款的要求指派具有同类工程建设经验、并熟悉工程建设全过程的合格人员担任项目经理，该人员应具有代表承包人履行合同所需要的全部权力。项目经理以承包人的名义履行本合同，是承包人履行本合同项下服务的唯一授权代表。</w:t>
      </w:r>
    </w:p>
    <w:p>
      <w:pPr>
        <w:jc w:val="left"/>
        <w:rPr>
          <w:rFonts w:hint="eastAsia"/>
        </w:rPr>
      </w:pPr>
      <w:r>
        <w:rPr>
          <w:rFonts w:hint="eastAsia"/>
        </w:rPr>
        <w:t>项目经理可在本合同范围内将其所享有的职权授予任何胜任的承包人人员，亦可随时撤销授权。任何授权或授权的撤销，应在发包人收到项目经理签发的授权委托书或撤销授权的事先通知后生效。</w:t>
      </w:r>
    </w:p>
    <w:p>
      <w:pPr>
        <w:jc w:val="left"/>
        <w:rPr>
          <w:rFonts w:hint="eastAsia"/>
        </w:rPr>
      </w:pPr>
      <w:r>
        <w:rPr>
          <w:rFonts w:hint="eastAsia"/>
        </w:rPr>
        <w:t>如合同中未写明项目经理的姓名，承包人应在开工日期前，按专用条款的要求将其拟任命为项目经理的人员姓名和详细资料提交给发包人，此类任命须经发包人批准方可生效。如果发包人不批准项目经理人选，承包人应提交其认为合适的其他人选供发包人批准。</w:t>
      </w:r>
    </w:p>
    <w:p>
      <w:pPr>
        <w:jc w:val="left"/>
        <w:rPr>
          <w:rFonts w:hint="eastAsia"/>
        </w:rPr>
      </w:pPr>
      <w:r>
        <w:rPr>
          <w:rFonts w:hint="eastAsia"/>
        </w:rPr>
        <w:t>项目经理应是承包人的员工，承包人应在合同生效后</w:t>
      </w:r>
      <w:r>
        <w:t>10日内向发包人提交项目经理与承包人之间的劳动合同，以及承包人为项目经理缴纳社会保险的有效证明，承包人不提交上述文件的，项目经理无权履行职责，由此影响工程进度或发生其它问题的，由承包人承担责任。</w:t>
      </w:r>
    </w:p>
    <w:p>
      <w:pPr>
        <w:jc w:val="left"/>
        <w:rPr>
          <w:rFonts w:hint="eastAsia"/>
        </w:rPr>
      </w:pPr>
      <w:r>
        <w:rPr>
          <w:rFonts w:hint="eastAsia"/>
        </w:rPr>
        <w:t>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jc w:val="left"/>
        <w:rPr>
          <w:rFonts w:hint="eastAsia"/>
        </w:rPr>
      </w:pPr>
      <w:r>
        <w:rPr>
          <w:rFonts w:hint="eastAsia"/>
        </w:rPr>
        <w:t>承包人违反上述约定的，按照专用条款的约定，承担</w:t>
      </w:r>
      <w:r>
        <w:rPr>
          <w:rFonts w:hint="eastAsia"/>
          <w:lang w:eastAsia="zh-Hans"/>
        </w:rPr>
        <w:t>相应</w:t>
      </w:r>
      <w:r>
        <w:rPr>
          <w:rFonts w:hint="eastAsia"/>
        </w:rPr>
        <w:t>违约责任。</w:t>
      </w:r>
    </w:p>
    <w:p>
      <w:pPr>
        <w:jc w:val="left"/>
        <w:rPr>
          <w:rFonts w:hint="eastAsia"/>
        </w:rPr>
      </w:pPr>
      <w:r>
        <w:rPr>
          <w:rFonts w:hint="eastAsia"/>
        </w:rPr>
        <w:t>未经发包人事先同意，承包人不得以任何理由撤换项目经理，否则发包人有权</w:t>
      </w:r>
      <w:r>
        <w:rPr>
          <w:rFonts w:hint="eastAsia"/>
          <w:lang w:eastAsia="zh-Hans"/>
        </w:rPr>
        <w:t>单方面</w:t>
      </w:r>
      <w:r>
        <w:rPr>
          <w:rFonts w:hint="eastAsia"/>
        </w:rPr>
        <w:t>解除本合同。</w:t>
      </w:r>
    </w:p>
    <w:p>
      <w:pPr>
        <w:jc w:val="left"/>
        <w:rPr>
          <w:rFonts w:hint="eastAsia"/>
        </w:rPr>
      </w:pPr>
      <w:r>
        <w:t>3.3.3 员工管理</w:t>
      </w:r>
    </w:p>
    <w:p>
      <w:pPr>
        <w:jc w:val="left"/>
        <w:rPr>
          <w:rFonts w:hint="eastAsia"/>
        </w:rPr>
      </w:pPr>
      <w:r>
        <w:rPr>
          <w:rFonts w:hint="eastAsia"/>
        </w:rPr>
        <w:t>承包人应遵守所有适用于承包人人员的相关劳动法律，包括有关他们雇佣、健康、安全、福利、劳动保护等，确保他们享有所有合法权益。</w:t>
      </w:r>
    </w:p>
    <w:p>
      <w:pPr>
        <w:jc w:val="left"/>
        <w:rPr>
          <w:rFonts w:hint="eastAsia"/>
        </w:rPr>
      </w:pPr>
      <w:r>
        <w:rPr>
          <w:rFonts w:hint="eastAsia"/>
        </w:rPr>
        <w:t>承包人应要求其雇员遵守所有适用的法律、法规，包括有关安全工作的法律和制度。</w:t>
      </w:r>
    </w:p>
    <w:p>
      <w:pPr>
        <w:jc w:val="left"/>
        <w:rPr>
          <w:rFonts w:hint="eastAsia"/>
        </w:rPr>
      </w:pPr>
      <w:r>
        <w:rPr>
          <w:rFonts w:hint="eastAsia"/>
        </w:rPr>
        <w:t>承包人应始终采取合理预防措施，维护承包人员工的健康和安全，并对他们的安全承担一切责任。</w:t>
      </w:r>
    </w:p>
    <w:p>
      <w:pPr>
        <w:jc w:val="left"/>
        <w:rPr>
          <w:rFonts w:hint="eastAsia"/>
        </w:rPr>
      </w:pPr>
      <w:r>
        <w:rPr>
          <w:rFonts w:hint="eastAsia"/>
        </w:rPr>
        <w:t>承包人应设立专门的安全管理人员，负责维护安全和事故预防工作。该人员应具有相应的资质。</w:t>
      </w:r>
    </w:p>
    <w:p>
      <w:pPr>
        <w:jc w:val="left"/>
        <w:rPr>
          <w:rFonts w:hint="eastAsia"/>
        </w:rPr>
      </w:pPr>
      <w:r>
        <w:rPr>
          <w:rFonts w:hint="eastAsia"/>
        </w:rPr>
        <w:t>承包人应为承包人人员提供和保持一切必要的食宿和福利设施。承包人还应按发包人要求中的规定为发包人人员提供设施。</w:t>
      </w:r>
    </w:p>
    <w:p>
      <w:pPr>
        <w:jc w:val="left"/>
        <w:rPr>
          <w:rFonts w:hint="eastAsia"/>
        </w:rPr>
      </w:pPr>
      <w:r>
        <w:rPr>
          <w:rFonts w:hint="eastAsia"/>
        </w:rPr>
        <w:t>承包人不应允许承包人人员中的任何人，在构成工程一部分的构筑物内保留任何临时或永久的居住场所。</w:t>
      </w:r>
    </w:p>
    <w:p>
      <w:pPr>
        <w:jc w:val="left"/>
        <w:rPr>
          <w:rFonts w:hint="eastAsia"/>
        </w:rPr>
      </w:pPr>
      <w:r>
        <w:t>3.3.4 生活和办公设施</w:t>
      </w:r>
    </w:p>
    <w:p>
      <w:pPr>
        <w:jc w:val="left"/>
        <w:rPr>
          <w:rFonts w:hint="eastAsia"/>
        </w:rPr>
      </w:pPr>
      <w:r>
        <w:rPr>
          <w:rFonts w:hint="eastAsia"/>
        </w:rPr>
        <w:t>除合同专用条款另有说明外，承包人应为所雇佣的员工提供和保持一切必要的生活和办公设施。</w:t>
      </w:r>
    </w:p>
    <w:p>
      <w:pPr>
        <w:jc w:val="left"/>
        <w:rPr>
          <w:rFonts w:hint="eastAsia"/>
        </w:rPr>
      </w:pPr>
      <w:r>
        <w:t>3.3.5 人员和设备记录</w:t>
      </w:r>
    </w:p>
    <w:p>
      <w:pPr>
        <w:jc w:val="left"/>
        <w:rPr>
          <w:rFonts w:hint="eastAsia"/>
        </w:rPr>
      </w:pPr>
      <w:r>
        <w:rPr>
          <w:rFonts w:hint="eastAsia"/>
        </w:rPr>
        <w:t>承包人应向发包人提交说明工程场地各类承包人人员的人数和各类施工设备数量的详细资料。上述资料应按发包人批准的格式，每月填报，直到承包人完成了移交证书上列明的全部扫尾工作为止。</w:t>
      </w:r>
    </w:p>
    <w:p>
      <w:pPr>
        <w:jc w:val="left"/>
        <w:rPr>
          <w:rFonts w:hint="eastAsia"/>
        </w:rPr>
      </w:pPr>
      <w:r>
        <w:t>3.3.6 治安</w:t>
      </w:r>
    </w:p>
    <w:p>
      <w:pPr>
        <w:jc w:val="left"/>
        <w:rPr>
          <w:rFonts w:hint="eastAsia"/>
        </w:rPr>
      </w:pPr>
      <w:r>
        <w:rPr>
          <w:rFonts w:hint="eastAsia"/>
        </w:rPr>
        <w:t>承包人应采取有效措施，加强对其所有人员（包括分包商人员）的治安管理，并负责处理合同工程场地范围内和其人员在合同工程场地外所发生的治安事件。</w:t>
      </w:r>
    </w:p>
    <w:p>
      <w:pPr>
        <w:jc w:val="left"/>
        <w:rPr>
          <w:rFonts w:hint="eastAsia"/>
        </w:rPr>
      </w:pPr>
      <w:r>
        <w:t xml:space="preserve">3.3.6 </w:t>
      </w:r>
      <w:r>
        <w:rPr>
          <w:rFonts w:hint="eastAsia"/>
        </w:rPr>
        <w:t>农民工工资</w:t>
      </w:r>
    </w:p>
    <w:p>
      <w:pPr>
        <w:jc w:val="left"/>
        <w:rPr>
          <w:rFonts w:hint="eastAsia"/>
        </w:rPr>
      </w:pPr>
      <w:r>
        <w:rPr>
          <w:rFonts w:hint="eastAsia"/>
        </w:rPr>
        <w:t>承包人应当根据《保障农民工工资支付条例》要求，开设农民工工资专用账户，专项用于支付该工程建设项目农民工工资，工资拨付周期不得超过</w:t>
      </w:r>
      <w:r>
        <w:t>1个月。农民工工资应当以货币形式，通过银行转账支付给农民工本人，不得以实物或者有价证券等其他形式替代。</w:t>
      </w:r>
    </w:p>
    <w:p>
      <w:pPr>
        <w:jc w:val="left"/>
        <w:rPr>
          <w:rFonts w:hint="eastAsia"/>
        </w:rPr>
      </w:pPr>
      <w:r>
        <w:rPr>
          <w:rFonts w:hint="eastAsia"/>
        </w:rPr>
        <w:t>承包人对农民工工资实名制支付负主体责任，应当确保农民工信息真实、准确、完整。承包人应当依法与所招用的农民工订立劳动合同并进行用工实名登记，编制《农民工实名制工资信息报审表》报发包人审核同意，否则相关人员不得进入项目现场施工。不论在工程的任何阶段，农民工退场后</w:t>
      </w:r>
      <w:r>
        <w:t>30日内，承包人应完成退场农民工工资发放工作。</w:t>
      </w:r>
    </w:p>
    <w:p>
      <w:pPr>
        <w:jc w:val="left"/>
        <w:rPr>
          <w:rFonts w:hint="eastAsia"/>
        </w:rPr>
      </w:pPr>
      <w:r>
        <w:rPr>
          <w:rFonts w:hint="eastAsia"/>
        </w:rPr>
        <w:t>承包人应当在项目部配备劳资专管员，对分包单位劳动用工实施监督管理，掌握施工现场用工、考勤、工资支付等情况，审核分包单位编制的农民工工资支付表。承包人应根据分包单位编制的工资支付表，通过农民工工资专用账户直接将工资支付到农民工本人的银行账户，并向分包单位提供代发工资凭证。</w:t>
      </w:r>
    </w:p>
    <w:p>
      <w:pPr>
        <w:jc w:val="left"/>
        <w:rPr>
          <w:rFonts w:hint="eastAsia"/>
        </w:rPr>
      </w:pPr>
      <w:r>
        <w:rPr>
          <w:rFonts w:hint="eastAsia"/>
        </w:rPr>
        <w:t>承包人应当按照工资支付周期编制书面工资支付台账，并至少保存</w:t>
      </w:r>
      <w:r>
        <w:t>3年。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jc w:val="left"/>
        <w:rPr>
          <w:rFonts w:hint="eastAsia"/>
        </w:rPr>
      </w:pPr>
      <w:r>
        <w:rPr>
          <w:rFonts w:hint="eastAsia"/>
        </w:rPr>
        <w:t>若农民工工资专用账户资金不足以支付农民工工资，承包人应自筹资金保证按时足额支付农民工工资，否则给发包人造成损失的，由承包人赔偿由此产生的一切损失。</w:t>
      </w:r>
    </w:p>
    <w:p>
      <w:pPr>
        <w:jc w:val="left"/>
        <w:rPr>
          <w:rFonts w:hint="eastAsia"/>
        </w:rPr>
      </w:pPr>
      <w:r>
        <w:rPr>
          <w:rFonts w:hint="eastAsia"/>
        </w:rPr>
        <w:t>承包人应根据法律法规规定在施工现场醒目位置设置维权信息告示牌，明示农民工工资权益保障相关事项，告示牌风格和尺寸等根据发包人要求进行制作。</w:t>
      </w:r>
    </w:p>
    <w:p>
      <w:pPr>
        <w:jc w:val="left"/>
        <w:rPr>
          <w:rFonts w:hint="eastAsia"/>
        </w:rPr>
      </w:pPr>
      <w:r>
        <w:rPr>
          <w:rFonts w:hint="eastAsia"/>
        </w:rPr>
        <w:t>发包人与承包人或者承包人与分包单位因工程完工数量、质量、造价等产生争议的，承包人不得因争议不按照规定代发农民工工资。承包人将建设工程发包或者分包给个人或者不具备合法经营资格的单位，导致拖欠农民工工资的，由承包人清偿。</w:t>
      </w:r>
    </w:p>
    <w:p>
      <w:pPr>
        <w:jc w:val="left"/>
        <w:rPr>
          <w:rFonts w:hint="eastAsia"/>
        </w:rPr>
      </w:pPr>
      <w:r>
        <w:rPr>
          <w:rFonts w:hint="eastAsia"/>
        </w:rPr>
        <w:t>承包人负责落实对分包单位农民工工资支付的监督管理工作，施工分包单位拖欠农民工工资的，由承包人先行清偿，再依法进行追偿。</w:t>
      </w:r>
    </w:p>
    <w:p>
      <w:pPr>
        <w:jc w:val="left"/>
        <w:rPr>
          <w:rFonts w:hint="eastAsia"/>
        </w:rPr>
      </w:pPr>
      <w:r>
        <w:rPr>
          <w:rFonts w:hint="eastAsia"/>
        </w:rPr>
        <w:t>发包人有权监督农民工工资发放情况，如果承包人或其分包商出现拖欠工资纠纷，发包人有权要求承包人限期整改，发包人并有权以承包人名义向农民工出借相应资金用于处理纠纷，出借资金由承包人承担，发包人可从履约保证金或工程款中扣除或要求承包人另行支付。如果因承包人或其分包商拖欠农民工工资导致发包人需支付相应款项或遭受处罚，承包人应赔偿发包人由此产生的一切损失。</w:t>
      </w:r>
    </w:p>
    <w:p>
      <w:pPr>
        <w:pStyle w:val="4"/>
        <w:rPr>
          <w:rFonts w:hint="eastAsia"/>
        </w:rPr>
      </w:pPr>
      <w:bookmarkStart w:id="99" w:name="_Toc30611"/>
      <w:bookmarkStart w:id="100" w:name="_Toc170377826"/>
      <w:bookmarkStart w:id="101" w:name="_Toc120689304"/>
      <w:bookmarkStart w:id="102" w:name="_Toc23832"/>
      <w:r>
        <w:t>3.4 分包</w:t>
      </w:r>
      <w:bookmarkEnd w:id="99"/>
      <w:bookmarkEnd w:id="100"/>
      <w:bookmarkEnd w:id="101"/>
      <w:bookmarkEnd w:id="102"/>
    </w:p>
    <w:p>
      <w:pPr>
        <w:jc w:val="left"/>
        <w:rPr>
          <w:rFonts w:hint="eastAsia"/>
        </w:rPr>
      </w:pPr>
      <w:r>
        <w:t>3.4.1 转包</w:t>
      </w:r>
    </w:p>
    <w:p>
      <w:pPr>
        <w:jc w:val="left"/>
        <w:rPr>
          <w:rFonts w:hint="eastAsia"/>
        </w:rPr>
      </w:pPr>
      <w:r>
        <w:rPr>
          <w:rFonts w:hint="eastAsia"/>
        </w:rPr>
        <w:t>承包人不得将其在本合同下的所有服务全部予以转包或肢解后分包。</w:t>
      </w:r>
    </w:p>
    <w:p>
      <w:pPr>
        <w:jc w:val="left"/>
        <w:rPr>
          <w:rFonts w:hint="eastAsia"/>
        </w:rPr>
      </w:pPr>
      <w:r>
        <w:t>3.4.2 除合同专用条款另有说明外，分包商的选择应：</w:t>
      </w:r>
    </w:p>
    <w:p>
      <w:pPr>
        <w:jc w:val="left"/>
        <w:rPr>
          <w:rFonts w:hint="eastAsia"/>
        </w:rPr>
      </w:pPr>
      <w:r>
        <w:t>3.4.2.1 除经发包人同意外，本合同项下所有分包商均由招标选定。</w:t>
      </w:r>
    </w:p>
    <w:p>
      <w:pPr>
        <w:jc w:val="left"/>
        <w:rPr>
          <w:rFonts w:hint="eastAsia"/>
        </w:rPr>
      </w:pPr>
      <w:r>
        <w:t>3.4.2.2 承包人应和发包人共同组成分包招标领导小组和工作组，通过招标确定合格的分包商。发包人参与分包商招标并不减轻或免除承包人根据合同约定所应承担的责任。</w:t>
      </w:r>
    </w:p>
    <w:p>
      <w:pPr>
        <w:jc w:val="left"/>
        <w:rPr>
          <w:rFonts w:hint="eastAsia"/>
        </w:rPr>
      </w:pPr>
      <w:r>
        <w:t>3.4.3 分包商的行为</w:t>
      </w:r>
    </w:p>
    <w:p>
      <w:pPr>
        <w:jc w:val="left"/>
        <w:rPr>
          <w:rFonts w:hint="eastAsia"/>
        </w:rPr>
      </w:pPr>
      <w:r>
        <w:rPr>
          <w:rFonts w:hint="eastAsia"/>
        </w:rPr>
        <w:t>承包人应对</w:t>
      </w:r>
      <w:r>
        <w:rPr>
          <w:rFonts w:hint="eastAsia"/>
          <w:lang w:eastAsia="zh-Hans"/>
        </w:rPr>
        <w:t>所有</w:t>
      </w:r>
      <w:r>
        <w:rPr>
          <w:rFonts w:hint="eastAsia"/>
        </w:rPr>
        <w:t>分包</w:t>
      </w:r>
      <w:r>
        <w:rPr>
          <w:rFonts w:hint="eastAsia"/>
          <w:lang w:eastAsia="zh-Hans"/>
        </w:rPr>
        <w:t>人及</w:t>
      </w:r>
      <w:r>
        <w:rPr>
          <w:rFonts w:hint="eastAsia"/>
        </w:rPr>
        <w:t>其代理人或雇员的行为和违约承担全部责任，</w:t>
      </w:r>
      <w:r>
        <w:rPr>
          <w:rFonts w:hint="eastAsia"/>
          <w:lang w:eastAsia="zh-Hans"/>
        </w:rPr>
        <w:t>同时</w:t>
      </w:r>
      <w:r>
        <w:rPr>
          <w:lang w:eastAsia="zh-Hans"/>
        </w:rPr>
        <w:t>，</w:t>
      </w:r>
      <w:r>
        <w:rPr>
          <w:rFonts w:hint="eastAsia"/>
        </w:rPr>
        <w:t>发包人有权要求分包</w:t>
      </w:r>
      <w:r>
        <w:rPr>
          <w:rFonts w:hint="eastAsia"/>
          <w:lang w:eastAsia="zh-Hans"/>
        </w:rPr>
        <w:t>人</w:t>
      </w:r>
      <w:r>
        <w:rPr>
          <w:rFonts w:hint="eastAsia"/>
        </w:rPr>
        <w:t>就其在分包合同下的服务直接向发包人承担责任。</w:t>
      </w:r>
    </w:p>
    <w:p>
      <w:pPr>
        <w:jc w:val="left"/>
        <w:rPr>
          <w:rFonts w:hint="eastAsia"/>
        </w:rPr>
      </w:pPr>
      <w:r>
        <w:t>3.4.4 对分包商的管理</w:t>
      </w:r>
    </w:p>
    <w:p>
      <w:pPr>
        <w:jc w:val="left"/>
        <w:rPr>
          <w:rFonts w:hint="eastAsia"/>
        </w:rPr>
      </w:pPr>
      <w:r>
        <w:rPr>
          <w:rFonts w:hint="eastAsia"/>
        </w:rPr>
        <w:t>承包人应对其分包商的工作进行监督和指导，对其服务范围内的所有工程设计服务、采购及施工的方式、方法、技术、顺序和程序进行审查并与其他分包商工作相协调。发包人如发现分包商的工作有缺陷，有权向承包人发出要求纠正该缺陷的书面通知。如果承包人在收到书面通知后</w:t>
      </w:r>
      <w:r>
        <w:t>5个工作日之内，对其分包商的任何有缺陷的工作未予以纠正或未开始纠正或纠正不力，则发包人可以在向承包人发出另一书面通知后的5个工作日以后，在不危害其它可能的补救措施的情况下，采取一切合理措施补救该缺陷。发包人采取此类合理措施所产生的费用应由承包人负责支付，如果承包人</w:t>
      </w:r>
      <w:r>
        <w:rPr>
          <w:rFonts w:hint="eastAsia"/>
        </w:rPr>
        <w:t>在发包人提出有关支付要求后未予以支付，发包人可自任何应付给承包人的到期款项中予以抵扣。由此引起的工期延误应由承包人自行承担。</w:t>
      </w:r>
    </w:p>
    <w:p>
      <w:pPr>
        <w:pStyle w:val="4"/>
        <w:rPr>
          <w:rFonts w:hint="eastAsia"/>
        </w:rPr>
      </w:pPr>
      <w:bookmarkStart w:id="103" w:name="_Toc170377827"/>
      <w:bookmarkStart w:id="104" w:name="_Toc19888"/>
      <w:bookmarkStart w:id="105" w:name="_Toc120689305"/>
      <w:bookmarkStart w:id="106" w:name="_Toc25761"/>
      <w:r>
        <w:t>3.5 履约保函</w:t>
      </w:r>
      <w:bookmarkEnd w:id="103"/>
      <w:bookmarkEnd w:id="104"/>
      <w:bookmarkEnd w:id="105"/>
      <w:bookmarkEnd w:id="106"/>
    </w:p>
    <w:p>
      <w:pPr>
        <w:jc w:val="left"/>
        <w:rPr>
          <w:rFonts w:hint="eastAsia"/>
        </w:rPr>
      </w:pPr>
      <w:r>
        <w:t>3.5.1 承包人应在本合同生效后28天内，向发包人提交专用条款规定金额的履约保函。履约保函应由经发包人同意的商业银行提供，并采用专用条款规定的格式。承包人未按上述期限提交符合合同要求的履约保函的，应按专用条款承担违约责任。</w:t>
      </w:r>
    </w:p>
    <w:p>
      <w:pPr>
        <w:jc w:val="left"/>
        <w:rPr>
          <w:rFonts w:hint="eastAsia"/>
        </w:rPr>
      </w:pPr>
      <w:r>
        <w:t>3.5.2 承包人应确保履约保函在工程质量保证期结束前持续有效。如果履约保函中规定了具体期满日期，而承包人在该期满日期28天前尚无未取得质量保证期满证书，承包人应在上述期限15天前将履约保函的有效期延长3个月，以此类推。如果承包人未按上述规定延长履约保函有效期的，发包人有权提取保函下的全部款项。</w:t>
      </w:r>
    </w:p>
    <w:p>
      <w:pPr>
        <w:jc w:val="left"/>
        <w:rPr>
          <w:rFonts w:hint="eastAsia"/>
        </w:rPr>
      </w:pPr>
      <w:r>
        <w:t>3.5.3 出现以下情况时，发包人可提取履约保函下的款项：</w:t>
      </w:r>
    </w:p>
    <w:p>
      <w:pPr>
        <w:jc w:val="left"/>
        <w:rPr>
          <w:rFonts w:hint="eastAsia"/>
        </w:rPr>
      </w:pPr>
      <w:r>
        <w:rPr>
          <w:rFonts w:hint="eastAsia"/>
        </w:rPr>
        <w:t>（</w:t>
      </w:r>
      <w:r>
        <w:t>1）承包人未能在商定或确定后42天内，将承包人同意的，或根据第21条或第22条的规定确定的承包人应付金额付给发包人；</w:t>
      </w:r>
    </w:p>
    <w:p>
      <w:pPr>
        <w:jc w:val="left"/>
        <w:rPr>
          <w:rFonts w:hint="eastAsia"/>
        </w:rPr>
      </w:pPr>
      <w:r>
        <w:rPr>
          <w:rFonts w:hint="eastAsia"/>
        </w:rPr>
        <w:t>（</w:t>
      </w:r>
      <w:r>
        <w:t>2）承包人未能在收到发包人要求纠正违约的通知后42天内进行纠正；</w:t>
      </w:r>
    </w:p>
    <w:p>
      <w:pPr>
        <w:jc w:val="left"/>
        <w:rPr>
          <w:rFonts w:hint="eastAsia"/>
        </w:rPr>
      </w:pPr>
      <w:r>
        <w:rPr>
          <w:rFonts w:hint="eastAsia"/>
        </w:rPr>
        <w:t>（</w:t>
      </w:r>
      <w:r>
        <w:t>3）根据第15.2款的规定，发包人有权终止合同；或</w:t>
      </w:r>
    </w:p>
    <w:p>
      <w:pPr>
        <w:jc w:val="left"/>
        <w:rPr>
          <w:rFonts w:hint="eastAsia"/>
        </w:rPr>
      </w:pPr>
      <w:r>
        <w:rPr>
          <w:rFonts w:hint="eastAsia"/>
        </w:rPr>
        <w:t>（</w:t>
      </w:r>
      <w:r>
        <w:t>4）合同规定的，发包人有权提取履约保函下款项的其他情形。</w:t>
      </w:r>
    </w:p>
    <w:p>
      <w:pPr>
        <w:jc w:val="left"/>
        <w:rPr>
          <w:rFonts w:hint="eastAsia"/>
        </w:rPr>
      </w:pPr>
      <w:r>
        <w:rPr>
          <w:rFonts w:hint="eastAsia"/>
        </w:rPr>
        <w:t>发包人应在承包人获得质量保证期满证书后</w:t>
      </w:r>
      <w:r>
        <w:t>21天内，将履约保函退还承包人。</w:t>
      </w:r>
    </w:p>
    <w:p>
      <w:pPr>
        <w:pStyle w:val="4"/>
        <w:rPr>
          <w:rFonts w:hint="eastAsia"/>
        </w:rPr>
      </w:pPr>
      <w:bookmarkStart w:id="107" w:name="_Toc120689306"/>
      <w:bookmarkStart w:id="108" w:name="_Toc170377828"/>
      <w:bookmarkStart w:id="109" w:name="_Toc15802"/>
      <w:bookmarkStart w:id="110" w:name="_Toc32187"/>
      <w:r>
        <w:t>3.6 安全</w:t>
      </w:r>
      <w:bookmarkEnd w:id="107"/>
      <w:bookmarkEnd w:id="108"/>
      <w:bookmarkEnd w:id="109"/>
      <w:bookmarkEnd w:id="110"/>
    </w:p>
    <w:p>
      <w:pPr>
        <w:jc w:val="left"/>
        <w:rPr>
          <w:rFonts w:hint="eastAsia"/>
        </w:rPr>
      </w:pPr>
      <w:r>
        <w:t>3.6.1 承包人应遵守所有适用的安全规则，并在施工前与发包人签署《安全生产协议书》（格式见附件七）。</w:t>
      </w:r>
    </w:p>
    <w:p>
      <w:pPr>
        <w:jc w:val="left"/>
        <w:rPr>
          <w:rFonts w:hint="eastAsia"/>
        </w:rPr>
      </w:pPr>
      <w:r>
        <w:t>3.6.2 除非另有协议，自开始工作直到工程全部移交为止，承包人应：</w:t>
      </w:r>
    </w:p>
    <w:p>
      <w:pPr>
        <w:jc w:val="left"/>
        <w:rPr>
          <w:rFonts w:hint="eastAsia"/>
        </w:rPr>
      </w:pPr>
      <w:r>
        <w:rPr>
          <w:rFonts w:hint="eastAsia"/>
        </w:rPr>
        <w:t>（</w:t>
      </w:r>
      <w:r>
        <w:t>1）全面负责在工程场地上施工的人员的安全，并使工程场地（只要这些工程场地已由其管辖）和工程（只要这些工程尚未完成或由发包人占用）保持良好的秩序，以避免发生人身事故；</w:t>
      </w:r>
    </w:p>
    <w:p>
      <w:pPr>
        <w:jc w:val="left"/>
        <w:rPr>
          <w:rFonts w:hint="eastAsia"/>
        </w:rPr>
      </w:pPr>
      <w:r>
        <w:rPr>
          <w:rFonts w:hint="eastAsia"/>
        </w:rPr>
        <w:t>（</w:t>
      </w:r>
      <w:r>
        <w:t>2）为了保护工程或为了公众及其他人员的安全及方便，在监理工程师或任何依法建立的主管机关所要求的时间和地点，承包人应自费提供并维修所有的照明、护栏、围墙、警告标志及守卫设施。</w:t>
      </w:r>
    </w:p>
    <w:p>
      <w:pPr>
        <w:jc w:val="left"/>
        <w:rPr>
          <w:rFonts w:hint="eastAsia"/>
        </w:rPr>
      </w:pPr>
      <w:r>
        <w:rPr>
          <w:rFonts w:hint="eastAsia"/>
        </w:rPr>
        <w:t>（</w:t>
      </w:r>
      <w:r>
        <w:t>3）采取一切合理措施，保护工程场地及工程场地周围的环境，避免污染、噪音、排放或由于其施工方法的不当造成对公民人身和财产的危害或干扰。</w:t>
      </w:r>
    </w:p>
    <w:p>
      <w:pPr>
        <w:jc w:val="left"/>
        <w:rPr>
          <w:rFonts w:hint="eastAsia"/>
        </w:rPr>
      </w:pPr>
      <w:r>
        <w:t>3.6.3 监理工程师协助发包人对本工程安全实行统一管理。</w:t>
      </w:r>
    </w:p>
    <w:p>
      <w:pPr>
        <w:jc w:val="left"/>
        <w:rPr>
          <w:rFonts w:hint="eastAsia"/>
        </w:rPr>
      </w:pPr>
      <w:r>
        <w:t>3.6.4 承包人在施工中发生安全事故时，其相应的责任和损失均由承包人承担。</w:t>
      </w:r>
    </w:p>
    <w:p>
      <w:pPr>
        <w:jc w:val="left"/>
        <w:rPr>
          <w:rFonts w:hint="eastAsia"/>
        </w:rPr>
      </w:pPr>
      <w:r>
        <w:t>3.6.5 承包人应严格遵守发包人制订的各项安全管理制度，接受发包人安全专职人员的管理。</w:t>
      </w:r>
    </w:p>
    <w:p>
      <w:pPr>
        <w:jc w:val="left"/>
        <w:rPr>
          <w:rFonts w:hint="eastAsia"/>
        </w:rPr>
      </w:pPr>
      <w:r>
        <w:t>3.6.6 若发包人合理认为承包人履行本合同的行为将会构成安全危险、环境危险、工程场地附近地区的人身损害或财产损失的危险，则其有权要求承包人停止工程或其任何部分的施工，或要求承包人在自担责任的情况下以其他合理的方式进行施工。由此引起的工期延误和费用由承包人承担。</w:t>
      </w:r>
    </w:p>
    <w:p>
      <w:pPr>
        <w:jc w:val="left"/>
        <w:rPr>
          <w:rFonts w:hint="eastAsia"/>
        </w:rPr>
      </w:pPr>
      <w:r>
        <w:t>3.6.7 在工程场地发生任何事故时，承包人应立即将事故详情通报发包人。并应按发包人可能提出的合理要求，保持记录，并写出有关人员健康、安全和财产损坏等情况的报告。</w:t>
      </w:r>
    </w:p>
    <w:p>
      <w:pPr>
        <w:pStyle w:val="4"/>
        <w:rPr>
          <w:rFonts w:hint="eastAsia"/>
        </w:rPr>
      </w:pPr>
      <w:bookmarkStart w:id="111" w:name="_Toc27821"/>
      <w:bookmarkStart w:id="112" w:name="_Toc120689307"/>
      <w:bookmarkStart w:id="113" w:name="_Toc170377829"/>
      <w:bookmarkStart w:id="114" w:name="_Toc19516"/>
      <w:r>
        <w:t>3.7 工程场地</w:t>
      </w:r>
      <w:bookmarkEnd w:id="111"/>
      <w:bookmarkEnd w:id="112"/>
      <w:bookmarkEnd w:id="113"/>
      <w:bookmarkEnd w:id="114"/>
    </w:p>
    <w:p>
      <w:pPr>
        <w:jc w:val="left"/>
        <w:rPr>
          <w:rFonts w:hint="eastAsia"/>
        </w:rPr>
      </w:pPr>
      <w:r>
        <w:t>3.7.1 场地检查</w:t>
      </w:r>
    </w:p>
    <w:p>
      <w:pPr>
        <w:jc w:val="left"/>
        <w:rPr>
          <w:rFonts w:hint="eastAsia"/>
        </w:rPr>
      </w:pPr>
      <w:r>
        <w:rPr>
          <w:rFonts w:hint="eastAsia"/>
        </w:rPr>
        <w:t>承包人应被视为己对工程场地及其周围环境进行了充分而详尽的检查和调查，且已查明下述事项，并对所查明的结果感到满意：</w:t>
      </w:r>
    </w:p>
    <w:p>
      <w:pPr>
        <w:jc w:val="left"/>
        <w:rPr>
          <w:rFonts w:hint="eastAsia"/>
        </w:rPr>
      </w:pPr>
      <w:r>
        <w:rPr>
          <w:rFonts w:hint="eastAsia"/>
        </w:rPr>
        <w:t>（</w:t>
      </w:r>
      <w:r>
        <w:t>l）工程场地（包括地面及下层土壤）的形状和性质、气候和空气状况；</w:t>
      </w:r>
    </w:p>
    <w:p>
      <w:pPr>
        <w:jc w:val="left"/>
        <w:rPr>
          <w:rFonts w:hint="eastAsia"/>
        </w:rPr>
      </w:pPr>
      <w:r>
        <w:rPr>
          <w:rFonts w:hint="eastAsia"/>
        </w:rPr>
        <w:t>（</w:t>
      </w:r>
      <w:r>
        <w:t>2）地下或涉及挖掘所需的工程；</w:t>
      </w:r>
    </w:p>
    <w:p>
      <w:pPr>
        <w:jc w:val="left"/>
        <w:rPr>
          <w:rFonts w:hint="eastAsia"/>
        </w:rPr>
      </w:pPr>
      <w:r>
        <w:rPr>
          <w:rFonts w:hint="eastAsia"/>
        </w:rPr>
        <w:t>（</w:t>
      </w:r>
      <w:r>
        <w:t>3）所有进入工程场地的通道及方式，包括该通道和进入方式的通行能力；及</w:t>
      </w:r>
    </w:p>
    <w:p>
      <w:pPr>
        <w:jc w:val="left"/>
        <w:rPr>
          <w:rFonts w:hint="eastAsia"/>
        </w:rPr>
      </w:pPr>
      <w:r>
        <w:rPr>
          <w:rFonts w:hint="eastAsia"/>
        </w:rPr>
        <w:t>（</w:t>
      </w:r>
      <w:r>
        <w:t>4）可能会影响合同价格的与工程场地有关的其他情况。</w:t>
      </w:r>
    </w:p>
    <w:p>
      <w:pPr>
        <w:jc w:val="left"/>
        <w:rPr>
          <w:rFonts w:hint="eastAsia"/>
        </w:rPr>
      </w:pPr>
      <w:r>
        <w:rPr>
          <w:rFonts w:hint="eastAsia"/>
        </w:rPr>
        <w:t>承包人应对所取得场地资料的理解负责，并无权因此调整合同价格或延长完工期限。</w:t>
      </w:r>
    </w:p>
    <w:p>
      <w:pPr>
        <w:jc w:val="left"/>
        <w:rPr>
          <w:rFonts w:hint="eastAsia"/>
        </w:rPr>
      </w:pPr>
      <w:r>
        <w:t>3.7.2 道路通行权与设施</w:t>
      </w:r>
    </w:p>
    <w:p>
      <w:pPr>
        <w:jc w:val="left"/>
        <w:rPr>
          <w:rFonts w:hint="eastAsia"/>
        </w:rPr>
      </w:pPr>
      <w:r>
        <w:rPr>
          <w:rFonts w:hint="eastAsia"/>
        </w:rPr>
        <w:t>承包人应自行获得履行合同所需的专用和（或）临时道路的通行权以及实施工程所需要的现场以外的任何附加设施，并承担全部费用。</w:t>
      </w:r>
    </w:p>
    <w:p>
      <w:pPr>
        <w:jc w:val="left"/>
        <w:rPr>
          <w:rFonts w:hint="eastAsia"/>
        </w:rPr>
      </w:pPr>
      <w:r>
        <w:t>3.7.3 进场道路</w:t>
      </w:r>
    </w:p>
    <w:p>
      <w:pPr>
        <w:jc w:val="left"/>
        <w:rPr>
          <w:rFonts w:hint="eastAsia"/>
        </w:rPr>
      </w:pPr>
      <w:r>
        <w:rPr>
          <w:rFonts w:hint="eastAsia"/>
        </w:rPr>
        <w:t>承包人应被认为已经对现场的进入通路的适宜性和可用性感到满意。承包人应采取措施防止任何道路和桥梁因承包人的通行而受到破坏。这些措施应包括正确使用适宜的车辆和通路、采取相关保护措施等。</w:t>
      </w:r>
    </w:p>
    <w:p>
      <w:pPr>
        <w:jc w:val="left"/>
        <w:rPr>
          <w:rFonts w:hint="eastAsia"/>
        </w:rPr>
      </w:pPr>
      <w:r>
        <w:rPr>
          <w:rFonts w:hint="eastAsia"/>
        </w:rPr>
        <w:t>除合同另有规定外：</w:t>
      </w:r>
    </w:p>
    <w:p>
      <w:pPr>
        <w:jc w:val="left"/>
        <w:rPr>
          <w:rFonts w:hint="eastAsia"/>
        </w:rPr>
      </w:pPr>
      <w:r>
        <w:rPr>
          <w:rFonts w:hint="eastAsia"/>
        </w:rPr>
        <w:t>（</w:t>
      </w:r>
      <w:r>
        <w:t>1）承包人应负责因他使用进场通路所需要的任何维护；</w:t>
      </w:r>
    </w:p>
    <w:p>
      <w:pPr>
        <w:jc w:val="left"/>
        <w:rPr>
          <w:rFonts w:hint="eastAsia"/>
        </w:rPr>
      </w:pPr>
      <w:r>
        <w:rPr>
          <w:rFonts w:hint="eastAsia"/>
        </w:rPr>
        <w:t>（</w:t>
      </w:r>
      <w:r>
        <w:t>2）承包人负责为大件运输办理必要的通行手续；</w:t>
      </w:r>
    </w:p>
    <w:p>
      <w:pPr>
        <w:jc w:val="left"/>
        <w:rPr>
          <w:rFonts w:hint="eastAsia"/>
        </w:rPr>
      </w:pPr>
      <w:r>
        <w:rPr>
          <w:rFonts w:hint="eastAsia"/>
        </w:rPr>
        <w:t>（</w:t>
      </w:r>
      <w:r>
        <w:t>3）因使用任何道路引起的索赔均由承包人负责；</w:t>
      </w:r>
    </w:p>
    <w:p>
      <w:pPr>
        <w:jc w:val="left"/>
        <w:rPr>
          <w:rFonts w:hint="eastAsia"/>
        </w:rPr>
      </w:pPr>
      <w:r>
        <w:rPr>
          <w:rFonts w:hint="eastAsia"/>
        </w:rPr>
        <w:t>（</w:t>
      </w:r>
      <w:r>
        <w:t>4）因进场道路对承包人的使用要求不适宜、不能使用而发生的费用应由承包人承担。</w:t>
      </w:r>
    </w:p>
    <w:p>
      <w:pPr>
        <w:jc w:val="left"/>
        <w:rPr>
          <w:rFonts w:hint="eastAsia"/>
        </w:rPr>
      </w:pPr>
      <w:r>
        <w:t>3.7.4 场地进出</w:t>
      </w:r>
    </w:p>
    <w:p>
      <w:pPr>
        <w:jc w:val="left"/>
        <w:rPr>
          <w:rFonts w:hint="eastAsia"/>
        </w:rPr>
      </w:pPr>
      <w:r>
        <w:rPr>
          <w:rFonts w:hint="eastAsia"/>
        </w:rPr>
        <w:t>承包人应向发包人、发包人代表或其指定人提供随时进出工程场地的通道以使发包人、发包人代表或其指定人能够检查、检验正在进行的服务或为工程提供必要的工作，并监督承包人和分包商遵守本合同的情况，但发包人、发包人代表或其指定人员应遵守承包人制定的工程场地安全保卫管理制度和办法。</w:t>
      </w:r>
    </w:p>
    <w:p>
      <w:pPr>
        <w:jc w:val="left"/>
        <w:rPr>
          <w:rFonts w:hint="eastAsia"/>
        </w:rPr>
      </w:pPr>
      <w:r>
        <w:t>3.7.5 场地清理</w:t>
      </w:r>
    </w:p>
    <w:p>
      <w:pPr>
        <w:jc w:val="left"/>
        <w:rPr>
          <w:rFonts w:hint="eastAsia"/>
        </w:rPr>
      </w:pPr>
      <w:r>
        <w:rPr>
          <w:rFonts w:hint="eastAsia"/>
        </w:rPr>
        <w:t>（</w:t>
      </w:r>
      <w:r>
        <w:t>1）工作过程中的工程场地清理</w:t>
      </w:r>
    </w:p>
    <w:p>
      <w:pPr>
        <w:jc w:val="left"/>
        <w:rPr>
          <w:rFonts w:hint="eastAsia"/>
        </w:rPr>
      </w:pPr>
      <w:r>
        <w:rPr>
          <w:rFonts w:hint="eastAsia"/>
        </w:rPr>
        <w:t>承包人在履行本合同过程中，应及时清理工程场地，或以其他适当的方式不使因履行服务而产生的废弃物（包括废水和化学废品）、垃圾和</w:t>
      </w:r>
      <w:r>
        <w:t>/或其他瓦砾在工程场地上堆积，清除所有不需要的障碍物、临时工程，并将工程建设不再需要的施工设备撤离工程场地。</w:t>
      </w:r>
    </w:p>
    <w:p>
      <w:pPr>
        <w:jc w:val="left"/>
        <w:rPr>
          <w:rFonts w:hint="eastAsia"/>
        </w:rPr>
      </w:pPr>
      <w:r>
        <w:rPr>
          <w:rFonts w:hint="eastAsia"/>
        </w:rPr>
        <w:t>（</w:t>
      </w:r>
      <w:r>
        <w:t>2）接管后的工程场地清理</w:t>
      </w:r>
    </w:p>
    <w:p>
      <w:pPr>
        <w:jc w:val="left"/>
        <w:rPr>
          <w:rFonts w:hint="eastAsia"/>
        </w:rPr>
      </w:pPr>
      <w:r>
        <w:rPr>
          <w:rFonts w:hint="eastAsia"/>
        </w:rPr>
        <w:t>除非发包人同意，在工程最后一台机组的完工日或之前，承包人应从工程场地内清除所有废弃物、垃圾和其它瓦砾，使工程场地处于整齐、干净及可用的状态。承包人应保证绿化区域地面</w:t>
      </w:r>
      <w:r>
        <w:t>30cm深度内土壤中没有建筑垃圾和其它杂物，符合绿化要求。承包人应在有关质量保证期满一年之日或之前，撤离所有非为发包人所有的工具、施工设备、机械和多余材料。所有的清理与处理工作都应依法进行。承包人应按照法律和本合同的要求管理、处理、储存、拆除、运走和处置承包人或分包商运到工程场地上的、或承包人（或其分包商）在工程场地施工活动中产生、使用或处理的有</w:t>
      </w:r>
      <w:r>
        <w:rPr>
          <w:rFonts w:hint="eastAsia"/>
        </w:rPr>
        <w:t>害物质。承包人如发现工程场地上有任何有害物质存在或有任何有害物质向工程场地上释放或从工程场地上释放出来时，应尽快处理该等情况，并应及时将此情况通知发包人。</w:t>
      </w:r>
    </w:p>
    <w:p>
      <w:pPr>
        <w:jc w:val="left"/>
        <w:rPr>
          <w:rFonts w:hint="eastAsia"/>
        </w:rPr>
      </w:pPr>
      <w:r>
        <w:rPr>
          <w:rFonts w:hint="eastAsia"/>
        </w:rPr>
        <w:t>多余土方的弃土点（由发包人配合承包人寻找）及垃圾处理由承包人负责，所需要的费用已经包含在合同总价中。</w:t>
      </w:r>
    </w:p>
    <w:p>
      <w:pPr>
        <w:pStyle w:val="4"/>
        <w:rPr>
          <w:rFonts w:hint="eastAsia"/>
        </w:rPr>
      </w:pPr>
      <w:bookmarkStart w:id="115" w:name="_Toc120689308"/>
      <w:bookmarkStart w:id="116" w:name="_Toc170377830"/>
      <w:bookmarkStart w:id="117" w:name="_Toc8211"/>
      <w:bookmarkStart w:id="118" w:name="_Toc22651"/>
      <w:r>
        <w:t>3.8 施工设备</w:t>
      </w:r>
      <w:bookmarkEnd w:id="115"/>
      <w:bookmarkEnd w:id="116"/>
      <w:bookmarkEnd w:id="117"/>
      <w:bookmarkEnd w:id="118"/>
    </w:p>
    <w:p>
      <w:pPr>
        <w:jc w:val="left"/>
        <w:rPr>
          <w:rFonts w:hint="eastAsia"/>
        </w:rPr>
      </w:pPr>
      <w:r>
        <w:rPr>
          <w:rFonts w:hint="eastAsia"/>
        </w:rPr>
        <w:t>承包人应负责提供所有施工设备，承包人为履行本合同项下的服务而运到工程场地的所有施工设备均被视为仅供本合同所述的工程建设之用，承包人只有在工程不再需要此类施工设备后才能从工程场地将它们运走。无论本合同如何规定，承包人在将用于工程主体部分的施工设备撤离工程场地时应事先获得发包人的同意。</w:t>
      </w:r>
    </w:p>
    <w:p>
      <w:pPr>
        <w:pStyle w:val="4"/>
        <w:rPr>
          <w:rFonts w:hint="eastAsia"/>
        </w:rPr>
      </w:pPr>
      <w:bookmarkStart w:id="119" w:name="_Toc19670"/>
      <w:bookmarkStart w:id="120" w:name="_Toc120689309"/>
      <w:bookmarkStart w:id="121" w:name="_Toc170377831"/>
      <w:bookmarkStart w:id="122" w:name="_Toc15595"/>
      <w:r>
        <w:t>3.9 工程照管</w:t>
      </w:r>
      <w:bookmarkEnd w:id="119"/>
      <w:bookmarkEnd w:id="120"/>
      <w:bookmarkEnd w:id="121"/>
      <w:bookmarkEnd w:id="122"/>
    </w:p>
    <w:p>
      <w:pPr>
        <w:jc w:val="left"/>
        <w:rPr>
          <w:rFonts w:hint="eastAsia"/>
        </w:rPr>
      </w:pPr>
      <w:r>
        <w:rPr>
          <w:rFonts w:hint="eastAsia"/>
        </w:rPr>
        <w:t>承包人应从开工日期起承担照管工程和货物的全部职责，直到颁发最后一台机组的移交证书之日止。但如果发包人在最后一台机组移交证书颁发前对某分项工程颁发了移交证书，则对该分项工程的照管职责应相应的移交证书颁发之日移交给发包人。</w:t>
      </w:r>
    </w:p>
    <w:p>
      <w:pPr>
        <w:jc w:val="left"/>
        <w:rPr>
          <w:rFonts w:hint="eastAsia"/>
        </w:rPr>
      </w:pPr>
      <w:r>
        <w:rPr>
          <w:rFonts w:hint="eastAsia"/>
        </w:rPr>
        <w:t>在照管职责按上述规定移交给发包人后，承包人仍应对在移交证书上注明的任何扫尾工作承担照管职责，直到该扫尾工作完成并移交发包人为止。</w:t>
      </w:r>
    </w:p>
    <w:p>
      <w:pPr>
        <w:jc w:val="left"/>
        <w:rPr>
          <w:rFonts w:hint="eastAsia"/>
        </w:rPr>
      </w:pPr>
      <w:r>
        <w:rPr>
          <w:rFonts w:hint="eastAsia"/>
        </w:rPr>
        <w:t>如果在承包人负责照管期间，由于发包人以外的任何原因，致使工程、货物或承包人文件发生任何损失或损害，承包人应自行承担风险和费用，修正该项损失和损害，使工程、货物和承包人文件符合合同要求。</w:t>
      </w:r>
    </w:p>
    <w:p>
      <w:pPr>
        <w:jc w:val="left"/>
        <w:rPr>
          <w:rFonts w:hint="eastAsia"/>
        </w:rPr>
      </w:pPr>
      <w:r>
        <w:rPr>
          <w:rFonts w:hint="eastAsia"/>
        </w:rPr>
        <w:t>承包人应对发包人颁发移交证书后由承包人采取的任何行动所造成的损失和损害负责。</w:t>
      </w:r>
    </w:p>
    <w:p>
      <w:pPr>
        <w:pStyle w:val="4"/>
        <w:rPr>
          <w:rFonts w:hint="eastAsia"/>
        </w:rPr>
      </w:pPr>
      <w:bookmarkStart w:id="123" w:name="_Toc170377832"/>
      <w:bookmarkStart w:id="124" w:name="_Toc120689310"/>
      <w:bookmarkStart w:id="125" w:name="_Toc6811"/>
      <w:bookmarkStart w:id="126" w:name="_Toc25287"/>
      <w:r>
        <w:t>3.10 协调与配合</w:t>
      </w:r>
      <w:bookmarkEnd w:id="123"/>
      <w:bookmarkEnd w:id="124"/>
      <w:bookmarkEnd w:id="125"/>
      <w:bookmarkEnd w:id="126"/>
    </w:p>
    <w:p>
      <w:pPr>
        <w:jc w:val="left"/>
        <w:rPr>
          <w:rFonts w:hint="eastAsia"/>
        </w:rPr>
      </w:pPr>
      <w:r>
        <w:rPr>
          <w:rFonts w:hint="eastAsia"/>
        </w:rPr>
        <w:t>承包人应对其根据本合同所采取的所有施工方式、方法、技术、顺序和程序负责，并对服务的各个部分加以协调和管理。承包人应防止在服务过程中发生任何人员伤害和财产损害。承包人应采取有效措施，避免或降低第三方可能会对其服务造成的不利影响。</w:t>
      </w:r>
    </w:p>
    <w:p>
      <w:pPr>
        <w:jc w:val="left"/>
        <w:rPr>
          <w:rFonts w:hint="eastAsia"/>
        </w:rPr>
      </w:pPr>
      <w:r>
        <w:rPr>
          <w:rFonts w:hint="eastAsia"/>
        </w:rPr>
        <w:t>承包人应依据合同的规定或发包人的指示，为被雇用的在工程场地或其附近从事本合同未包括的任何工作的下列人员进行工作提供适当的便利（包括提供使用施工设备、准备临时设施和做出进入工程场地的安排等）：</w:t>
      </w:r>
    </w:p>
    <w:p>
      <w:pPr>
        <w:jc w:val="left"/>
        <w:rPr>
          <w:rFonts w:hint="eastAsia"/>
        </w:rPr>
      </w:pPr>
      <w:r>
        <w:rPr>
          <w:rFonts w:hint="eastAsia"/>
        </w:rPr>
        <w:t>（</w:t>
      </w:r>
      <w:r>
        <w:t>1）发包人人员</w:t>
      </w:r>
      <w:r>
        <w:rPr>
          <w:rFonts w:hint="eastAsia"/>
        </w:rPr>
        <w:t>；</w:t>
      </w:r>
    </w:p>
    <w:p>
      <w:pPr>
        <w:jc w:val="left"/>
        <w:rPr>
          <w:rFonts w:hint="eastAsia"/>
        </w:rPr>
      </w:pPr>
      <w:r>
        <w:rPr>
          <w:rFonts w:hint="eastAsia"/>
        </w:rPr>
        <w:t>（</w:t>
      </w:r>
      <w:r>
        <w:t>2）发包人雇用的任何其他承包人</w:t>
      </w:r>
      <w:r>
        <w:rPr>
          <w:rFonts w:hint="eastAsia"/>
        </w:rPr>
        <w:t>；</w:t>
      </w:r>
    </w:p>
    <w:p>
      <w:pPr>
        <w:jc w:val="left"/>
        <w:rPr>
          <w:rFonts w:hint="eastAsia"/>
        </w:rPr>
      </w:pPr>
      <w:r>
        <w:rPr>
          <w:rFonts w:hint="eastAsia"/>
        </w:rPr>
        <w:t>（</w:t>
      </w:r>
      <w:r>
        <w:t>3）任何政府部门的人员。</w:t>
      </w:r>
    </w:p>
    <w:p>
      <w:pPr>
        <w:jc w:val="left"/>
        <w:rPr>
          <w:rFonts w:hint="eastAsia"/>
        </w:rPr>
      </w:pPr>
      <w:r>
        <w:rPr>
          <w:rFonts w:hint="eastAsia"/>
        </w:rPr>
        <w:t>但该等人员的工作不得阻碍或干扰承包人的正常工作。如果发包人的任何此类指示导致承包人增加的额外费用，达到一个有经验的承包人在提交投标文件时不能合理预见的数额时，该指示应构成一项变更。</w:t>
      </w:r>
    </w:p>
    <w:p>
      <w:pPr>
        <w:jc w:val="left"/>
        <w:rPr>
          <w:rFonts w:hint="eastAsia"/>
        </w:rPr>
      </w:pPr>
      <w:r>
        <w:rPr>
          <w:rFonts w:hint="eastAsia"/>
        </w:rPr>
        <w:t>承包人应对其在工程场地的施工活动负责，并应按照技术规范书中规定的范围（如果有）协调自己与其他承包人的活动。</w:t>
      </w:r>
    </w:p>
    <w:p>
      <w:pPr>
        <w:pStyle w:val="4"/>
        <w:rPr>
          <w:rFonts w:hint="eastAsia"/>
        </w:rPr>
      </w:pPr>
      <w:bookmarkStart w:id="127" w:name="_Toc120689311"/>
      <w:bookmarkStart w:id="128" w:name="_Toc31311"/>
      <w:bookmarkStart w:id="129" w:name="_Toc170377833"/>
      <w:bookmarkStart w:id="130" w:name="_Toc27550"/>
      <w:r>
        <w:t>3.11 并网设施</w:t>
      </w:r>
      <w:bookmarkEnd w:id="127"/>
      <w:bookmarkEnd w:id="128"/>
      <w:bookmarkEnd w:id="129"/>
      <w:bookmarkEnd w:id="130"/>
    </w:p>
    <w:p>
      <w:pPr>
        <w:jc w:val="left"/>
        <w:rPr>
          <w:rFonts w:hint="eastAsia"/>
        </w:rPr>
      </w:pPr>
      <w:r>
        <w:rPr>
          <w:rFonts w:hint="eastAsia"/>
        </w:rPr>
        <w:t>承包人应配合发包人与电力调度机构一起协调工程内所有并网设施的设计及施工进度，以使并网设施与配套送出工程及工程的施工协调一致。</w:t>
      </w:r>
    </w:p>
    <w:p>
      <w:pPr>
        <w:pStyle w:val="4"/>
        <w:rPr>
          <w:rFonts w:hint="eastAsia"/>
        </w:rPr>
      </w:pPr>
      <w:bookmarkStart w:id="131" w:name="_Toc120689312"/>
      <w:bookmarkStart w:id="132" w:name="_Toc170377834"/>
      <w:bookmarkStart w:id="133" w:name="_Toc28829"/>
      <w:bookmarkStart w:id="134" w:name="_Toc17927"/>
      <w:r>
        <w:t>3.12 税款及收费</w:t>
      </w:r>
      <w:bookmarkEnd w:id="131"/>
      <w:bookmarkEnd w:id="132"/>
      <w:bookmarkEnd w:id="133"/>
      <w:bookmarkEnd w:id="134"/>
    </w:p>
    <w:p>
      <w:pPr>
        <w:jc w:val="left"/>
        <w:rPr>
          <w:rFonts w:hint="eastAsia"/>
        </w:rPr>
      </w:pPr>
      <w:r>
        <w:rPr>
          <w:rFonts w:hint="eastAsia"/>
        </w:rPr>
        <w:t>承包人应支付，并应要求其分包商支付有关部门依法对承包人或其分包商及其劳工或雇员在履行本合同时所征收的所有税款及其他收费。</w:t>
      </w:r>
    </w:p>
    <w:p>
      <w:pPr>
        <w:jc w:val="left"/>
        <w:rPr>
          <w:rFonts w:hint="eastAsia"/>
        </w:rPr>
      </w:pPr>
      <w:r>
        <w:rPr>
          <w:rFonts w:hint="eastAsia"/>
        </w:rPr>
        <w:t>承包人应对本合同承包范围内的用于本工程的任何设备、材料、装置或其他物品（包括包含在该设备、材料、装置或其他物品价值中的技术服务或劳务）的税收，包括进口税（如该设备、材料或装置或其他物品为进口物品）及其他税费承担支付责任。</w:t>
      </w:r>
    </w:p>
    <w:p>
      <w:pPr>
        <w:pStyle w:val="4"/>
        <w:rPr>
          <w:rFonts w:hint="eastAsia"/>
        </w:rPr>
      </w:pPr>
      <w:bookmarkStart w:id="135" w:name="_Toc170377835"/>
      <w:bookmarkStart w:id="136" w:name="_Toc15392"/>
      <w:bookmarkStart w:id="137" w:name="_Toc120689313"/>
      <w:bookmarkStart w:id="138" w:name="_Toc27504"/>
      <w:r>
        <w:t>3.13 毗邻的第三方设施</w:t>
      </w:r>
      <w:bookmarkEnd w:id="135"/>
      <w:bookmarkEnd w:id="136"/>
      <w:bookmarkEnd w:id="137"/>
      <w:bookmarkEnd w:id="138"/>
    </w:p>
    <w:p>
      <w:pPr>
        <w:jc w:val="left"/>
        <w:rPr>
          <w:rFonts w:hint="eastAsia"/>
        </w:rPr>
      </w:pPr>
      <w:r>
        <w:rPr>
          <w:rFonts w:hint="eastAsia"/>
        </w:rPr>
        <w:t>承包人应采取必要的措施以在其履行合同期间保护所有公路、排水道、铁路、管道设施和其他第三方的设施免受损害。如果该类第三方设施因承包人的不当行为遭到损坏或毁坏，承包人应负责赔偿或自费予以重建、修理、修补、更换。</w:t>
      </w:r>
    </w:p>
    <w:p>
      <w:pPr>
        <w:pStyle w:val="4"/>
        <w:rPr>
          <w:rFonts w:hint="eastAsia"/>
        </w:rPr>
      </w:pPr>
      <w:bookmarkStart w:id="139" w:name="_Toc120689314"/>
      <w:bookmarkStart w:id="140" w:name="_Toc16963"/>
      <w:bookmarkStart w:id="141" w:name="_Toc170377836"/>
      <w:bookmarkStart w:id="142" w:name="_Toc25333"/>
      <w:r>
        <w:t>3.14 不可预见的困难</w:t>
      </w:r>
      <w:bookmarkEnd w:id="139"/>
      <w:bookmarkEnd w:id="140"/>
      <w:bookmarkEnd w:id="141"/>
      <w:bookmarkEnd w:id="142"/>
    </w:p>
    <w:p>
      <w:pPr>
        <w:jc w:val="left"/>
        <w:rPr>
          <w:rFonts w:hint="eastAsia"/>
        </w:rPr>
      </w:pPr>
      <w:r>
        <w:rPr>
          <w:rFonts w:hint="eastAsia"/>
        </w:rPr>
        <w:t>除有经验的承包人均不可预见的困难外：</w:t>
      </w:r>
    </w:p>
    <w:p>
      <w:pPr>
        <w:jc w:val="left"/>
        <w:rPr>
          <w:rFonts w:hint="eastAsia"/>
        </w:rPr>
      </w:pPr>
      <w:r>
        <w:rPr>
          <w:rFonts w:hint="eastAsia"/>
        </w:rPr>
        <w:t>（</w:t>
      </w:r>
      <w:r>
        <w:t>1）承包人应被认为已取得了对工程可能产生影响的有关风险、意外事件和其他情况的全部必要资料：</w:t>
      </w:r>
    </w:p>
    <w:p>
      <w:pPr>
        <w:jc w:val="left"/>
        <w:rPr>
          <w:rFonts w:hint="eastAsia"/>
        </w:rPr>
      </w:pPr>
      <w:r>
        <w:rPr>
          <w:rFonts w:hint="eastAsia"/>
        </w:rPr>
        <w:t>（</w:t>
      </w:r>
      <w:r>
        <w:t>2）承包人应自行解决顺利完成工程将面对的所有困难并承担相应的费用和责任；</w:t>
      </w:r>
    </w:p>
    <w:p>
      <w:pPr>
        <w:jc w:val="left"/>
        <w:rPr>
          <w:rFonts w:hint="eastAsia"/>
        </w:rPr>
      </w:pPr>
      <w:r>
        <w:rPr>
          <w:rFonts w:hint="eastAsia"/>
        </w:rPr>
        <w:t>（</w:t>
      </w:r>
      <w:r>
        <w:t>3）合同价格不应因任何承包人未预见到的困难和费用而予以调整。</w:t>
      </w:r>
    </w:p>
    <w:p>
      <w:pPr>
        <w:pStyle w:val="4"/>
        <w:rPr>
          <w:rFonts w:hint="eastAsia"/>
        </w:rPr>
      </w:pPr>
      <w:bookmarkStart w:id="143" w:name="_Toc170377837"/>
      <w:bookmarkStart w:id="144" w:name="_Toc23048"/>
      <w:bookmarkStart w:id="145" w:name="_Toc120689315"/>
      <w:bookmarkStart w:id="146" w:name="_Toc3270"/>
      <w:r>
        <w:t>3.15 资料</w:t>
      </w:r>
      <w:bookmarkEnd w:id="143"/>
      <w:bookmarkEnd w:id="144"/>
      <w:bookmarkEnd w:id="145"/>
      <w:bookmarkEnd w:id="146"/>
    </w:p>
    <w:p>
      <w:pPr>
        <w:jc w:val="left"/>
        <w:rPr>
          <w:rFonts w:hint="eastAsia"/>
        </w:rPr>
      </w:pPr>
      <w:r>
        <w:rPr>
          <w:rFonts w:hint="eastAsia"/>
        </w:rPr>
        <w:t>除合同另有规定外，承包人应自行获得履行本合同所需的全部资料，并对其所获得的资料的准确性、全面性、充足性或适用性负责。</w:t>
      </w:r>
    </w:p>
    <w:p>
      <w:pPr>
        <w:pStyle w:val="4"/>
        <w:rPr>
          <w:rFonts w:hint="eastAsia"/>
        </w:rPr>
      </w:pPr>
      <w:bookmarkStart w:id="147" w:name="_Toc120689316"/>
      <w:bookmarkStart w:id="148" w:name="_Toc170377838"/>
      <w:bookmarkStart w:id="149" w:name="_Toc10143"/>
      <w:bookmarkStart w:id="150" w:name="_Toc1256"/>
      <w:r>
        <w:t>3.16 培训</w:t>
      </w:r>
      <w:bookmarkEnd w:id="147"/>
      <w:bookmarkEnd w:id="148"/>
      <w:bookmarkEnd w:id="149"/>
      <w:bookmarkEnd w:id="150"/>
    </w:p>
    <w:p>
      <w:pPr>
        <w:jc w:val="left"/>
        <w:rPr>
          <w:rFonts w:hint="eastAsia"/>
        </w:rPr>
      </w:pPr>
      <w:r>
        <w:rPr>
          <w:rFonts w:hint="eastAsia"/>
        </w:rPr>
        <w:t>承包人负责对发包人运行人员进行培训，发包人配合。除合同专用条款另有规定外，承包人应按合同规定为发包人运行人员提供设备性能培训、分部试运和整套启动试运期间跟班实习及熟悉工程各系统的机会。该类培训的目的是使运行人员对机组有关运行维护的各方面有全面的了解和熟悉。</w:t>
      </w:r>
    </w:p>
    <w:p>
      <w:pPr>
        <w:pStyle w:val="3"/>
        <w:spacing w:before="0" w:beforeLines="0" w:after="0" w:afterLines="0" w:line="360" w:lineRule="auto"/>
        <w:rPr>
          <w:rFonts w:hint="eastAsia"/>
          <w:color w:val="auto"/>
          <w:lang w:eastAsia="zh-CN"/>
        </w:rPr>
      </w:pPr>
      <w:bookmarkStart w:id="151" w:name="_Toc170377839"/>
      <w:bookmarkStart w:id="152" w:name="_Toc120689317"/>
      <w:bookmarkStart w:id="153" w:name="_Toc1496"/>
      <w:bookmarkStart w:id="154" w:name="_Toc8880"/>
      <w:r>
        <w:rPr>
          <w:color w:val="auto"/>
          <w:lang w:eastAsia="zh-CN"/>
        </w:rPr>
        <w:t>4. 设计</w:t>
      </w:r>
      <w:bookmarkEnd w:id="151"/>
      <w:bookmarkEnd w:id="152"/>
      <w:bookmarkEnd w:id="153"/>
      <w:bookmarkEnd w:id="154"/>
    </w:p>
    <w:p>
      <w:pPr>
        <w:pStyle w:val="4"/>
        <w:rPr>
          <w:rFonts w:hint="eastAsia"/>
        </w:rPr>
      </w:pPr>
      <w:bookmarkStart w:id="155" w:name="_Toc170377840"/>
      <w:bookmarkStart w:id="156" w:name="_Toc120689318"/>
      <w:bookmarkStart w:id="157" w:name="_Toc17696"/>
      <w:bookmarkStart w:id="158" w:name="_Toc4286"/>
      <w:r>
        <w:t>4.1 一般要求</w:t>
      </w:r>
      <w:bookmarkEnd w:id="155"/>
      <w:bookmarkEnd w:id="156"/>
      <w:bookmarkEnd w:id="157"/>
      <w:bookmarkEnd w:id="158"/>
    </w:p>
    <w:p>
      <w:pPr>
        <w:jc w:val="left"/>
        <w:rPr>
          <w:rFonts w:hint="eastAsia"/>
        </w:rPr>
      </w:pPr>
      <w:r>
        <w:rPr>
          <w:rFonts w:hint="eastAsia"/>
        </w:rPr>
        <w:t>承包人应仔细审查技术规范书（包括设计标准和计算，如果有），并负责工程的设计。承包人的设计应使机组有能力在安全、稳定、经济状态下运行，并使其性能达到合同规定的最佳状态。</w:t>
      </w:r>
    </w:p>
    <w:p>
      <w:pPr>
        <w:jc w:val="left"/>
        <w:rPr>
          <w:rFonts w:hint="eastAsia"/>
        </w:rPr>
      </w:pPr>
      <w:r>
        <w:rPr>
          <w:rFonts w:hint="eastAsia"/>
        </w:rPr>
        <w:t>承包人应对技术规范书的正确性负责，但技术规范书中下列数据和资料的正确性应由发包人负责：</w:t>
      </w:r>
    </w:p>
    <w:p>
      <w:pPr>
        <w:jc w:val="left"/>
        <w:rPr>
          <w:rFonts w:hint="eastAsia"/>
        </w:rPr>
      </w:pPr>
      <w:r>
        <w:rPr>
          <w:rFonts w:hint="eastAsia"/>
        </w:rPr>
        <w:t>（</w:t>
      </w:r>
      <w:r>
        <w:t>1）在合同中规定的由发包人负责的数据和资料；</w:t>
      </w:r>
    </w:p>
    <w:p>
      <w:pPr>
        <w:jc w:val="left"/>
        <w:rPr>
          <w:rFonts w:hint="eastAsia"/>
        </w:rPr>
      </w:pPr>
      <w:r>
        <w:rPr>
          <w:rFonts w:hint="eastAsia"/>
        </w:rPr>
        <w:t>（</w:t>
      </w:r>
      <w:r>
        <w:t>2）对工程或其任何部分的预期目的的说明；</w:t>
      </w:r>
    </w:p>
    <w:p>
      <w:pPr>
        <w:jc w:val="left"/>
        <w:rPr>
          <w:rFonts w:hint="eastAsia"/>
        </w:rPr>
      </w:pPr>
      <w:r>
        <w:rPr>
          <w:rFonts w:hint="eastAsia"/>
        </w:rPr>
        <w:t>（</w:t>
      </w:r>
      <w:r>
        <w:t>3）工程启动试运和性能验收的标准。</w:t>
      </w:r>
    </w:p>
    <w:p>
      <w:pPr>
        <w:pStyle w:val="4"/>
        <w:rPr>
          <w:rFonts w:hint="eastAsia"/>
        </w:rPr>
      </w:pPr>
      <w:bookmarkStart w:id="159" w:name="_Toc120689319"/>
      <w:bookmarkStart w:id="160" w:name="_Toc170377841"/>
      <w:bookmarkStart w:id="161" w:name="_Toc11422"/>
      <w:bookmarkStart w:id="162" w:name="_Toc8847"/>
      <w:r>
        <w:t>4.2 设计工作</w:t>
      </w:r>
      <w:bookmarkEnd w:id="159"/>
      <w:bookmarkEnd w:id="160"/>
      <w:bookmarkEnd w:id="161"/>
      <w:bookmarkEnd w:id="162"/>
    </w:p>
    <w:p>
      <w:pPr>
        <w:jc w:val="left"/>
        <w:rPr>
          <w:rFonts w:hint="eastAsia"/>
        </w:rPr>
      </w:pPr>
      <w:r>
        <w:t>4.2.1 初步设计</w:t>
      </w:r>
    </w:p>
    <w:p>
      <w:pPr>
        <w:jc w:val="left"/>
        <w:rPr>
          <w:rFonts w:hint="eastAsia"/>
        </w:rPr>
      </w:pPr>
      <w:r>
        <w:rPr>
          <w:rFonts w:hint="eastAsia"/>
        </w:rPr>
        <w:t>承包人应按照经批准的项目可行性研究报告及本合同规定，完成工程的初步设计及工程概算，提交发包人。发包人负责根据国家及行业的有关规定安排初步设计文件的审查，并承担审查费用。</w:t>
      </w:r>
    </w:p>
    <w:p>
      <w:pPr>
        <w:jc w:val="left"/>
        <w:rPr>
          <w:rFonts w:hint="eastAsia"/>
        </w:rPr>
      </w:pPr>
      <w:r>
        <w:rPr>
          <w:rFonts w:hint="eastAsia"/>
        </w:rPr>
        <w:t>承包人应参加发包人组织的对初步设计文件的审查，并根据审查结论对初步设计文件进行必要的修改、调整和补充。初步设计文件在经发包人确认后方可实施。</w:t>
      </w:r>
    </w:p>
    <w:p>
      <w:pPr>
        <w:jc w:val="left"/>
        <w:rPr>
          <w:rFonts w:hint="eastAsia"/>
        </w:rPr>
      </w:pPr>
      <w:r>
        <w:t>4.2.2 施工图设计</w:t>
      </w:r>
    </w:p>
    <w:p>
      <w:pPr>
        <w:jc w:val="left"/>
        <w:rPr>
          <w:rFonts w:hint="eastAsia"/>
        </w:rPr>
      </w:pPr>
      <w:r>
        <w:rPr>
          <w:rFonts w:hint="eastAsia"/>
        </w:rPr>
        <w:t>承包人应根据经发包人确认的初步设计文件，按照施工进度的要求，进行施工图设计，并及时将施工图提交发包人审查。发包人收到承包人提交的施工图后，应在专用条款规定的时间内组织并完成审查。如发包人合理认为需对施工图进行返工或修改的，承包人应及时进行返工或修改，并重新提交发包人审查。</w:t>
      </w:r>
    </w:p>
    <w:p>
      <w:pPr>
        <w:jc w:val="left"/>
        <w:rPr>
          <w:rFonts w:hint="eastAsia"/>
        </w:rPr>
      </w:pPr>
      <w:r>
        <w:t>4.2.3 竣工资料编制</w:t>
      </w:r>
    </w:p>
    <w:p>
      <w:pPr>
        <w:jc w:val="left"/>
        <w:rPr>
          <w:rFonts w:hint="eastAsia"/>
        </w:rPr>
      </w:pPr>
      <w:r>
        <w:rPr>
          <w:rFonts w:hint="eastAsia"/>
        </w:rPr>
        <w:t>承包人应按照合同专用条款要求的时间编制本工程的竣工资料（包括竣工图）并提交发包人。</w:t>
      </w:r>
    </w:p>
    <w:p>
      <w:pPr>
        <w:jc w:val="left"/>
        <w:rPr>
          <w:rFonts w:hint="eastAsia"/>
        </w:rPr>
      </w:pPr>
      <w:r>
        <w:t>4.2.4 发包人的建议</w:t>
      </w:r>
    </w:p>
    <w:p>
      <w:pPr>
        <w:jc w:val="left"/>
        <w:rPr>
          <w:rFonts w:hint="eastAsia"/>
        </w:rPr>
      </w:pPr>
      <w:r>
        <w:rPr>
          <w:rFonts w:hint="eastAsia"/>
        </w:rPr>
        <w:t>发包人有权在设计文件审查时对承包人的设计提出建议和意见，承包人应合理考虑发包人提出的任何建议或意见。设计文件根据本条所作的任何修改或调整（无论是否根据发包人的建议或意见作出）均不免除承包人在本合同项下的任何责任和义务。为便于发包人对设计文件的审查，承包人在完成本合同所述的任何一项或一部分设计工作后，应在随后的</w:t>
      </w:r>
      <w:r>
        <w:t>10日内将有关设计的依据、图纸及相关的技术资料提交给发包人。</w:t>
      </w:r>
    </w:p>
    <w:p>
      <w:pPr>
        <w:jc w:val="left"/>
        <w:rPr>
          <w:rFonts w:hint="eastAsia"/>
        </w:rPr>
      </w:pPr>
      <w:r>
        <w:t>4.2.5 设计错误</w:t>
      </w:r>
    </w:p>
    <w:p>
      <w:pPr>
        <w:jc w:val="left"/>
        <w:rPr>
          <w:rFonts w:hint="eastAsia"/>
        </w:rPr>
      </w:pPr>
      <w:r>
        <w:rPr>
          <w:rFonts w:hint="eastAsia"/>
        </w:rPr>
        <w:t>如果在承包人文件中发现有错误、遗漏、含糊、不一致、不适当或其他缺陷，尽管发包人根据本条做出了任何同意或批准，承包人仍应自费对这些缺陷和其带来的工程问题进行改正。</w:t>
      </w:r>
    </w:p>
    <w:p>
      <w:pPr>
        <w:pStyle w:val="4"/>
        <w:rPr>
          <w:rFonts w:hint="eastAsia"/>
        </w:rPr>
      </w:pPr>
      <w:bookmarkStart w:id="163" w:name="_Toc120689320"/>
      <w:bookmarkStart w:id="164" w:name="_Toc11408"/>
      <w:bookmarkStart w:id="165" w:name="_Toc170377842"/>
      <w:bookmarkStart w:id="166" w:name="_Toc666"/>
      <w:r>
        <w:t>4.3 设计依据</w:t>
      </w:r>
      <w:bookmarkEnd w:id="163"/>
      <w:bookmarkEnd w:id="164"/>
      <w:bookmarkEnd w:id="165"/>
      <w:bookmarkEnd w:id="166"/>
    </w:p>
    <w:p>
      <w:pPr>
        <w:jc w:val="left"/>
        <w:rPr>
          <w:rFonts w:hint="eastAsia"/>
        </w:rPr>
      </w:pPr>
      <w:r>
        <w:rPr>
          <w:rFonts w:hint="eastAsia"/>
        </w:rPr>
        <w:t>承包人应采用国家和行业规定的技术标准进行设计。如果国家与相关行业对项目某些设备或部件没有规定技术标准，则应采用工程设备供应商提供的标准进行设计，但该标准应能确保机组满足技术规范书中规定的性能指标。合同专用条款另有要求时，应遵守专用条款的要求。</w:t>
      </w:r>
    </w:p>
    <w:p>
      <w:pPr>
        <w:jc w:val="left"/>
        <w:rPr>
          <w:rFonts w:hint="eastAsia"/>
        </w:rPr>
      </w:pPr>
      <w:r>
        <w:rPr>
          <w:rFonts w:hint="eastAsia"/>
        </w:rPr>
        <w:t>除非另有规定，合同中提到的上述标准指合同生效时已公布并生效的版本。在本合同履行过程中，如果上述版本有修改或有新的标准生效，承包人应通知发包人，并可提交遵守新标准的建议书，经发包人同意后可按新的标准执行。如果遵守新标准将导致承包人服务的变更，则应按本合同第</w:t>
      </w:r>
      <w:r>
        <w:t>12款的规定处理。</w:t>
      </w:r>
    </w:p>
    <w:p>
      <w:pPr>
        <w:pStyle w:val="3"/>
        <w:spacing w:before="0" w:beforeLines="0" w:after="0" w:afterLines="0" w:line="360" w:lineRule="auto"/>
        <w:rPr>
          <w:rFonts w:hint="eastAsia"/>
          <w:color w:val="auto"/>
          <w:lang w:eastAsia="zh-CN"/>
        </w:rPr>
      </w:pPr>
      <w:bookmarkStart w:id="167" w:name="_Toc170377843"/>
      <w:bookmarkStart w:id="168" w:name="_Toc22057"/>
      <w:bookmarkStart w:id="169" w:name="_Toc120689321"/>
      <w:bookmarkStart w:id="170" w:name="_Toc26036"/>
      <w:r>
        <w:rPr>
          <w:color w:val="auto"/>
          <w:lang w:eastAsia="zh-CN"/>
        </w:rPr>
        <w:t>5. 设备和材料</w:t>
      </w:r>
      <w:bookmarkEnd w:id="167"/>
      <w:bookmarkEnd w:id="168"/>
      <w:bookmarkEnd w:id="169"/>
      <w:bookmarkEnd w:id="170"/>
    </w:p>
    <w:p>
      <w:pPr>
        <w:pStyle w:val="4"/>
        <w:rPr>
          <w:rFonts w:hint="eastAsia"/>
        </w:rPr>
      </w:pPr>
      <w:bookmarkStart w:id="171" w:name="_Toc170377844"/>
      <w:bookmarkStart w:id="172" w:name="_Toc14085"/>
      <w:bookmarkStart w:id="173" w:name="_Toc120689322"/>
      <w:bookmarkStart w:id="174" w:name="_Toc10156"/>
      <w:r>
        <w:t>5.1 采购与管理</w:t>
      </w:r>
      <w:bookmarkEnd w:id="171"/>
      <w:bookmarkEnd w:id="172"/>
      <w:bookmarkEnd w:id="173"/>
      <w:bookmarkEnd w:id="174"/>
    </w:p>
    <w:p>
      <w:pPr>
        <w:jc w:val="left"/>
        <w:rPr>
          <w:rFonts w:hint="eastAsia"/>
        </w:rPr>
      </w:pPr>
      <w:r>
        <w:t>5.1.1 承包人应根据本合同和适用法律的规定负责采购构成工程的所有设备和材料，并负责办理进口设备和材料（如有）所需的相关手续，合同专用条款另有规定时除外。承包人应保证其所采购的设备和材料满足工程性能指标和安全可靠运行的需要。</w:t>
      </w:r>
    </w:p>
    <w:p>
      <w:pPr>
        <w:jc w:val="left"/>
        <w:rPr>
          <w:rFonts w:hint="eastAsia"/>
        </w:rPr>
      </w:pPr>
      <w:r>
        <w:rPr>
          <w:rFonts w:hint="eastAsia"/>
        </w:rPr>
        <w:t>承包人应对其所采购的设备和材料的质量负责。承包人采购的设备或材料与设计标准或本合同的相关规定不符时，承包人应及时修复、拆除或重新采购并承担由此发生的费用，因此延误的工期不予顺延。</w:t>
      </w:r>
    </w:p>
    <w:p>
      <w:pPr>
        <w:jc w:val="left"/>
        <w:rPr>
          <w:rFonts w:hint="eastAsia"/>
        </w:rPr>
      </w:pPr>
      <w:r>
        <w:t>5.1.2 除合同另有规定外，承包人应负责工程所需的所有设备和材料的包装、装货、运输、接收、卸货、存储和保护，并保障发包人免受困货物运输所引起的任何损失或损害。承包人应在设备或材料到达工程场地前2天通知发包人。承包人采购的设备和材料的到货期及到货顺序应满足设备安装进度和顺序的要求。</w:t>
      </w:r>
    </w:p>
    <w:p>
      <w:pPr>
        <w:jc w:val="left"/>
        <w:rPr>
          <w:rFonts w:hint="eastAsia"/>
        </w:rPr>
      </w:pPr>
      <w:r>
        <w:t>5.1.3 承包人应要求为工程提供设备的所有供应商在其所供设备上贴上永久的耐磨性铭牌，以载明制造商的名称、设备型号、编号及其他所有适当的设计数据。</w:t>
      </w:r>
    </w:p>
    <w:p>
      <w:pPr>
        <w:jc w:val="left"/>
        <w:rPr>
          <w:rFonts w:hint="eastAsia"/>
        </w:rPr>
      </w:pPr>
      <w:r>
        <w:t>5.1.4 承包人应按照供应商的建议将长期和临时施工所要求的所有设备和材料存入仓库中或以其它方式提供安全、稳妥的存储。所有储存在工程场地外的设备和材料应：</w:t>
      </w:r>
    </w:p>
    <w:p>
      <w:pPr>
        <w:jc w:val="left"/>
        <w:rPr>
          <w:rFonts w:hint="eastAsia"/>
        </w:rPr>
      </w:pPr>
      <w:r>
        <w:rPr>
          <w:rFonts w:hint="eastAsia"/>
        </w:rPr>
        <w:t>（</w:t>
      </w:r>
      <w:r>
        <w:t>1）安全可靠地存放在仓库或发包人事先同意的其它合适场所；及</w:t>
      </w:r>
    </w:p>
    <w:p>
      <w:pPr>
        <w:jc w:val="left"/>
        <w:rPr>
          <w:rFonts w:hint="eastAsia"/>
        </w:rPr>
      </w:pPr>
      <w:r>
        <w:rPr>
          <w:rFonts w:hint="eastAsia"/>
        </w:rPr>
        <w:t>（</w:t>
      </w:r>
      <w:r>
        <w:t>2）贴上适当标签，标明为工程所用以与其它物品分开。</w:t>
      </w:r>
    </w:p>
    <w:p>
      <w:pPr>
        <w:jc w:val="left"/>
        <w:rPr>
          <w:rFonts w:hint="eastAsia"/>
        </w:rPr>
      </w:pPr>
      <w:r>
        <w:t>5.1.5 承包人应妥善保管、维护或保养其根据合同采购的所有备品备件和专用工具并在工程移交时一并移交发包人。如果在移交前消耗了此类备品备件或专用工具，承包人应在移交时自费予以补足。</w:t>
      </w:r>
    </w:p>
    <w:p>
      <w:pPr>
        <w:pStyle w:val="4"/>
        <w:rPr>
          <w:rFonts w:hint="eastAsia"/>
        </w:rPr>
      </w:pPr>
      <w:bookmarkStart w:id="175" w:name="_Toc11691"/>
      <w:bookmarkStart w:id="176" w:name="_Toc120689323"/>
      <w:bookmarkStart w:id="177" w:name="_Toc170377845"/>
      <w:bookmarkStart w:id="178" w:name="_Toc288"/>
      <w:r>
        <w:t>5.2 监造和工厂检验</w:t>
      </w:r>
      <w:bookmarkEnd w:id="175"/>
      <w:bookmarkEnd w:id="176"/>
      <w:bookmarkEnd w:id="177"/>
      <w:bookmarkEnd w:id="178"/>
    </w:p>
    <w:p>
      <w:pPr>
        <w:jc w:val="left"/>
        <w:rPr>
          <w:rFonts w:hint="eastAsia"/>
        </w:rPr>
      </w:pPr>
      <w:r>
        <w:t>5.2.1 承包人应负责对其采购的主要设备和材料（按规定）进行监造，并向发包人提供与设备材料监造有关的标准（包括工厂标准）、图纸、资料、工艺及实际工艺过程和检验记录（包括中间检验记录和／或不一致性报告）及其它有关文件和复印件。</w:t>
      </w:r>
    </w:p>
    <w:p>
      <w:pPr>
        <w:jc w:val="left"/>
        <w:rPr>
          <w:rFonts w:hint="eastAsia"/>
        </w:rPr>
      </w:pPr>
      <w:r>
        <w:t>5.2.2 承包人采购的所有设备和材料，在生产过程中都须进行严格的检验和试验，所有检验、试验必须有正式的记录文件。经检验或试验合格的设备和材料方可出厂发运。</w:t>
      </w:r>
    </w:p>
    <w:p>
      <w:pPr>
        <w:jc w:val="left"/>
        <w:rPr>
          <w:rFonts w:hint="eastAsia"/>
        </w:rPr>
      </w:pPr>
      <w:r>
        <w:rPr>
          <w:rFonts w:hint="eastAsia"/>
        </w:rPr>
        <w:t>承包人采购的所有设备和材料均应附有制造厂或生产厂出具的并经承包人签署的产品质量合格证和检验记录、试验报告，作为设备或材料到货时的质量证明文件。</w:t>
      </w:r>
    </w:p>
    <w:p>
      <w:pPr>
        <w:jc w:val="left"/>
        <w:rPr>
          <w:rFonts w:hint="eastAsia"/>
        </w:rPr>
      </w:pPr>
      <w:r>
        <w:t>5.2.3 发包人有权参与承包人组织的设备或材料的工厂检验及试验。发包人参与工厂检验及试验不免除承包人对设备或材料质量所应承担的责任。</w:t>
      </w:r>
    </w:p>
    <w:p>
      <w:pPr>
        <w:pStyle w:val="4"/>
        <w:rPr>
          <w:rFonts w:hint="eastAsia"/>
        </w:rPr>
      </w:pPr>
      <w:bookmarkStart w:id="179" w:name="_Toc120689324"/>
      <w:bookmarkStart w:id="180" w:name="_Toc170377846"/>
      <w:bookmarkStart w:id="181" w:name="_Toc10102"/>
      <w:bookmarkStart w:id="182" w:name="_Toc13086"/>
      <w:r>
        <w:t>5.3 开箱检验</w:t>
      </w:r>
      <w:bookmarkEnd w:id="179"/>
      <w:bookmarkEnd w:id="180"/>
      <w:bookmarkEnd w:id="181"/>
      <w:bookmarkEnd w:id="182"/>
    </w:p>
    <w:p>
      <w:pPr>
        <w:jc w:val="left"/>
        <w:rPr>
          <w:rFonts w:hint="eastAsia"/>
        </w:rPr>
      </w:pPr>
      <w:r>
        <w:rPr>
          <w:rFonts w:hint="eastAsia"/>
        </w:rPr>
        <w:t>承包人在其采购的设备或材料到达现场后，应尽快开箱检验，根据运单和装箱单对设备的包装、外观及件数进行清点，检验设备的数量、规格和质量，并按专用条款约定向发包人提供检验结果和记录等有关文件。承包人应提前</w:t>
      </w:r>
      <w:r>
        <w:t>2个工作日通知发包人共同参与开箱检验，发包人不能按照承包人通知的日期参与检验的，有权要求延期进行开箱检验。</w:t>
      </w:r>
    </w:p>
    <w:p>
      <w:pPr>
        <w:jc w:val="left"/>
        <w:rPr>
          <w:rFonts w:hint="eastAsia"/>
        </w:rPr>
      </w:pPr>
      <w:r>
        <w:rPr>
          <w:rFonts w:hint="eastAsia"/>
        </w:rPr>
        <w:t>如果承包人未通知发包人和监理工程师到场参加设备开箱检验，发包人将视为无法确定实际到场设备的种类和数量，而暂不支付该批货物的合同价款。</w:t>
      </w:r>
    </w:p>
    <w:p>
      <w:pPr>
        <w:pStyle w:val="4"/>
        <w:rPr>
          <w:rFonts w:hint="eastAsia"/>
        </w:rPr>
      </w:pPr>
      <w:bookmarkStart w:id="183" w:name="_Toc170377847"/>
      <w:bookmarkStart w:id="184" w:name="_Toc25742"/>
      <w:bookmarkStart w:id="185" w:name="_Toc120689325"/>
      <w:bookmarkStart w:id="186" w:name="_Toc19650"/>
      <w:r>
        <w:t>5.4 现场试验</w:t>
      </w:r>
      <w:bookmarkEnd w:id="183"/>
      <w:bookmarkEnd w:id="184"/>
      <w:bookmarkEnd w:id="185"/>
      <w:bookmarkEnd w:id="186"/>
    </w:p>
    <w:p>
      <w:pPr>
        <w:jc w:val="left"/>
        <w:rPr>
          <w:rFonts w:hint="eastAsia"/>
        </w:rPr>
      </w:pPr>
      <w:r>
        <w:rPr>
          <w:rFonts w:hint="eastAsia"/>
        </w:rPr>
        <w:t>承包人应根据技术规范书的规定对设备或材科进行现场试验。在进行现场试验前</w:t>
      </w:r>
      <w:r>
        <w:t>5天，承包人应将试验项目、时间和地点书面通知发包人并提交试验计划。发包人不能按照承包人通知的时间参加试验的，可要求延期进行试验。</w:t>
      </w:r>
    </w:p>
    <w:p>
      <w:pPr>
        <w:jc w:val="left"/>
        <w:rPr>
          <w:rFonts w:hint="eastAsia"/>
        </w:rPr>
      </w:pPr>
      <w:r>
        <w:rPr>
          <w:rFonts w:hint="eastAsia"/>
        </w:rPr>
        <w:t>现场试验完成后，承包人应及时向发包人提交经充分证实的试验报告，供发包人确认。</w:t>
      </w:r>
    </w:p>
    <w:p>
      <w:pPr>
        <w:jc w:val="left"/>
        <w:rPr>
          <w:rFonts w:hint="eastAsia"/>
        </w:rPr>
      </w:pPr>
      <w:r>
        <w:rPr>
          <w:rFonts w:hint="eastAsia"/>
        </w:rPr>
        <w:t>如果试验结果表明任何设备或材料有缺陷，或不符合合同要求，发包人可向承包人发出通知，要求承包人拒收该设备或材料或对其缺陷进行修复。</w:t>
      </w:r>
    </w:p>
    <w:p>
      <w:pPr>
        <w:jc w:val="left"/>
        <w:rPr>
          <w:rFonts w:hint="eastAsia"/>
        </w:rPr>
      </w:pPr>
      <w:r>
        <w:rPr>
          <w:rFonts w:hint="eastAsia"/>
        </w:rPr>
        <w:t>承包人在收到发包人的上述通知后应重新采购设备或材料或对设备或材料的缺陷进行修复，并对重新采购或经修复的设备和材料进行现场试验。该试验应按与前一次试验相同的条款和条件进行。因重复试验导致发包人发生的额外费用由承包人承担。</w:t>
      </w:r>
    </w:p>
    <w:p>
      <w:pPr>
        <w:pStyle w:val="4"/>
        <w:rPr>
          <w:rFonts w:hint="eastAsia"/>
        </w:rPr>
      </w:pPr>
      <w:bookmarkStart w:id="187" w:name="_Toc170377848"/>
      <w:bookmarkStart w:id="188" w:name="_Toc8909"/>
      <w:bookmarkStart w:id="189" w:name="_Toc120689326"/>
      <w:bookmarkStart w:id="190" w:name="_Toc28905"/>
      <w:r>
        <w:t>5.5 所有权</w:t>
      </w:r>
      <w:bookmarkEnd w:id="187"/>
      <w:bookmarkEnd w:id="188"/>
      <w:bookmarkEnd w:id="189"/>
      <w:bookmarkEnd w:id="190"/>
    </w:p>
    <w:p>
      <w:pPr>
        <w:jc w:val="left"/>
        <w:rPr>
          <w:rFonts w:hint="eastAsia"/>
        </w:rPr>
      </w:pPr>
      <w:r>
        <w:t>5.5.1 所有用于本合同项下服务并将构成工程一部分的设备和材料的所有权应在下列最早发生的时间转归发包人所有，并且该类所有权不应附带除承包人和发包人之外的留置权、索赔、债权或任何其他担保物权或类似的权利要求：</w:t>
      </w:r>
    </w:p>
    <w:p>
      <w:pPr>
        <w:jc w:val="left"/>
        <w:rPr>
          <w:rFonts w:hint="eastAsia"/>
        </w:rPr>
      </w:pPr>
      <w:r>
        <w:rPr>
          <w:rFonts w:hint="eastAsia"/>
        </w:rPr>
        <w:t>（</w:t>
      </w:r>
      <w:r>
        <w:t>1）该部分设备或材料运至工程场地时；</w:t>
      </w:r>
    </w:p>
    <w:p>
      <w:pPr>
        <w:jc w:val="left"/>
        <w:rPr>
          <w:rFonts w:hint="eastAsia"/>
        </w:rPr>
      </w:pPr>
      <w:r>
        <w:rPr>
          <w:rFonts w:hint="eastAsia"/>
        </w:rPr>
        <w:t>（</w:t>
      </w:r>
      <w:r>
        <w:t>2）当根据本条件第10.9款的规定，承包人有权得到相应的中止付款时。</w:t>
      </w:r>
    </w:p>
    <w:p>
      <w:pPr>
        <w:jc w:val="left"/>
        <w:rPr>
          <w:rFonts w:hint="eastAsia"/>
        </w:rPr>
      </w:pPr>
      <w:r>
        <w:rPr>
          <w:rFonts w:hint="eastAsia"/>
        </w:rPr>
        <w:t>剩余的未构成工程的设备和材料，如发包人要求，承包人应优先有偿提供给发包人。</w:t>
      </w:r>
    </w:p>
    <w:p>
      <w:pPr>
        <w:jc w:val="left"/>
        <w:rPr>
          <w:rFonts w:hint="eastAsia"/>
        </w:rPr>
      </w:pPr>
      <w:r>
        <w:t>5.5.2 尽管有前述规定，承包人在工程或其任何部分按本合同规定移交发包人之前，仍应承担该类设备或材料遭受损失、损毁或损坏的风险。</w:t>
      </w:r>
    </w:p>
    <w:p>
      <w:pPr>
        <w:jc w:val="left"/>
        <w:rPr>
          <w:rFonts w:hint="eastAsia"/>
        </w:rPr>
      </w:pPr>
      <w:r>
        <w:t>5.5.3 承包人在进行本合同项下服务过程中所产生或发现的任何水、土壤、沙石、岩石、矿物、地下埋藏物均不属于承包人所有，除依法可以处置的以外，承包人对前述物品均不拥有任何权利或利益。</w:t>
      </w:r>
    </w:p>
    <w:p>
      <w:pPr>
        <w:pStyle w:val="3"/>
        <w:spacing w:before="0" w:beforeLines="0" w:after="0" w:afterLines="0" w:line="360" w:lineRule="auto"/>
        <w:rPr>
          <w:rFonts w:hint="eastAsia"/>
          <w:color w:val="auto"/>
          <w:lang w:eastAsia="zh-CN"/>
        </w:rPr>
      </w:pPr>
      <w:bookmarkStart w:id="191" w:name="_Toc120689327"/>
      <w:bookmarkStart w:id="192" w:name="_Toc26795"/>
      <w:bookmarkStart w:id="193" w:name="_Toc170377849"/>
      <w:bookmarkStart w:id="194" w:name="_Toc29037"/>
      <w:r>
        <w:rPr>
          <w:color w:val="auto"/>
          <w:lang w:eastAsia="zh-CN"/>
        </w:rPr>
        <w:t>6. 施工</w:t>
      </w:r>
      <w:bookmarkEnd w:id="191"/>
      <w:bookmarkEnd w:id="192"/>
      <w:bookmarkEnd w:id="193"/>
      <w:bookmarkEnd w:id="194"/>
    </w:p>
    <w:p>
      <w:pPr>
        <w:pStyle w:val="4"/>
        <w:rPr>
          <w:rFonts w:hint="eastAsia"/>
        </w:rPr>
      </w:pPr>
      <w:bookmarkStart w:id="195" w:name="_Toc12716"/>
      <w:bookmarkStart w:id="196" w:name="_Toc170377850"/>
      <w:bookmarkStart w:id="197" w:name="_Toc120689328"/>
      <w:bookmarkStart w:id="198" w:name="_Toc10344"/>
      <w:r>
        <w:t>6.1 一般规定</w:t>
      </w:r>
      <w:bookmarkEnd w:id="195"/>
      <w:bookmarkEnd w:id="196"/>
      <w:bookmarkEnd w:id="197"/>
      <w:bookmarkEnd w:id="198"/>
    </w:p>
    <w:p>
      <w:pPr>
        <w:jc w:val="left"/>
        <w:rPr>
          <w:rFonts w:hint="eastAsia"/>
        </w:rPr>
      </w:pPr>
      <w:r>
        <w:rPr>
          <w:rFonts w:hint="eastAsia"/>
        </w:rPr>
        <w:t>承包人应严格按照有关法律法规及本合同技术规范书的规定进行工程的土建施工和设备安装，保证工程达到合同所要求的各项性能指标。</w:t>
      </w:r>
    </w:p>
    <w:p>
      <w:pPr>
        <w:jc w:val="left"/>
        <w:rPr>
          <w:rFonts w:hint="eastAsia"/>
        </w:rPr>
      </w:pPr>
      <w:r>
        <w:rPr>
          <w:rFonts w:hint="eastAsia"/>
        </w:rPr>
        <w:t>承包人应负责施工过程中的全面质量管理，保证项目建设按照设备制造商提供的技术规范、标准、安装的技术规范、标准、验收规程以及火电机组移交生产达标的要求进行，使之满足设计要求，并形成综合生产能力。</w:t>
      </w:r>
    </w:p>
    <w:p>
      <w:pPr>
        <w:pStyle w:val="4"/>
        <w:rPr>
          <w:rFonts w:hint="eastAsia"/>
        </w:rPr>
      </w:pPr>
      <w:bookmarkStart w:id="199" w:name="_Toc170377851"/>
      <w:bookmarkStart w:id="200" w:name="_Toc29066"/>
      <w:bookmarkStart w:id="201" w:name="_Toc120689329"/>
      <w:bookmarkStart w:id="202" w:name="_Toc7064"/>
      <w:r>
        <w:t>6.2 施工组织设计和工程进度计划</w:t>
      </w:r>
      <w:bookmarkEnd w:id="199"/>
      <w:bookmarkEnd w:id="200"/>
      <w:bookmarkEnd w:id="201"/>
      <w:bookmarkEnd w:id="202"/>
    </w:p>
    <w:p>
      <w:pPr>
        <w:jc w:val="left"/>
        <w:rPr>
          <w:rFonts w:hint="eastAsia"/>
        </w:rPr>
      </w:pPr>
      <w:r>
        <w:rPr>
          <w:rFonts w:hint="eastAsia"/>
        </w:rPr>
        <w:t>承包人应在工程初步设计审查通过后</w:t>
      </w:r>
      <w:r>
        <w:t>15天内按照初步设计及本合同的要求修改完成本工程投标阶段的施工组织设计和工程进度计划并提交发包人审查。发包人应在收到承包人提交的施工组织设计和工程进度计划后14天内对之予以确认或提出修改意见。施工组织设计和工程进度计划在经发包人批准后方可实施。</w:t>
      </w:r>
    </w:p>
    <w:p>
      <w:pPr>
        <w:pStyle w:val="4"/>
        <w:rPr>
          <w:rFonts w:hint="eastAsia"/>
        </w:rPr>
      </w:pPr>
      <w:bookmarkStart w:id="203" w:name="_Toc24898"/>
      <w:bookmarkStart w:id="204" w:name="_Toc120689330"/>
      <w:bookmarkStart w:id="205" w:name="_Toc170377852"/>
      <w:bookmarkStart w:id="206" w:name="_Toc29842"/>
      <w:r>
        <w:t>6.3 施工分包商</w:t>
      </w:r>
      <w:bookmarkEnd w:id="203"/>
      <w:bookmarkEnd w:id="204"/>
      <w:bookmarkEnd w:id="205"/>
      <w:bookmarkEnd w:id="206"/>
    </w:p>
    <w:p>
      <w:pPr>
        <w:jc w:val="left"/>
        <w:rPr>
          <w:rFonts w:hint="eastAsia"/>
        </w:rPr>
      </w:pPr>
      <w:r>
        <w:rPr>
          <w:rFonts w:hint="eastAsia"/>
        </w:rPr>
        <w:t>承包人可根据合同规定选择适当的施工单位（简称“施工分包商”）负责工程的施工工作。承包人应在为选择施工分包商而编制的招标文件发出前</w:t>
      </w:r>
      <w:r>
        <w:t>14天将招标文件送交发包人审查，未经发包人同意承包人不得对外发售标书。发包人对招标文件的审查不免除承包人的任何责任。</w:t>
      </w:r>
    </w:p>
    <w:p>
      <w:pPr>
        <w:jc w:val="left"/>
        <w:rPr>
          <w:rFonts w:hint="eastAsia"/>
        </w:rPr>
      </w:pPr>
      <w:r>
        <w:rPr>
          <w:rFonts w:hint="eastAsia"/>
        </w:rPr>
        <w:t>承包人应对所有施工分包商的施工方式、方法、技术、质量、顺序和程序进行监督管理，并负责协调各分包商之间的工作，包括施工进度、施工设备的管理、设备及材料的堆放及管理、施工安全措施、工程场地的保卫和治安及承包人（或其分包商）人员与工程场地周围其他人员之间的关系。承包人应对施工分包商实施工程的质量承担全部责任。</w:t>
      </w:r>
    </w:p>
    <w:p>
      <w:pPr>
        <w:pStyle w:val="4"/>
        <w:rPr>
          <w:rFonts w:hint="eastAsia"/>
        </w:rPr>
      </w:pPr>
      <w:bookmarkStart w:id="207" w:name="_Toc17492"/>
      <w:bookmarkStart w:id="208" w:name="_Toc120689331"/>
      <w:bookmarkStart w:id="209" w:name="_Toc170377853"/>
      <w:bookmarkStart w:id="210" w:name="_Toc8503"/>
      <w:r>
        <w:t>6.4 检查与检验</w:t>
      </w:r>
      <w:bookmarkEnd w:id="207"/>
      <w:bookmarkEnd w:id="208"/>
      <w:bookmarkEnd w:id="209"/>
      <w:bookmarkEnd w:id="210"/>
    </w:p>
    <w:p>
      <w:pPr>
        <w:jc w:val="left"/>
        <w:rPr>
          <w:rFonts w:hint="eastAsia"/>
        </w:rPr>
      </w:pPr>
      <w:r>
        <w:rPr>
          <w:rFonts w:hint="eastAsia"/>
        </w:rPr>
        <w:t>承包人应进行为履行服务和保证服务质量所需的所有检查、检验和质量监督工作。承包人在本款项下的责任包括但不限于对组成或将组成工程一部分并用于履行本合同项下服务的所有位于工程场地内外的材料和设备进行检验。为确保工程场地以外进行的所有施工或制造工作符合本合同和设计文件的要求，保护发包人在今后的运行中不受此类工作中出现的缺陷的影响，承包人应根据工程场地外制造或装配的情况每隔一段时间对一切进行中的工作进行检查。在该等检查的基础上，承包人应将全部工作的进展情况和质量情况随时以书面形式告知发包人。</w:t>
      </w:r>
    </w:p>
    <w:p>
      <w:pPr>
        <w:jc w:val="left"/>
        <w:rPr>
          <w:rFonts w:hint="eastAsia"/>
        </w:rPr>
      </w:pPr>
      <w:r>
        <w:rPr>
          <w:rFonts w:hint="eastAsia"/>
        </w:rPr>
        <w:t>发包人应有权参加在工程场地内外进行的一切检查工作，如果检查结果表明此类工作的进度与本合同和／或设计文件不相符合，发包人应有权向承包人提出补救建议。如果该等工作的质量与本合同或设计文件不相符合，承包人应在发包人要求后予以修改或补救。发包人有权重复对承包人修改或补救过的工作进行测试或检验，费用由承包人承担。</w:t>
      </w:r>
    </w:p>
    <w:p>
      <w:pPr>
        <w:pStyle w:val="4"/>
        <w:rPr>
          <w:rFonts w:hint="eastAsia"/>
        </w:rPr>
      </w:pPr>
      <w:bookmarkStart w:id="211" w:name="_Toc120689332"/>
      <w:bookmarkStart w:id="212" w:name="_Toc994"/>
      <w:bookmarkStart w:id="213" w:name="_Toc170377854"/>
      <w:bookmarkStart w:id="214" w:name="_Toc18178"/>
      <w:r>
        <w:t>6.5 隐蔽工程</w:t>
      </w:r>
      <w:bookmarkEnd w:id="211"/>
      <w:bookmarkEnd w:id="212"/>
      <w:bookmarkEnd w:id="213"/>
      <w:bookmarkEnd w:id="214"/>
    </w:p>
    <w:p>
      <w:pPr>
        <w:jc w:val="left"/>
        <w:rPr>
          <w:rFonts w:hint="eastAsia"/>
        </w:rPr>
      </w:pPr>
      <w:r>
        <w:rPr>
          <w:rFonts w:hint="eastAsia"/>
        </w:rPr>
        <w:t>承包人应给予发包人充分的机会和足够的协助，以对工程场地上的任何工作或所提供的有待掩盖或隐蔽的工程部分进行检查、测量和测试。在承包人的此类工作预计完成前</w:t>
      </w:r>
      <w:r>
        <w:t>48小时，承包人应通知发包人，以便发包人或其指定人届时予以检查、测量或测试。如果发包人已收到上述正式通知但在该工作计划开始时未到场进行检查、测量或测试的，承包人在取得发包人同意后可以继续进行该工作，发包人对该工作的结果应予以认可。</w:t>
      </w:r>
    </w:p>
    <w:p>
      <w:pPr>
        <w:jc w:val="left"/>
        <w:rPr>
          <w:rFonts w:hint="eastAsia"/>
        </w:rPr>
      </w:pPr>
      <w:r>
        <w:rPr>
          <w:rFonts w:hint="eastAsia"/>
        </w:rPr>
        <w:t>对于承包人按前款规定在未经发包人检查、测量或测试而予以掩盖或隐蔽的工程部分，发包人仍有权要求承包人对该工程部分予以揭露以进行检查、测量或测试。如果发包人或其指定人发出揭露任何隐蔽工程的指示，承包人应予以执行。检查完毕后，承包人应对该部分进行修补，使其恢复原貌。如果发现工程的该等部分符合本合同规定，承包人因遵循发包人的指示而发生的所有费用应由发包人承担，直接由此延误的工期可等期顺延。如果发现该部分工程不符合本合同的规定，则发包人或其指定人要求承包人对该工程部分予以揭露而产生的所有费用由承包人承担，延误的工期不予顺延。</w:t>
      </w:r>
    </w:p>
    <w:p>
      <w:pPr>
        <w:pStyle w:val="4"/>
        <w:rPr>
          <w:rFonts w:hint="eastAsia"/>
        </w:rPr>
      </w:pPr>
      <w:bookmarkStart w:id="215" w:name="_Toc120689333"/>
      <w:bookmarkStart w:id="216" w:name="_Toc19610"/>
      <w:bookmarkStart w:id="217" w:name="_Toc170377855"/>
      <w:bookmarkStart w:id="218" w:name="_Toc6944"/>
      <w:r>
        <w:t>6.6 质量事故</w:t>
      </w:r>
      <w:bookmarkEnd w:id="215"/>
      <w:bookmarkEnd w:id="216"/>
      <w:bookmarkEnd w:id="217"/>
      <w:bookmarkEnd w:id="218"/>
    </w:p>
    <w:p>
      <w:pPr>
        <w:jc w:val="left"/>
        <w:rPr>
          <w:rFonts w:hint="eastAsia"/>
        </w:rPr>
      </w:pPr>
      <w:r>
        <w:rPr>
          <w:rFonts w:hint="eastAsia"/>
        </w:rPr>
        <w:t>承包人应负责根据合同中有关质量事故处理的相关规定，及时处理工程施工安装过程中出现的质量事故。对质量事故的处理应确保不使最终工程质量受到影响，造成隐患，否则发包人有权要求承包人返工。</w:t>
      </w:r>
    </w:p>
    <w:p>
      <w:pPr>
        <w:pStyle w:val="4"/>
        <w:rPr>
          <w:rFonts w:hint="eastAsia"/>
        </w:rPr>
      </w:pPr>
      <w:bookmarkStart w:id="219" w:name="_Toc170377856"/>
      <w:bookmarkStart w:id="220" w:name="_Toc120689334"/>
      <w:bookmarkStart w:id="221" w:name="_Toc22333"/>
      <w:bookmarkStart w:id="222" w:name="_Toc13364"/>
      <w:r>
        <w:t>6.7 施工用电、水和汽</w:t>
      </w:r>
      <w:bookmarkEnd w:id="219"/>
      <w:bookmarkEnd w:id="220"/>
      <w:bookmarkEnd w:id="221"/>
      <w:bookmarkEnd w:id="222"/>
    </w:p>
    <w:p>
      <w:pPr>
        <w:jc w:val="left"/>
        <w:rPr>
          <w:rFonts w:hint="eastAsia"/>
        </w:rPr>
      </w:pPr>
      <w:r>
        <w:rPr>
          <w:rFonts w:hint="eastAsia"/>
        </w:rPr>
        <w:t>施工用电、用汽由发包人提供接入点，费用由承包人承担。具体约定见专用条款。施工用水和生活用水由承包人自行解决。</w:t>
      </w:r>
    </w:p>
    <w:p>
      <w:pPr>
        <w:pStyle w:val="4"/>
        <w:rPr>
          <w:rFonts w:hint="eastAsia"/>
        </w:rPr>
      </w:pPr>
      <w:bookmarkStart w:id="223" w:name="_Toc22566"/>
      <w:bookmarkStart w:id="224" w:name="_Toc170377857"/>
      <w:bookmarkStart w:id="225" w:name="_Toc120689335"/>
      <w:bookmarkStart w:id="226" w:name="_Toc14047"/>
      <w:r>
        <w:t>6.8 环境保护与职业健康</w:t>
      </w:r>
      <w:bookmarkEnd w:id="223"/>
      <w:bookmarkEnd w:id="224"/>
      <w:bookmarkEnd w:id="225"/>
      <w:bookmarkEnd w:id="226"/>
    </w:p>
    <w:p>
      <w:pPr>
        <w:jc w:val="left"/>
        <w:rPr>
          <w:rFonts w:hint="eastAsia"/>
        </w:rPr>
      </w:pPr>
      <w:r>
        <w:rPr>
          <w:rFonts w:hint="eastAsia"/>
        </w:rPr>
        <w:t>承包人应按合同约定，并遵照建筑法、环境保护法、职业健康法规及有关技术规程、标准规范等进行工程的环境保护设计、职业健康保护设计，保证工程符合环境保护和职业健康的法律规定。</w:t>
      </w:r>
    </w:p>
    <w:p>
      <w:pPr>
        <w:jc w:val="left"/>
        <w:rPr>
          <w:rFonts w:hint="eastAsia"/>
        </w:rPr>
      </w:pPr>
      <w:r>
        <w:rPr>
          <w:rFonts w:hint="eastAsia"/>
        </w:rPr>
        <w:t>承包人应采取一切适当措施，保护工程场地内外的环境，限制由其施工作业引起的污染、噪音和其他后果对公众和财产造成的损害和妨害。承包人应承担因施工造成噪声、大气、水等方面的污染而引起的一切责任，确保发包人免受因此而产生的任何损失或损害。</w:t>
      </w:r>
    </w:p>
    <w:p>
      <w:pPr>
        <w:jc w:val="left"/>
        <w:rPr>
          <w:rFonts w:hint="eastAsia"/>
        </w:rPr>
      </w:pPr>
      <w:r>
        <w:rPr>
          <w:rFonts w:hint="eastAsia"/>
        </w:rPr>
        <w:t>承包人应负责现场实施过程的环境保护，采取措施，控制和处理现场的粉尘、废气、废水、固体废物和噪声对环境的污染和危害。承包人应确保因其履行合同而产生的气体排放、地面排水及排污等，不超过技术规范书和适用法律中规定的相关指标。</w:t>
      </w:r>
    </w:p>
    <w:p>
      <w:pPr>
        <w:jc w:val="left"/>
        <w:rPr>
          <w:rFonts w:hint="eastAsia"/>
        </w:rPr>
      </w:pPr>
      <w:r>
        <w:rPr>
          <w:rFonts w:hint="eastAsia"/>
        </w:rPr>
        <w:t>承包人应负责现场实施过程中职业健康的保护，向施工人员提供相应的保护用品并采取其他适当的保护措施。</w:t>
      </w:r>
    </w:p>
    <w:p>
      <w:pPr>
        <w:jc w:val="left"/>
        <w:rPr>
          <w:rFonts w:hint="eastAsia"/>
        </w:rPr>
      </w:pPr>
      <w:r>
        <w:rPr>
          <w:rFonts w:hint="eastAsia"/>
        </w:rPr>
        <w:t>承包人应对分包商施工现场的职业健康和环境保护进行管理、监督和控制。</w:t>
      </w:r>
    </w:p>
    <w:p>
      <w:pPr>
        <w:pStyle w:val="4"/>
        <w:rPr>
          <w:rFonts w:hint="eastAsia"/>
        </w:rPr>
      </w:pPr>
      <w:bookmarkStart w:id="227" w:name="_Toc17765"/>
      <w:bookmarkStart w:id="228" w:name="_Toc170377858"/>
      <w:bookmarkStart w:id="229" w:name="_Toc120689336"/>
      <w:bookmarkStart w:id="230" w:name="_Toc23193"/>
      <w:r>
        <w:t>6.9 工资支付保证金</w:t>
      </w:r>
      <w:bookmarkEnd w:id="227"/>
      <w:bookmarkEnd w:id="228"/>
      <w:bookmarkEnd w:id="229"/>
      <w:bookmarkEnd w:id="230"/>
    </w:p>
    <w:p>
      <w:pPr>
        <w:jc w:val="left"/>
        <w:rPr>
          <w:rFonts w:hint="eastAsia"/>
        </w:rPr>
      </w:pPr>
      <w:r>
        <w:rPr>
          <w:rFonts w:hint="eastAsia"/>
        </w:rPr>
        <w:t>发包人将从应向承包人支付的合同价款中扣除</w:t>
      </w:r>
      <w:r>
        <w:rPr>
          <w:rFonts w:hint="eastAsia"/>
          <w:color w:val="FF0000"/>
          <w:u w:val="single"/>
        </w:rPr>
        <w:t xml:space="preserve">2  </w:t>
      </w:r>
      <w:r>
        <w:t>%作为工资保证金，因承包人欠付承包人人员工资导致纠纷时，发包人有权代承包人向承包人人员支付被拖欠的工资，所需费用从工资保证金中扣除。工资保证金（如有剩余）在工程竣工结算完毕后30日内支付给承包人。承包人已按工程所在地政府部门要求向指定的银行专用账户存入专项资金作为工资保证金的，则发包人不再扣除。</w:t>
      </w:r>
    </w:p>
    <w:p>
      <w:pPr>
        <w:pStyle w:val="4"/>
        <w:rPr>
          <w:rFonts w:hint="eastAsia"/>
        </w:rPr>
      </w:pPr>
      <w:bookmarkStart w:id="231" w:name="_Toc30312"/>
      <w:bookmarkStart w:id="232" w:name="_Toc120689337"/>
      <w:bookmarkStart w:id="233" w:name="_Toc170377859"/>
      <w:bookmarkStart w:id="234" w:name="_Toc27624"/>
      <w:r>
        <w:t>6.10 化石</w:t>
      </w:r>
      <w:bookmarkEnd w:id="231"/>
      <w:bookmarkEnd w:id="232"/>
      <w:bookmarkEnd w:id="233"/>
      <w:bookmarkEnd w:id="234"/>
    </w:p>
    <w:p>
      <w:pPr>
        <w:jc w:val="left"/>
        <w:rPr>
          <w:rFonts w:hint="eastAsia"/>
        </w:rPr>
      </w:pPr>
      <w:r>
        <w:rPr>
          <w:rFonts w:hint="eastAsia"/>
        </w:rPr>
        <w:t>在工程场地发现的所有化石、文物、古建筑结构以及具有地质或考古价值的其他遗迹或物品均为国家财产（可明确确定为私人所有的除外），承包人应按国家有关文物管理等的规定采取合理的保护措施，防止承包人人员或任何其他人员移动或损坏上述物品。承包人在发现任何上述物品时应立即通知发包人，并应按照发包人的指示做好保护工作。</w:t>
      </w:r>
    </w:p>
    <w:p>
      <w:pPr>
        <w:pStyle w:val="3"/>
        <w:spacing w:before="0" w:beforeLines="0" w:after="0" w:afterLines="0" w:line="360" w:lineRule="auto"/>
        <w:rPr>
          <w:rFonts w:hint="eastAsia"/>
          <w:color w:val="auto"/>
          <w:lang w:eastAsia="zh-CN"/>
        </w:rPr>
      </w:pPr>
      <w:bookmarkStart w:id="235" w:name="_Toc170377860"/>
      <w:bookmarkStart w:id="236" w:name="_Toc24334"/>
      <w:bookmarkStart w:id="237" w:name="_Toc120689338"/>
      <w:bookmarkStart w:id="238" w:name="_Toc889"/>
      <w:r>
        <w:rPr>
          <w:color w:val="auto"/>
          <w:lang w:eastAsia="zh-CN"/>
        </w:rPr>
        <w:t>7. 调试与启动</w:t>
      </w:r>
      <w:bookmarkEnd w:id="235"/>
      <w:bookmarkEnd w:id="236"/>
      <w:bookmarkEnd w:id="237"/>
      <w:bookmarkEnd w:id="238"/>
    </w:p>
    <w:p>
      <w:pPr>
        <w:pStyle w:val="4"/>
        <w:rPr>
          <w:rFonts w:hint="eastAsia"/>
        </w:rPr>
      </w:pPr>
      <w:bookmarkStart w:id="239" w:name="_Toc16450"/>
      <w:bookmarkStart w:id="240" w:name="_Toc120689339"/>
      <w:bookmarkStart w:id="241" w:name="_Toc170377861"/>
      <w:bookmarkStart w:id="242" w:name="_Toc22397"/>
      <w:r>
        <w:t>7.1 调试及启动方案</w:t>
      </w:r>
      <w:bookmarkEnd w:id="239"/>
      <w:bookmarkEnd w:id="240"/>
      <w:bookmarkEnd w:id="241"/>
      <w:bookmarkEnd w:id="242"/>
    </w:p>
    <w:p>
      <w:pPr>
        <w:jc w:val="left"/>
        <w:rPr>
          <w:rFonts w:hint="eastAsia"/>
        </w:rPr>
      </w:pPr>
      <w:r>
        <w:rPr>
          <w:rFonts w:hint="eastAsia"/>
        </w:rPr>
        <w:t>承包人应按照电力行业惯例、本合同规定的启动验收规程的有关要求及适用法律的规定对每一工程部分进行调试与启动，发包人有关调试及启动的要求应按照专用条款规定的时间提交承包人。</w:t>
      </w:r>
    </w:p>
    <w:p>
      <w:pPr>
        <w:jc w:val="left"/>
        <w:rPr>
          <w:rFonts w:hint="eastAsia"/>
        </w:rPr>
      </w:pPr>
      <w:r>
        <w:rPr>
          <w:rFonts w:hint="eastAsia"/>
        </w:rPr>
        <w:t>承包人应与发包人协商，以使机组并网后能最大限度地发电和提高效率，并在符合电力行业惯例和试验要求的情况下对工程或其任何部分进行调试和启动。</w:t>
      </w:r>
    </w:p>
    <w:p>
      <w:pPr>
        <w:jc w:val="left"/>
        <w:rPr>
          <w:rFonts w:hint="eastAsia"/>
        </w:rPr>
      </w:pPr>
      <w:r>
        <w:rPr>
          <w:rFonts w:hint="eastAsia"/>
        </w:rPr>
        <w:t>承包人应在专用条款规定的时间之前编制调试方案，提交发包人审查，但不免除承包人的责任和义务。调试方案在各方面均须符合本合同的规定。</w:t>
      </w:r>
    </w:p>
    <w:p>
      <w:pPr>
        <w:pStyle w:val="4"/>
        <w:rPr>
          <w:rFonts w:hint="eastAsia"/>
        </w:rPr>
      </w:pPr>
      <w:bookmarkStart w:id="243" w:name="_Toc120689340"/>
      <w:bookmarkStart w:id="244" w:name="_Toc24737"/>
      <w:bookmarkStart w:id="245" w:name="_Toc170377862"/>
      <w:bookmarkStart w:id="246" w:name="_Toc21435"/>
      <w:r>
        <w:t>7.2 启动试运</w:t>
      </w:r>
      <w:bookmarkEnd w:id="243"/>
      <w:bookmarkEnd w:id="244"/>
      <w:bookmarkEnd w:id="245"/>
      <w:bookmarkEnd w:id="246"/>
    </w:p>
    <w:p>
      <w:pPr>
        <w:jc w:val="left"/>
        <w:rPr>
          <w:rFonts w:hint="eastAsia"/>
        </w:rPr>
      </w:pPr>
      <w:r>
        <w:t>7.2.1 当工程某一台机组已达到机械完工，且其所有系统都能按本合同进行安全运行后，经发包人批准，承包人应在发包人的监督下对该机组进行启动试运。承包人应自行（如其具备调试资质时）或选择经发包人认可的、资质合格的调试单位，对机组启动试运进行调试。</w:t>
      </w:r>
    </w:p>
    <w:p>
      <w:pPr>
        <w:jc w:val="left"/>
        <w:rPr>
          <w:rFonts w:hint="eastAsia"/>
        </w:rPr>
      </w:pPr>
      <w:r>
        <w:t>7.2.2 除非专用条款另有说明，启动试运应包括以下两部分：</w:t>
      </w:r>
    </w:p>
    <w:p>
      <w:pPr>
        <w:jc w:val="left"/>
        <w:rPr>
          <w:rFonts w:hint="eastAsia"/>
        </w:rPr>
      </w:pPr>
      <w:r>
        <w:rPr>
          <w:rFonts w:hint="eastAsia"/>
        </w:rPr>
        <w:t>（</w:t>
      </w:r>
      <w:r>
        <w:t>1）分部启动试运，应当包括单机试运与分系统试运；</w:t>
      </w:r>
    </w:p>
    <w:p>
      <w:pPr>
        <w:jc w:val="left"/>
        <w:rPr>
          <w:rFonts w:hint="eastAsia"/>
        </w:rPr>
      </w:pPr>
      <w:r>
        <w:rPr>
          <w:rFonts w:hint="eastAsia"/>
        </w:rPr>
        <w:t>（</w:t>
      </w:r>
      <w:r>
        <w:t>2）整套启动试运，应当包括空负荷调试、带负荷调试及满负荷试运三个阶段进行。</w:t>
      </w:r>
    </w:p>
    <w:p>
      <w:pPr>
        <w:jc w:val="left"/>
        <w:rPr>
          <w:rFonts w:hint="eastAsia"/>
        </w:rPr>
      </w:pPr>
      <w:r>
        <w:rPr>
          <w:rFonts w:hint="eastAsia"/>
        </w:rPr>
        <w:t>启动试运应根据本合同和经批准的调试方案进行。承包人应在开始对某一机组或工程部分进行启动试运之前</w:t>
      </w:r>
      <w:r>
        <w:t>15日书面通知发包人。每次启动试运应尽可能在与该机组或工程部分正式生产一样的运行工况和运行方式下进行。</w:t>
      </w:r>
    </w:p>
    <w:p>
      <w:pPr>
        <w:jc w:val="left"/>
        <w:rPr>
          <w:rFonts w:hint="eastAsia"/>
        </w:rPr>
      </w:pPr>
      <w:r>
        <w:t>7.2.3 除合同专用条款另有规定外，在启动试运开始前，承包人应向发包人提供暂行的设备运行维护手册，上述设备运行维护手册的详细程度，应能满足发包人操作、维修、拆卸、重新组装、调整和修复机组的需要。</w:t>
      </w:r>
    </w:p>
    <w:p>
      <w:pPr>
        <w:jc w:val="left"/>
        <w:rPr>
          <w:rFonts w:hint="eastAsia"/>
        </w:rPr>
      </w:pPr>
      <w:r>
        <w:rPr>
          <w:rFonts w:hint="eastAsia"/>
        </w:rPr>
        <w:t>发包人编制运行维护手册，承包人应按技术规范书的要求向发包人提交编制运行维护手册所需的相关资料和文件。</w:t>
      </w:r>
    </w:p>
    <w:p>
      <w:pPr>
        <w:jc w:val="left"/>
        <w:rPr>
          <w:rFonts w:hint="eastAsia"/>
        </w:rPr>
      </w:pPr>
      <w:r>
        <w:t>7.2.4 分部启动试运</w:t>
      </w:r>
    </w:p>
    <w:p>
      <w:pPr>
        <w:jc w:val="left"/>
        <w:rPr>
          <w:rFonts w:hint="eastAsia"/>
        </w:rPr>
      </w:pPr>
      <w:r>
        <w:rPr>
          <w:rFonts w:hint="eastAsia"/>
        </w:rPr>
        <w:t>工程安装完毕，具备分部启动试运条件时，应按电力行业有关规程对机组进行分部启动试运，承包人应组织发包人、监理工程师和其他有关方的人员参加分部启动试运。在进行分部启动试运前承包人应负责编制分部启动试运计划、方案和措施并报发包人和有关验收组织批准。分部试运的调试记录由承包人或其聘请的调试单位作出，发包人如无意见应在收到承包人提交的调试记录后</w:t>
      </w:r>
      <w:r>
        <w:t>7日内在调试记录上签字，作为质量验收和整套启动试运的依据。分部启动试运完成并经验收通过后可进入整套启动试运阶段。</w:t>
      </w:r>
    </w:p>
    <w:p>
      <w:pPr>
        <w:jc w:val="left"/>
        <w:rPr>
          <w:rFonts w:hint="eastAsia"/>
        </w:rPr>
      </w:pPr>
      <w:r>
        <w:t>7.2.5 整套启动试运</w:t>
      </w:r>
    </w:p>
    <w:p>
      <w:pPr>
        <w:jc w:val="left"/>
        <w:rPr>
          <w:rFonts w:hint="eastAsia"/>
        </w:rPr>
      </w:pPr>
      <w:r>
        <w:rPr>
          <w:rFonts w:hint="eastAsia"/>
        </w:rPr>
        <w:t>机组分部启动试运完成且经发包人和有关验收组织（如有）批准后即可进行整套启动试运。整套启动试运应按照调试方案并在发包人和验收组织的监督下进行。承包人在开始对一台机组进行整套启动试验之前应提前至少</w:t>
      </w:r>
      <w:r>
        <w:t>15日（但不应超过30日）给予发包人书面通知。</w:t>
      </w:r>
    </w:p>
    <w:p>
      <w:pPr>
        <w:jc w:val="left"/>
        <w:rPr>
          <w:rFonts w:hint="eastAsia"/>
        </w:rPr>
      </w:pPr>
      <w:r>
        <w:rPr>
          <w:rFonts w:hint="eastAsia"/>
        </w:rPr>
        <w:t>在承包人进行整套启动试运前，发包人应负责与电力调度机构进行协调，如果发包人已得到电力调度机构的通知不能接受该工程部分在整套启动试运期间发出的电力，则发包人应立即通知承包人不能进行整套启动试运。</w:t>
      </w:r>
    </w:p>
    <w:p>
      <w:pPr>
        <w:jc w:val="left"/>
        <w:rPr>
          <w:rFonts w:hint="eastAsia"/>
        </w:rPr>
      </w:pPr>
      <w:r>
        <w:rPr>
          <w:rFonts w:hint="eastAsia"/>
        </w:rPr>
        <w:t>若整套启动试运因承包人的任何原因而中断，则承包人应对该机组重新进行整套启动试运，并需承担因机组未能一次通过整套启动试运而给发包人带来的额外费用。如果整套启动试运因与机组连接的电网系统或电力调度机构而引起中断，因此而发生的额外费用由发包人承担，计划完工日也将根据中断的时间相应顺延。</w:t>
      </w:r>
    </w:p>
    <w:p>
      <w:pPr>
        <w:pStyle w:val="4"/>
        <w:rPr>
          <w:rFonts w:hint="eastAsia"/>
        </w:rPr>
      </w:pPr>
      <w:bookmarkStart w:id="247" w:name="_Toc120689341"/>
      <w:bookmarkStart w:id="248" w:name="_Toc13121"/>
      <w:bookmarkStart w:id="249" w:name="_Toc170377863"/>
      <w:bookmarkStart w:id="250" w:name="_Toc23762"/>
      <w:r>
        <w:t>7.3 参加启动试运</w:t>
      </w:r>
      <w:bookmarkEnd w:id="247"/>
      <w:bookmarkEnd w:id="248"/>
      <w:bookmarkEnd w:id="249"/>
      <w:bookmarkEnd w:id="250"/>
    </w:p>
    <w:p>
      <w:pPr>
        <w:jc w:val="left"/>
        <w:rPr>
          <w:rFonts w:hint="eastAsia"/>
        </w:rPr>
      </w:pPr>
      <w:r>
        <w:rPr>
          <w:rFonts w:hint="eastAsia"/>
        </w:rPr>
        <w:t>发包人可以指定并授权有资格的代表观察每一工程部分从开始调试到整套启动试运结束前的整个过程内的所有试验。如果发包人向承包人发出通知，指出承包人拟做试验的工程部分的任何部分尚未达到安装完工，而该部分是该工程部分在进行启动试运时根据法律、电力行业惯例、运行规程和调试方案进行安全运行所必需完成的，则总承人不应进行任何启运试运。</w:t>
      </w:r>
    </w:p>
    <w:p>
      <w:pPr>
        <w:pStyle w:val="4"/>
        <w:rPr>
          <w:rFonts w:hint="eastAsia"/>
        </w:rPr>
      </w:pPr>
      <w:bookmarkStart w:id="251" w:name="_Toc24861"/>
      <w:bookmarkStart w:id="252" w:name="_Toc120689342"/>
      <w:bookmarkStart w:id="253" w:name="_Toc170377864"/>
      <w:bookmarkStart w:id="254" w:name="_Toc21511"/>
      <w:r>
        <w:t>7.4 重新设置</w:t>
      </w:r>
      <w:bookmarkEnd w:id="251"/>
      <w:bookmarkEnd w:id="252"/>
      <w:bookmarkEnd w:id="253"/>
      <w:bookmarkEnd w:id="254"/>
    </w:p>
    <w:p>
      <w:pPr>
        <w:jc w:val="left"/>
        <w:rPr>
          <w:rFonts w:hint="eastAsia"/>
        </w:rPr>
      </w:pPr>
      <w:r>
        <w:rPr>
          <w:rFonts w:hint="eastAsia"/>
        </w:rPr>
        <w:t>承包人在每次进行或试图进行启动试运之后，应使有关机组或整个设施处于或恢复到该机组或整个设施在启动试运之前的最佳操作控制状态和运行设置。</w:t>
      </w:r>
    </w:p>
    <w:p>
      <w:pPr>
        <w:pStyle w:val="3"/>
        <w:spacing w:before="0" w:beforeLines="0" w:after="0" w:afterLines="0" w:line="360" w:lineRule="auto"/>
        <w:rPr>
          <w:rFonts w:hint="eastAsia"/>
          <w:color w:val="auto"/>
          <w:lang w:eastAsia="zh-CN"/>
        </w:rPr>
      </w:pPr>
      <w:bookmarkStart w:id="255" w:name="_Toc170377865"/>
      <w:bookmarkStart w:id="256" w:name="_Toc25471"/>
      <w:bookmarkStart w:id="257" w:name="_Toc120689343"/>
      <w:bookmarkStart w:id="258" w:name="_Toc21293"/>
      <w:r>
        <w:rPr>
          <w:color w:val="auto"/>
          <w:lang w:eastAsia="zh-CN"/>
        </w:rPr>
        <w:t>8. 机组移交</w:t>
      </w:r>
      <w:bookmarkEnd w:id="255"/>
      <w:bookmarkEnd w:id="256"/>
      <w:bookmarkEnd w:id="257"/>
      <w:bookmarkEnd w:id="258"/>
    </w:p>
    <w:p>
      <w:pPr>
        <w:pStyle w:val="4"/>
        <w:rPr>
          <w:rFonts w:hint="eastAsia"/>
        </w:rPr>
      </w:pPr>
      <w:bookmarkStart w:id="259" w:name="_Toc228"/>
      <w:bookmarkStart w:id="260" w:name="_Toc120689344"/>
      <w:bookmarkStart w:id="261" w:name="_Toc170377866"/>
      <w:bookmarkStart w:id="262" w:name="_Toc4831"/>
      <w:r>
        <w:t>8.1 机组完工</w:t>
      </w:r>
      <w:bookmarkEnd w:id="259"/>
      <w:bookmarkEnd w:id="260"/>
      <w:bookmarkEnd w:id="261"/>
      <w:bookmarkEnd w:id="262"/>
    </w:p>
    <w:p>
      <w:pPr>
        <w:jc w:val="left"/>
        <w:rPr>
          <w:rFonts w:hint="eastAsia"/>
        </w:rPr>
      </w:pPr>
      <w:r>
        <w:t>8.1.1 除合同另有要求外，在以下条件全部满足时视为机组完工：</w:t>
      </w:r>
    </w:p>
    <w:p>
      <w:pPr>
        <w:jc w:val="left"/>
        <w:rPr>
          <w:rFonts w:hint="eastAsia"/>
        </w:rPr>
      </w:pPr>
      <w:r>
        <w:rPr>
          <w:rFonts w:hint="eastAsia"/>
        </w:rPr>
        <w:t>（</w:t>
      </w:r>
      <w:r>
        <w:t>1）已通过本合同第7条所述的整套启动试运；</w:t>
      </w:r>
    </w:p>
    <w:p>
      <w:pPr>
        <w:jc w:val="left"/>
        <w:rPr>
          <w:rFonts w:hint="eastAsia"/>
        </w:rPr>
      </w:pPr>
      <w:r>
        <w:rPr>
          <w:rFonts w:hint="eastAsia"/>
        </w:rPr>
        <w:t>（</w:t>
      </w:r>
      <w:r>
        <w:t>2）为使工程全面、安全而可靠运行所需的全部设备及设施已妥善建成、安装并调整至良好状态；</w:t>
      </w:r>
    </w:p>
    <w:p>
      <w:pPr>
        <w:jc w:val="left"/>
        <w:rPr>
          <w:rFonts w:hint="eastAsia"/>
        </w:rPr>
      </w:pPr>
      <w:r>
        <w:rPr>
          <w:rFonts w:hint="eastAsia"/>
        </w:rPr>
        <w:t>（</w:t>
      </w:r>
      <w:r>
        <w:t>3）除了消缺清单所列事项外，承包人已全部完成与工程或其任何部分有关的所有服务，即该工程或其任何部分已能全出力地、正确地与电力调度机构的电力系统同步和并网运行；</w:t>
      </w:r>
    </w:p>
    <w:p>
      <w:pPr>
        <w:jc w:val="left"/>
        <w:rPr>
          <w:rFonts w:hint="eastAsia"/>
        </w:rPr>
      </w:pPr>
      <w:r>
        <w:rPr>
          <w:rFonts w:hint="eastAsia"/>
        </w:rPr>
        <w:t>（</w:t>
      </w:r>
      <w:r>
        <w:t>4）承包人已完成对工程或其任何部分的全部细调工作。</w:t>
      </w:r>
    </w:p>
    <w:p>
      <w:pPr>
        <w:jc w:val="left"/>
        <w:rPr>
          <w:rFonts w:hint="eastAsia"/>
        </w:rPr>
      </w:pPr>
      <w:r>
        <w:t xml:space="preserve">8.1.2 如果某一台机组已达到第8.1.1项所述的完工条件，承包人可向发包人申请签发机组移交证书。发包人应在收到承包人申请后的28天内， </w:t>
      </w:r>
    </w:p>
    <w:p>
      <w:pPr>
        <w:jc w:val="left"/>
        <w:rPr>
          <w:rFonts w:hint="eastAsia"/>
        </w:rPr>
      </w:pPr>
      <w:r>
        <w:rPr>
          <w:rFonts w:hint="eastAsia"/>
        </w:rPr>
        <w:t>（</w:t>
      </w:r>
      <w:r>
        <w:t>1）向承包人签发“移交证书”；或者</w:t>
      </w:r>
    </w:p>
    <w:p>
      <w:pPr>
        <w:jc w:val="left"/>
        <w:rPr>
          <w:rFonts w:hint="eastAsia"/>
        </w:rPr>
      </w:pPr>
      <w:r>
        <w:rPr>
          <w:rFonts w:hint="eastAsia"/>
        </w:rPr>
        <w:t>（</w:t>
      </w:r>
      <w:r>
        <w:t>2）退回申请，说明其不接受的理由，并指出在签发“移交证书”之前承包人尚需完成的工作。承包人在完成上述工作后可再根据本款规定重新申请“移交证书”。</w:t>
      </w:r>
    </w:p>
    <w:p>
      <w:pPr>
        <w:jc w:val="left"/>
        <w:rPr>
          <w:rFonts w:hint="eastAsia"/>
        </w:rPr>
      </w:pPr>
      <w:r>
        <w:rPr>
          <w:rFonts w:hint="eastAsia"/>
        </w:rPr>
        <w:t>如果发包人在上述</w:t>
      </w:r>
      <w:r>
        <w:t>28天期限内既未签发“移交证书”，也未退回承包人的申请，而机组确实已具备完工条件，则视为发包人已在上述规定期限的最后一天签发了“移交证书”。</w:t>
      </w:r>
    </w:p>
    <w:p>
      <w:pPr>
        <w:jc w:val="left"/>
        <w:rPr>
          <w:rFonts w:hint="eastAsia"/>
        </w:rPr>
      </w:pPr>
      <w:r>
        <w:t>8.1.3发包人已按照本款规定签发了或被视为签发了“移交证书”时，发包人应接收本工程。发包人签发或被视为签发“移交证书”之日为机组的实际完工日。</w:t>
      </w:r>
    </w:p>
    <w:p>
      <w:pPr>
        <w:jc w:val="left"/>
        <w:rPr>
          <w:rFonts w:hint="eastAsia"/>
        </w:rPr>
      </w:pPr>
      <w:r>
        <w:t>8.1.4发包人使用部分工程</w:t>
      </w:r>
    </w:p>
    <w:p>
      <w:pPr>
        <w:jc w:val="left"/>
        <w:rPr>
          <w:rFonts w:hint="eastAsia"/>
        </w:rPr>
      </w:pPr>
      <w:r>
        <w:rPr>
          <w:rFonts w:hint="eastAsia"/>
        </w:rPr>
        <w:t>本工程中未经发包人核准签发“移交证书”的任何一部分，发包人均不得使用。</w:t>
      </w:r>
    </w:p>
    <w:p>
      <w:pPr>
        <w:jc w:val="left"/>
        <w:rPr>
          <w:rFonts w:hint="eastAsia"/>
        </w:rPr>
      </w:pPr>
      <w:r>
        <w:rPr>
          <w:rFonts w:hint="eastAsia"/>
        </w:rPr>
        <w:t>如果发包人一定要使用尚未签发“移交证书”的工程，应征得承包人同意，并办理相关手续。</w:t>
      </w:r>
    </w:p>
    <w:p>
      <w:pPr>
        <w:jc w:val="left"/>
        <w:rPr>
          <w:rFonts w:hint="eastAsia"/>
        </w:rPr>
      </w:pPr>
      <w:r>
        <w:rPr>
          <w:rFonts w:hint="eastAsia"/>
        </w:rPr>
        <w:t>发包人在给工程的某一部分签发了“移交证书”之后，应尽早给承包人提供机会，让其采取必要步骤完成尚未完成的竣工检验项目；承包人应在本合同质量保证期期满之前尽快完成上述各项竣工检验项目，双方另有约定时除外。</w:t>
      </w:r>
    </w:p>
    <w:p>
      <w:pPr>
        <w:pStyle w:val="4"/>
        <w:rPr>
          <w:rFonts w:hint="eastAsia"/>
          <w:b w:val="0"/>
        </w:rPr>
      </w:pPr>
      <w:bookmarkStart w:id="263" w:name="_Toc120689345"/>
      <w:bookmarkStart w:id="264" w:name="_Toc170377867"/>
      <w:bookmarkStart w:id="265" w:name="_Toc8649"/>
      <w:bookmarkStart w:id="266" w:name="_Toc6669"/>
      <w:r>
        <w:t>8.2 完工移交</w:t>
      </w:r>
      <w:bookmarkEnd w:id="263"/>
      <w:bookmarkEnd w:id="264"/>
      <w:bookmarkEnd w:id="265"/>
      <w:bookmarkEnd w:id="266"/>
    </w:p>
    <w:p>
      <w:pPr>
        <w:jc w:val="left"/>
        <w:rPr>
          <w:rFonts w:hint="eastAsia"/>
        </w:rPr>
      </w:pPr>
      <w:r>
        <w:t>8.2.1 机组自相应移交证书签发之时开始，即视为移交给发包人并受发包人控制，但承包人仍应完成本合同项下针对该机组的所有未完成的责任和义务。</w:t>
      </w:r>
    </w:p>
    <w:p>
      <w:pPr>
        <w:jc w:val="left"/>
        <w:rPr>
          <w:rFonts w:hint="eastAsia"/>
        </w:rPr>
      </w:pPr>
      <w:r>
        <w:t>8.2.2 承包人应在机组移交证书签发后一个月内，向发包人提交下列文件或完成下列工作，合同专用条款另有规定时除外：</w:t>
      </w:r>
    </w:p>
    <w:p>
      <w:pPr>
        <w:jc w:val="left"/>
        <w:rPr>
          <w:rFonts w:hint="eastAsia"/>
        </w:rPr>
      </w:pPr>
      <w:r>
        <w:rPr>
          <w:rFonts w:hint="eastAsia"/>
        </w:rPr>
        <w:t>（</w:t>
      </w:r>
      <w:r>
        <w:t>1）一份按调试方案规定的格式和内容编写的关于启动试运结果的报告，该报告应详细列明该机组所完成的启动试运的情况及有关该机组的消缺清单中所列事项的情况；</w:t>
      </w:r>
    </w:p>
    <w:p>
      <w:pPr>
        <w:jc w:val="left"/>
        <w:rPr>
          <w:rFonts w:hint="eastAsia"/>
        </w:rPr>
      </w:pPr>
      <w:r>
        <w:rPr>
          <w:rFonts w:hint="eastAsia"/>
        </w:rPr>
        <w:t>（</w:t>
      </w:r>
      <w:r>
        <w:t>2）启动验收规程规定和机组正常运行维护所需的技术资料；</w:t>
      </w:r>
    </w:p>
    <w:p>
      <w:pPr>
        <w:jc w:val="left"/>
        <w:rPr>
          <w:rFonts w:hint="eastAsia"/>
        </w:rPr>
      </w:pPr>
      <w:r>
        <w:rPr>
          <w:rFonts w:hint="eastAsia"/>
        </w:rPr>
        <w:t>（</w:t>
      </w:r>
      <w:r>
        <w:t>3）备品备件和承包人不再使用的专用工具的清点和移交；</w:t>
      </w:r>
    </w:p>
    <w:p>
      <w:pPr>
        <w:jc w:val="left"/>
        <w:rPr>
          <w:rFonts w:hint="eastAsia"/>
        </w:rPr>
      </w:pPr>
      <w:r>
        <w:rPr>
          <w:rFonts w:hint="eastAsia"/>
        </w:rPr>
        <w:t>（</w:t>
      </w:r>
      <w:r>
        <w:t>4）组成该机组的所有设备的清册。</w:t>
      </w:r>
    </w:p>
    <w:p>
      <w:pPr>
        <w:pStyle w:val="4"/>
        <w:rPr>
          <w:rFonts w:hint="eastAsia"/>
        </w:rPr>
      </w:pPr>
      <w:bookmarkStart w:id="267" w:name="_Toc120689346"/>
      <w:bookmarkStart w:id="268" w:name="_Toc170377868"/>
      <w:bookmarkStart w:id="269" w:name="_Toc24530"/>
      <w:bookmarkStart w:id="270" w:name="_Toc30885"/>
      <w:r>
        <w:t>8.3 完工文件</w:t>
      </w:r>
      <w:bookmarkEnd w:id="267"/>
      <w:bookmarkEnd w:id="268"/>
      <w:bookmarkEnd w:id="269"/>
      <w:bookmarkEnd w:id="270"/>
    </w:p>
    <w:p>
      <w:pPr>
        <w:jc w:val="left"/>
        <w:rPr>
          <w:rFonts w:hint="eastAsia"/>
        </w:rPr>
      </w:pPr>
      <w:r>
        <w:rPr>
          <w:rFonts w:hint="eastAsia"/>
        </w:rPr>
        <w:t>承包人应编制并随时更新一套完整的、有关工程施工情况的完工记录，如实记载完工工程的准确位置、尺寸和实施工作的详细说明。上述完工记录应保存在工程场地，并仅限用于本款的目的。承包人应在性能考核试验开始前，向发包人提交两套完工记录副本。</w:t>
      </w:r>
    </w:p>
    <w:p>
      <w:pPr>
        <w:jc w:val="left"/>
        <w:rPr>
          <w:rFonts w:hint="eastAsia"/>
        </w:rPr>
      </w:pPr>
      <w:r>
        <w:rPr>
          <w:rFonts w:hint="eastAsia"/>
        </w:rPr>
        <w:t>承包人应按合同约定编制并向发包人提交完整的竣工资料。</w:t>
      </w:r>
    </w:p>
    <w:p>
      <w:pPr>
        <w:pStyle w:val="3"/>
        <w:spacing w:before="0" w:beforeLines="0" w:after="0" w:afterLines="0" w:line="360" w:lineRule="auto"/>
        <w:rPr>
          <w:rFonts w:hint="eastAsia"/>
          <w:color w:val="auto"/>
          <w:lang w:eastAsia="zh-CN"/>
        </w:rPr>
      </w:pPr>
      <w:bookmarkStart w:id="271" w:name="_Toc24507"/>
      <w:bookmarkStart w:id="272" w:name="_Toc170377869"/>
      <w:bookmarkStart w:id="273" w:name="_Toc120689347"/>
      <w:bookmarkStart w:id="274" w:name="_Toc27561"/>
      <w:r>
        <w:rPr>
          <w:color w:val="auto"/>
          <w:lang w:eastAsia="zh-CN"/>
        </w:rPr>
        <w:t>9. 性能验收试验</w:t>
      </w:r>
      <w:bookmarkEnd w:id="271"/>
      <w:bookmarkEnd w:id="272"/>
      <w:bookmarkEnd w:id="273"/>
      <w:bookmarkEnd w:id="274"/>
    </w:p>
    <w:p>
      <w:pPr>
        <w:pStyle w:val="4"/>
        <w:rPr>
          <w:rFonts w:hint="eastAsia"/>
        </w:rPr>
      </w:pPr>
      <w:bookmarkStart w:id="275" w:name="_Toc7524"/>
      <w:bookmarkStart w:id="276" w:name="_Toc120689348"/>
      <w:bookmarkStart w:id="277" w:name="_Toc170377870"/>
      <w:bookmarkStart w:id="278" w:name="_Toc25766"/>
      <w:r>
        <w:t>9.1 试验程序</w:t>
      </w:r>
      <w:bookmarkEnd w:id="275"/>
      <w:bookmarkEnd w:id="276"/>
      <w:bookmarkEnd w:id="277"/>
      <w:bookmarkEnd w:id="278"/>
    </w:p>
    <w:p>
      <w:pPr>
        <w:jc w:val="left"/>
        <w:rPr>
          <w:rFonts w:hint="eastAsia"/>
        </w:rPr>
      </w:pPr>
      <w:r>
        <w:t>9.1.1 发包人负责并委托经承包人认可的第三方对机组进行性能验收试验。承包人应负责按合同规定提供一切必要的技术、设施、装备，保证机组满足进行性能验收试验的所有必需条件，并根据试验数据对机组进行修理、更换、调整等，使机组达到相关的性能保证指标。</w:t>
      </w:r>
    </w:p>
    <w:p>
      <w:pPr>
        <w:jc w:val="left"/>
        <w:rPr>
          <w:rFonts w:hint="eastAsia"/>
        </w:rPr>
      </w:pPr>
      <w:r>
        <w:t>9.1.2 发包人应在性能验收试验开始15日前，编制完毕性能验收试验方案、计算方法和详细步骤。在任何性能验收试验开始日前，发包人与承包人共同协商性能验收试验的名称、开始日及日程安排。</w:t>
      </w:r>
    </w:p>
    <w:p>
      <w:pPr>
        <w:jc w:val="left"/>
        <w:rPr>
          <w:rFonts w:hint="eastAsia"/>
        </w:rPr>
      </w:pPr>
      <w:r>
        <w:t>9.1.3 发包人将按照现行规定并在满足电力调度机构要求前提下，进行性能验收试验。具体性能验收试验项目及性能保证指标以技术规范书为准。</w:t>
      </w:r>
    </w:p>
    <w:p>
      <w:pPr>
        <w:jc w:val="left"/>
        <w:rPr>
          <w:rFonts w:hint="eastAsia"/>
        </w:rPr>
      </w:pPr>
      <w:r>
        <w:t>9.1.4 性能保证指标指在技术规范书规定的运行工况下的指标，如果实际运行工况与技术规范书所规定的运行工况不同，则上述性能保证指标应按性能验收试验方案及计算方法作出相应的修正。</w:t>
      </w:r>
    </w:p>
    <w:p>
      <w:pPr>
        <w:pStyle w:val="4"/>
        <w:rPr>
          <w:rFonts w:hint="eastAsia"/>
        </w:rPr>
      </w:pPr>
      <w:bookmarkStart w:id="279" w:name="_Toc120689349"/>
      <w:bookmarkStart w:id="280" w:name="_Toc10733"/>
      <w:bookmarkStart w:id="281" w:name="_Toc170377871"/>
      <w:bookmarkStart w:id="282" w:name="_Toc18499"/>
      <w:r>
        <w:t>9.2 性能保证</w:t>
      </w:r>
      <w:bookmarkEnd w:id="279"/>
      <w:bookmarkEnd w:id="280"/>
      <w:bookmarkEnd w:id="281"/>
      <w:bookmarkEnd w:id="282"/>
    </w:p>
    <w:p>
      <w:pPr>
        <w:jc w:val="left"/>
        <w:rPr>
          <w:rFonts w:hint="eastAsia"/>
        </w:rPr>
      </w:pPr>
      <w:r>
        <w:t>9.2.1 承包人保证就某台机组而言，在第9.3.1项所述的期限届满前已通过的性能验收试验中，该机组应能够达到专用条款所述的全部性能保证指标。承包人同意，如果工程的任何一台机组的性能保证指标未能达到本合同的要求，其将按专用条款的规定向发包人支付相应的违约赔偿金(以下简称“性能保证违约金”)。</w:t>
      </w:r>
    </w:p>
    <w:p>
      <w:pPr>
        <w:jc w:val="left"/>
        <w:rPr>
          <w:rFonts w:hint="eastAsia"/>
        </w:rPr>
      </w:pPr>
      <w:r>
        <w:t>9.2.2 如果机组在性能验收试验中实际测得的性能指标达到合同规定的性能保证指标，或未达到性能保证指标，但已达到专用条款规定的最低性能标准，且承包人已按本合同规定支付了所有性能保证违约金，则该机组应被视为已达到性能验收要求。发包人将机组达到性能验收要求且承包人提出书面申请后30日内签发性能验收证书。</w:t>
      </w:r>
    </w:p>
    <w:p>
      <w:pPr>
        <w:jc w:val="left"/>
        <w:rPr>
          <w:rFonts w:hint="eastAsia"/>
        </w:rPr>
      </w:pPr>
      <w:r>
        <w:t>9.2.3 若机组在任何一次性能验收试验中，一项或一项以上性能保证指标未能达到最低性能标准的要求，承包人除应按本条规定支付相应的性能保证违约金外，应继续对该机组进行修理或更换，并重新对该机组进行性能验收试验，以使该机组达到最低性能标准。</w:t>
      </w:r>
    </w:p>
    <w:p>
      <w:pPr>
        <w:jc w:val="left"/>
        <w:rPr>
          <w:rFonts w:hint="eastAsia"/>
        </w:rPr>
      </w:pPr>
      <w:r>
        <w:t>9.2.4 如果承包人的性能验收试验表明机组已达到最低性能指标，但未达到性能保证指标，则在经发包人同意后承包人可通过支付性能保证违约金，替代其达到性能保证指标的责任。这种情况下，承包人在支付此类性能保证违约金后，将无须承担达到性能保证指标的义务。但本条规定不解除承包人的下列责任：</w:t>
      </w:r>
    </w:p>
    <w:p>
      <w:pPr>
        <w:jc w:val="left"/>
        <w:rPr>
          <w:rFonts w:hint="eastAsia"/>
        </w:rPr>
      </w:pPr>
      <w:r>
        <w:rPr>
          <w:rFonts w:hint="eastAsia"/>
        </w:rPr>
        <w:t>（</w:t>
      </w:r>
      <w:r>
        <w:t>1）使每一台机组及工程均符合所有适用法律，并在本合同规定的保证排放限度内运行；及</w:t>
      </w:r>
    </w:p>
    <w:p>
      <w:pPr>
        <w:jc w:val="left"/>
        <w:rPr>
          <w:rFonts w:hint="eastAsia"/>
        </w:rPr>
      </w:pPr>
      <w:r>
        <w:rPr>
          <w:rFonts w:hint="eastAsia"/>
        </w:rPr>
        <w:t>（</w:t>
      </w:r>
      <w:r>
        <w:t>2）在机组性能验收合格后应履行的在本合同中的其它义务。</w:t>
      </w:r>
    </w:p>
    <w:p>
      <w:pPr>
        <w:pStyle w:val="4"/>
        <w:rPr>
          <w:rFonts w:hint="eastAsia"/>
        </w:rPr>
      </w:pPr>
      <w:bookmarkStart w:id="283" w:name="_Toc170377872"/>
      <w:bookmarkStart w:id="284" w:name="_Toc120689350"/>
      <w:bookmarkStart w:id="285" w:name="_Toc31411"/>
      <w:bookmarkStart w:id="286" w:name="_Toc9119"/>
      <w:r>
        <w:t>9.3 性能保证违约金</w:t>
      </w:r>
      <w:bookmarkEnd w:id="283"/>
      <w:bookmarkEnd w:id="284"/>
      <w:bookmarkEnd w:id="285"/>
      <w:bookmarkEnd w:id="286"/>
    </w:p>
    <w:p>
      <w:pPr>
        <w:jc w:val="left"/>
        <w:rPr>
          <w:rFonts w:hint="eastAsia"/>
        </w:rPr>
      </w:pPr>
      <w:r>
        <w:t>9.3.1 无论本合同其他条款如何规定，如果在机组完工日后60日内或发包人同意的其他日期前(以下简称“性能验收最终期限”)，承包人仍未能使该机组达到合同约定的性能保证指标，则承包人无权要求发包人进行任何重复的性能验收试验，并应向发包人支付性能保证违约金。性能保证违约金的金额将按每台机组在性能验收最终期限届满前的最后一次完成的性能验收试验予以确定。</w:t>
      </w:r>
    </w:p>
    <w:p>
      <w:pPr>
        <w:jc w:val="left"/>
        <w:rPr>
          <w:rFonts w:hint="eastAsia"/>
        </w:rPr>
      </w:pPr>
      <w:r>
        <w:rPr>
          <w:rFonts w:hint="eastAsia"/>
        </w:rPr>
        <w:t>如果承包人在性能验收最终期限内未能使机组达到最低性能标准，发包人可聘用其他承包商来完成该工作，由此引起的任何额外费用均应由承包人承担，合同专用条件另有规定时除外。</w:t>
      </w:r>
    </w:p>
    <w:p>
      <w:pPr>
        <w:jc w:val="left"/>
        <w:rPr>
          <w:rFonts w:hint="eastAsia"/>
        </w:rPr>
      </w:pPr>
      <w:r>
        <w:t>9.3.2 承包人在此承认并同意，本合同约定的性能保证违约金条款和金额是合理的，已充分考虑了承包人不能达到机组的性能保证指标时，发包人将遭受的损失以及发包人将花费的实际费用。</w:t>
      </w:r>
    </w:p>
    <w:p>
      <w:pPr>
        <w:jc w:val="left"/>
        <w:rPr>
          <w:rFonts w:hint="eastAsia"/>
        </w:rPr>
      </w:pPr>
      <w:r>
        <w:t>9.3.3 尽管有任何其他规定，机组排放（水、脱硝装置出口NO×、烟囱出口SO2、等）、噪声、电除尘器效率、脱硫装置效率、脱硝装置效率应满足环评及环保验收要求，如达不到环评及环保验收要求，承包人必须无偿负责处理并最终达到要求，此项责任不得通过支付违约金而替代。</w:t>
      </w:r>
    </w:p>
    <w:p>
      <w:pPr>
        <w:jc w:val="left"/>
        <w:rPr>
          <w:rFonts w:hint="eastAsia"/>
        </w:rPr>
      </w:pPr>
      <w:r>
        <w:t>9.3.4 除专用条款另有规定外，承包人应在性能验收最终期限届满后30日前向业主支付性能保证违约金金额（如有）。如果承包人未能按时支付性能保证违约金，发包人有权从任何应付或将要付给承包人的款项中扣除该性能保证违约金。无款项可扣除的，承包人应从性能保证违约金最后支付日期的第二日开始按贷款利率承担性能保证违约金利息。</w:t>
      </w:r>
    </w:p>
    <w:p>
      <w:pPr>
        <w:pStyle w:val="3"/>
        <w:spacing w:before="0" w:beforeLines="0" w:after="0" w:afterLines="0" w:line="360" w:lineRule="auto"/>
        <w:rPr>
          <w:rFonts w:hint="eastAsia"/>
          <w:color w:val="auto"/>
          <w:lang w:eastAsia="zh-CN"/>
        </w:rPr>
      </w:pPr>
      <w:bookmarkStart w:id="287" w:name="_Toc4207"/>
      <w:bookmarkStart w:id="288" w:name="_Toc170377873"/>
      <w:bookmarkStart w:id="289" w:name="_Toc120689351"/>
      <w:bookmarkStart w:id="290" w:name="_Toc26909"/>
      <w:r>
        <w:rPr>
          <w:color w:val="auto"/>
          <w:lang w:eastAsia="zh-CN"/>
        </w:rPr>
        <w:t>10. 开工、完工、中止</w:t>
      </w:r>
      <w:bookmarkEnd w:id="287"/>
      <w:bookmarkEnd w:id="288"/>
      <w:bookmarkEnd w:id="289"/>
      <w:bookmarkEnd w:id="290"/>
    </w:p>
    <w:p>
      <w:pPr>
        <w:pStyle w:val="4"/>
        <w:rPr>
          <w:rFonts w:hint="eastAsia"/>
        </w:rPr>
      </w:pPr>
      <w:bookmarkStart w:id="291" w:name="_Toc120689352"/>
      <w:bookmarkStart w:id="292" w:name="_Toc13700"/>
      <w:bookmarkStart w:id="293" w:name="_Toc170377874"/>
      <w:bookmarkStart w:id="294" w:name="_Toc4960"/>
      <w:r>
        <w:t>10.1 开工日期</w:t>
      </w:r>
      <w:bookmarkEnd w:id="291"/>
      <w:bookmarkEnd w:id="292"/>
      <w:bookmarkEnd w:id="293"/>
      <w:bookmarkEnd w:id="294"/>
    </w:p>
    <w:p>
      <w:pPr>
        <w:jc w:val="left"/>
        <w:rPr>
          <w:rFonts w:hint="eastAsia"/>
        </w:rPr>
      </w:pPr>
      <w:r>
        <w:t>10.1.1 承包人应在合同生效后21天内向发包人提交开工申请报告，发包人应在收到工程总承包策划书和开工报告后21天内对申请报告进行审查、批复。</w:t>
      </w:r>
    </w:p>
    <w:p>
      <w:pPr>
        <w:jc w:val="left"/>
        <w:rPr>
          <w:rFonts w:hint="eastAsia"/>
        </w:rPr>
      </w:pPr>
      <w:r>
        <w:rPr>
          <w:rFonts w:hint="eastAsia"/>
        </w:rPr>
        <w:t>除非合同协议书另有说明，发包人应至少提前</w:t>
      </w:r>
      <w:r>
        <w:t>7天向承包人发出开工日期的通知。</w:t>
      </w:r>
    </w:p>
    <w:p>
      <w:pPr>
        <w:jc w:val="left"/>
        <w:rPr>
          <w:rFonts w:hint="eastAsia"/>
        </w:rPr>
      </w:pPr>
      <w:r>
        <w:t>10.1.2 承包人应按照发包人的批复，以适当速度开展勘察、采购、施工等工作，不得拖延。</w:t>
      </w:r>
    </w:p>
    <w:p>
      <w:pPr>
        <w:pStyle w:val="4"/>
        <w:rPr>
          <w:rFonts w:hint="eastAsia"/>
        </w:rPr>
      </w:pPr>
      <w:bookmarkStart w:id="295" w:name="_Toc22554"/>
      <w:bookmarkStart w:id="296" w:name="_Toc170377875"/>
      <w:bookmarkStart w:id="297" w:name="_Toc120689353"/>
      <w:bookmarkStart w:id="298" w:name="_Toc24596"/>
      <w:r>
        <w:t>10.2 进度计划及进度报告</w:t>
      </w:r>
      <w:bookmarkEnd w:id="295"/>
      <w:bookmarkEnd w:id="296"/>
      <w:bookmarkEnd w:id="297"/>
      <w:bookmarkEnd w:id="298"/>
    </w:p>
    <w:p>
      <w:pPr>
        <w:jc w:val="left"/>
        <w:rPr>
          <w:rFonts w:hint="eastAsia"/>
        </w:rPr>
      </w:pPr>
      <w:r>
        <w:t>10.2.1 承包人应在合同生效后60天内，向发包人提交一份进度计划。进度计划应包括下列内容：</w:t>
      </w:r>
    </w:p>
    <w:p>
      <w:pPr>
        <w:jc w:val="left"/>
        <w:rPr>
          <w:rFonts w:hint="eastAsia"/>
        </w:rPr>
      </w:pPr>
      <w:r>
        <w:rPr>
          <w:rFonts w:hint="eastAsia"/>
        </w:rPr>
        <w:t>（</w:t>
      </w:r>
      <w:r>
        <w:t>l）承包人计划实施工程的工作顺序，包括工程各主要阶段的预期时间安排：</w:t>
      </w:r>
    </w:p>
    <w:p>
      <w:pPr>
        <w:jc w:val="left"/>
        <w:rPr>
          <w:rFonts w:hint="eastAsia"/>
        </w:rPr>
      </w:pPr>
      <w:r>
        <w:rPr>
          <w:rFonts w:hint="eastAsia"/>
        </w:rPr>
        <w:t>（</w:t>
      </w:r>
      <w:r>
        <w:t>2）根据第18.l款确定的审核期限；</w:t>
      </w:r>
    </w:p>
    <w:p>
      <w:pPr>
        <w:jc w:val="left"/>
        <w:rPr>
          <w:rFonts w:hint="eastAsia"/>
        </w:rPr>
      </w:pPr>
      <w:r>
        <w:rPr>
          <w:rFonts w:hint="eastAsia"/>
        </w:rPr>
        <w:t>（</w:t>
      </w:r>
      <w:r>
        <w:t>3）合同中规定的各项检验和试验的顺序和时间安排；</w:t>
      </w:r>
    </w:p>
    <w:p>
      <w:pPr>
        <w:jc w:val="left"/>
        <w:rPr>
          <w:rFonts w:hint="eastAsia"/>
        </w:rPr>
      </w:pPr>
      <w:r>
        <w:rPr>
          <w:rFonts w:hint="eastAsia"/>
        </w:rPr>
        <w:t>（</w:t>
      </w:r>
      <w:r>
        <w:t>4）承包人提交承包人文件（设计文件）的时间计划安排；</w:t>
      </w:r>
    </w:p>
    <w:p>
      <w:pPr>
        <w:jc w:val="left"/>
        <w:rPr>
          <w:rFonts w:hint="eastAsia"/>
        </w:rPr>
      </w:pPr>
      <w:r>
        <w:rPr>
          <w:rFonts w:hint="eastAsia"/>
        </w:rPr>
        <w:t>（</w:t>
      </w:r>
      <w:r>
        <w:t>5）一份支持报告，内容包括：</w:t>
      </w:r>
    </w:p>
    <w:p>
      <w:pPr>
        <w:jc w:val="left"/>
        <w:rPr>
          <w:rFonts w:hint="eastAsia"/>
        </w:rPr>
      </w:pPr>
      <w:r>
        <w:t>i 承包人在工程各主要阶段的实施中拟采用的方法的一般描述；</w:t>
      </w:r>
    </w:p>
    <w:p>
      <w:pPr>
        <w:jc w:val="left"/>
        <w:rPr>
          <w:rFonts w:hint="eastAsia"/>
        </w:rPr>
      </w:pPr>
      <w:r>
        <w:t>ii 各主要阶段配备的各级承包人人员和各类型施工设备的大概数量。</w:t>
      </w:r>
    </w:p>
    <w:p>
      <w:pPr>
        <w:jc w:val="left"/>
        <w:rPr>
          <w:rFonts w:hint="eastAsia"/>
        </w:rPr>
      </w:pPr>
      <w:r>
        <w:rPr>
          <w:rFonts w:hint="eastAsia"/>
        </w:rPr>
        <w:t>除非发包人在收到进度计划后</w:t>
      </w:r>
      <w:r>
        <w:t>14天内向承包人发出通知，指出其中不符合合同要求的部分，否则，承包人即应按照该进度计划，并遵守合同规定的其他义务，进行本合同项下的服务并负责协调其分包商的进度表。</w:t>
      </w:r>
    </w:p>
    <w:p>
      <w:pPr>
        <w:jc w:val="left"/>
        <w:rPr>
          <w:rFonts w:hint="eastAsia"/>
        </w:rPr>
      </w:pPr>
      <w:r>
        <w:rPr>
          <w:rFonts w:hint="eastAsia"/>
        </w:rPr>
        <w:t>进度计划应根据服务的进展情况加以更新，并应酌情写入对延误的分析和加快进度的具体措施。当原定进度计划与实际进度或承包人的义务不相符时，承包人还应提交一份修订的进度计划。承包人应及时将未来可能对工程施工造成不利影响或延误的事件或情况通知发包人。</w:t>
      </w:r>
    </w:p>
    <w:p>
      <w:pPr>
        <w:jc w:val="left"/>
        <w:rPr>
          <w:rFonts w:hint="eastAsia"/>
        </w:rPr>
      </w:pPr>
      <w:r>
        <w:t>10.2.2 承包人应保持并在每月25日前向发包人提供截止本月20日（“月进度报告截止日”）止有关工程建设的最新月进度表（包括关键路径进度表）（简称 “工程进度表”）和反映本合同项下工程实际完成情况的月进度报告（简称 “月进度报告”）。</w:t>
      </w:r>
    </w:p>
    <w:p>
      <w:pPr>
        <w:jc w:val="left"/>
        <w:rPr>
          <w:rFonts w:hint="eastAsia"/>
        </w:rPr>
      </w:pPr>
      <w:r>
        <w:rPr>
          <w:rFonts w:hint="eastAsia"/>
        </w:rPr>
        <w:t>月进度报告应写明以下内容：</w:t>
      </w:r>
    </w:p>
    <w:p>
      <w:pPr>
        <w:jc w:val="left"/>
        <w:rPr>
          <w:rFonts w:hint="eastAsia"/>
        </w:rPr>
      </w:pPr>
      <w:r>
        <w:rPr>
          <w:rFonts w:hint="eastAsia"/>
        </w:rPr>
        <w:t>（</w:t>
      </w:r>
      <w:r>
        <w:t>1）证明至月进度报告截止日止所有应付给分包商的款项均己付清；</w:t>
      </w:r>
    </w:p>
    <w:p>
      <w:pPr>
        <w:jc w:val="left"/>
        <w:rPr>
          <w:rFonts w:hint="eastAsia"/>
        </w:rPr>
      </w:pPr>
      <w:r>
        <w:rPr>
          <w:rFonts w:hint="eastAsia"/>
        </w:rPr>
        <w:t>（</w:t>
      </w:r>
      <w:r>
        <w:t>2）查明并评估在其所进行的服务中存在的问题和不足之处及拟改进的措施与方法；</w:t>
      </w:r>
    </w:p>
    <w:p>
      <w:pPr>
        <w:jc w:val="left"/>
        <w:rPr>
          <w:rFonts w:hint="eastAsia"/>
        </w:rPr>
      </w:pPr>
      <w:r>
        <w:rPr>
          <w:rFonts w:hint="eastAsia"/>
        </w:rPr>
        <w:t>（</w:t>
      </w:r>
      <w:r>
        <w:t>3）详细叙述在月进度报告截止日之前已完成的工程进度及已提供的服务，以及按本合同应得到的款项和已实际获得支付的款项；</w:t>
      </w:r>
    </w:p>
    <w:p>
      <w:pPr>
        <w:jc w:val="left"/>
        <w:rPr>
          <w:rFonts w:hint="eastAsia"/>
        </w:rPr>
      </w:pPr>
      <w:r>
        <w:rPr>
          <w:rFonts w:hint="eastAsia"/>
        </w:rPr>
        <w:t>（</w:t>
      </w:r>
      <w:r>
        <w:t>4）材料和设备的交付情况及检验与验收结果；</w:t>
      </w:r>
    </w:p>
    <w:p>
      <w:pPr>
        <w:jc w:val="left"/>
        <w:rPr>
          <w:rFonts w:hint="eastAsia"/>
        </w:rPr>
      </w:pPr>
      <w:r>
        <w:rPr>
          <w:rFonts w:hint="eastAsia"/>
        </w:rPr>
        <w:t>（</w:t>
      </w:r>
      <w:r>
        <w:t>5）设备及工程的质量情况，如存在质量问题则应包括相应的改进措施及处理方法；</w:t>
      </w:r>
    </w:p>
    <w:p>
      <w:pPr>
        <w:jc w:val="left"/>
        <w:rPr>
          <w:rFonts w:hint="eastAsia"/>
        </w:rPr>
      </w:pPr>
      <w:r>
        <w:rPr>
          <w:rFonts w:hint="eastAsia"/>
        </w:rPr>
        <w:t>（</w:t>
      </w:r>
      <w:r>
        <w:t>6）施工安全情况及重大事故的处理情况；</w:t>
      </w:r>
    </w:p>
    <w:p>
      <w:pPr>
        <w:jc w:val="left"/>
        <w:rPr>
          <w:rFonts w:hint="eastAsia"/>
        </w:rPr>
      </w:pPr>
      <w:r>
        <w:rPr>
          <w:rFonts w:hint="eastAsia"/>
        </w:rPr>
        <w:t>（</w:t>
      </w:r>
      <w:r>
        <w:t>7）所有由设备供应商签发的质量报告及工厂检验与监造情况；及</w:t>
      </w:r>
    </w:p>
    <w:p>
      <w:pPr>
        <w:jc w:val="left"/>
        <w:rPr>
          <w:rFonts w:hint="eastAsia"/>
        </w:rPr>
      </w:pPr>
      <w:r>
        <w:rPr>
          <w:rFonts w:hint="eastAsia"/>
        </w:rPr>
        <w:t>（</w:t>
      </w:r>
      <w:r>
        <w:t>8）发包人合理要求的其他资料。</w:t>
      </w:r>
    </w:p>
    <w:p>
      <w:pPr>
        <w:jc w:val="left"/>
        <w:rPr>
          <w:rFonts w:hint="eastAsia"/>
        </w:rPr>
      </w:pPr>
      <w:r>
        <w:t>10.2.3 任何时候，如果实际工程进度表明工程将不能在合同约定的完工日内完工，或该进度已（或将）落后于根据第10.2款的规定制订的现行进度计划，则除由于第10.4款中列举的原因造成的以外，发包人可指示承包人根据第10.2款的规定提交一份修订的进度计划，以及说明承包人为加快进度使工程在计划完工日内完工，建议采取的修订方法的补充报告。</w:t>
      </w:r>
    </w:p>
    <w:p>
      <w:pPr>
        <w:jc w:val="left"/>
        <w:rPr>
          <w:rFonts w:hint="eastAsia"/>
        </w:rPr>
      </w:pPr>
      <w:r>
        <w:rPr>
          <w:rFonts w:hint="eastAsia"/>
        </w:rPr>
        <w:t>承包人应自行承担实施上述修订方法可能产生的风险和增加的费用。如果修订方法的实施招致发包人发生额外费用，承包人应根据第</w:t>
      </w:r>
      <w:r>
        <w:t>22.1款的规定向发包人进行支付。</w:t>
      </w:r>
    </w:p>
    <w:p>
      <w:pPr>
        <w:pStyle w:val="4"/>
        <w:rPr>
          <w:rFonts w:hint="eastAsia"/>
        </w:rPr>
      </w:pPr>
      <w:bookmarkStart w:id="299" w:name="_Toc120689354"/>
      <w:bookmarkStart w:id="300" w:name="_Toc170377876"/>
      <w:bookmarkStart w:id="301" w:name="_Toc11468"/>
      <w:bookmarkStart w:id="302" w:name="_Toc9324"/>
      <w:r>
        <w:t>10.3 完工日</w:t>
      </w:r>
      <w:bookmarkEnd w:id="299"/>
      <w:bookmarkEnd w:id="300"/>
      <w:bookmarkEnd w:id="301"/>
      <w:bookmarkEnd w:id="302"/>
    </w:p>
    <w:p>
      <w:pPr>
        <w:jc w:val="left"/>
        <w:rPr>
          <w:rFonts w:hint="eastAsia"/>
        </w:rPr>
      </w:pPr>
      <w:r>
        <w:rPr>
          <w:rFonts w:hint="eastAsia"/>
        </w:rPr>
        <w:t>除非合同专用条款另有规定，否则，承包人应保证工程或工程部分在合同约定的完工日或之前达到第</w:t>
      </w:r>
      <w:r>
        <w:t>8条所述的完工条件。</w:t>
      </w:r>
    </w:p>
    <w:p>
      <w:pPr>
        <w:pStyle w:val="4"/>
        <w:rPr>
          <w:rFonts w:hint="eastAsia"/>
        </w:rPr>
      </w:pPr>
      <w:bookmarkStart w:id="303" w:name="_Toc170377877"/>
      <w:bookmarkStart w:id="304" w:name="_Toc25478"/>
      <w:bookmarkStart w:id="305" w:name="_Toc120689355"/>
      <w:bookmarkStart w:id="306" w:name="_Toc28982"/>
      <w:r>
        <w:t>10.4 完工日的延长</w:t>
      </w:r>
      <w:bookmarkEnd w:id="303"/>
      <w:bookmarkEnd w:id="304"/>
      <w:bookmarkEnd w:id="305"/>
      <w:bookmarkEnd w:id="306"/>
    </w:p>
    <w:p>
      <w:pPr>
        <w:jc w:val="left"/>
        <w:rPr>
          <w:rFonts w:hint="eastAsia"/>
        </w:rPr>
      </w:pPr>
      <w:r>
        <w:rPr>
          <w:rFonts w:hint="eastAsia"/>
        </w:rPr>
        <w:t>如由于下列任何原因，致使计划完工日受到或将受到延误，承包人有权按照第</w:t>
      </w:r>
      <w:r>
        <w:t>21款的规定要求延长完工时间，并书面通知发包人：</w:t>
      </w:r>
    </w:p>
    <w:p>
      <w:pPr>
        <w:jc w:val="left"/>
        <w:rPr>
          <w:rFonts w:hint="eastAsia"/>
        </w:rPr>
      </w:pPr>
      <w:r>
        <w:rPr>
          <w:rFonts w:hint="eastAsia"/>
        </w:rPr>
        <w:t>（</w:t>
      </w:r>
      <w:r>
        <w:t>1）发包人作出的重大设计变更（已根据第12.3款的规定商定调整了计划完工日的除外）；</w:t>
      </w:r>
    </w:p>
    <w:p>
      <w:pPr>
        <w:jc w:val="left"/>
        <w:rPr>
          <w:rFonts w:hint="eastAsia"/>
        </w:rPr>
      </w:pPr>
      <w:r>
        <w:rPr>
          <w:rFonts w:hint="eastAsia"/>
        </w:rPr>
        <w:t>（</w:t>
      </w:r>
      <w:r>
        <w:t>2）由发包人、发包人人员或其他由发包人委托的承包人造成或引起的重大延误、妨碍和阻碍；</w:t>
      </w:r>
    </w:p>
    <w:p>
      <w:pPr>
        <w:jc w:val="left"/>
        <w:rPr>
          <w:rFonts w:hint="eastAsia"/>
        </w:rPr>
      </w:pPr>
      <w:r>
        <w:rPr>
          <w:rFonts w:hint="eastAsia"/>
        </w:rPr>
        <w:t>（</w:t>
      </w:r>
      <w:r>
        <w:t>3）根据合同规定，承包人有权获得延长期的其他原因。</w:t>
      </w:r>
    </w:p>
    <w:p>
      <w:pPr>
        <w:jc w:val="left"/>
        <w:rPr>
          <w:rFonts w:hint="eastAsia"/>
        </w:rPr>
      </w:pPr>
      <w:r>
        <w:rPr>
          <w:rFonts w:hint="eastAsia"/>
        </w:rPr>
        <w:t>发包人可对承包人据以要求延长完工日的原因进行调查，在发包人进行调查的同时，承包人应与发包人协商确定克服或缩短实际或预期的延迟时间而应采取的步骤（如有）。承包人应努力执行双方同意的合理步骤，以克服或缩短所述的延期。</w:t>
      </w:r>
    </w:p>
    <w:p>
      <w:pPr>
        <w:pStyle w:val="4"/>
        <w:rPr>
          <w:rFonts w:hint="eastAsia"/>
        </w:rPr>
      </w:pPr>
      <w:bookmarkStart w:id="307" w:name="_Toc170377878"/>
      <w:bookmarkStart w:id="308" w:name="_Toc8787"/>
      <w:bookmarkStart w:id="309" w:name="_Toc120689356"/>
      <w:bookmarkStart w:id="310" w:name="_Toc12754"/>
      <w:r>
        <w:t>10.5 政府部门造成的延误</w:t>
      </w:r>
      <w:bookmarkEnd w:id="307"/>
      <w:bookmarkEnd w:id="308"/>
      <w:bookmarkEnd w:id="309"/>
      <w:bookmarkEnd w:id="310"/>
    </w:p>
    <w:p>
      <w:pPr>
        <w:jc w:val="left"/>
        <w:rPr>
          <w:rFonts w:hint="eastAsia"/>
        </w:rPr>
      </w:pPr>
      <w:r>
        <w:rPr>
          <w:rFonts w:hint="eastAsia"/>
        </w:rPr>
        <w:t>如果因工程所在地政府部门的原因导致计划完工日发生延误，则在符合下列条件的前提下，此类延误将视为本条件上述第</w:t>
      </w:r>
      <w:r>
        <w:t>10.4款（2）项所述的延误原因，承包人有权因此要求延长计划完工日：</w:t>
      </w:r>
    </w:p>
    <w:p>
      <w:pPr>
        <w:jc w:val="left"/>
        <w:rPr>
          <w:rFonts w:hint="eastAsia"/>
        </w:rPr>
      </w:pPr>
      <w:r>
        <w:rPr>
          <w:rFonts w:hint="eastAsia"/>
        </w:rPr>
        <w:t>（</w:t>
      </w:r>
      <w:r>
        <w:t>1）承包人己努力遵守了工程所在地政府部门所制订的制度和程序；</w:t>
      </w:r>
    </w:p>
    <w:p>
      <w:pPr>
        <w:jc w:val="left"/>
        <w:rPr>
          <w:rFonts w:hint="eastAsia"/>
        </w:rPr>
      </w:pPr>
      <w:r>
        <w:rPr>
          <w:rFonts w:hint="eastAsia"/>
        </w:rPr>
        <w:t>（</w:t>
      </w:r>
      <w:r>
        <w:t>2）该政府部门的行为导致承包人的工作受到延误；</w:t>
      </w:r>
    </w:p>
    <w:p>
      <w:pPr>
        <w:jc w:val="left"/>
        <w:rPr>
          <w:rFonts w:hint="eastAsia"/>
        </w:rPr>
      </w:pPr>
      <w:r>
        <w:rPr>
          <w:rFonts w:hint="eastAsia"/>
        </w:rPr>
        <w:t>（</w:t>
      </w:r>
      <w:r>
        <w:t>3）本款（2）项所述的延误是一个有经验的承包人在递交投标文件时无法合理预见的。</w:t>
      </w:r>
    </w:p>
    <w:p>
      <w:pPr>
        <w:pStyle w:val="4"/>
        <w:rPr>
          <w:rFonts w:hint="eastAsia"/>
        </w:rPr>
      </w:pPr>
      <w:bookmarkStart w:id="311" w:name="_Toc120689357"/>
      <w:bookmarkStart w:id="312" w:name="_Toc30892"/>
      <w:bookmarkStart w:id="313" w:name="_Toc170377879"/>
      <w:bookmarkStart w:id="314" w:name="_Toc24004"/>
      <w:r>
        <w:t>10.6 逾期完工违约金</w:t>
      </w:r>
      <w:bookmarkEnd w:id="311"/>
      <w:bookmarkEnd w:id="312"/>
      <w:bookmarkEnd w:id="313"/>
      <w:bookmarkEnd w:id="314"/>
    </w:p>
    <w:p>
      <w:pPr>
        <w:jc w:val="left"/>
        <w:rPr>
          <w:rFonts w:hint="eastAsia"/>
        </w:rPr>
      </w:pPr>
      <w:r>
        <w:rPr>
          <w:rFonts w:hint="eastAsia"/>
        </w:rPr>
        <w:t>如果承包人由于自身原因未能在合同约定的完工日内使工程或其任何部分达到完工条件，承包人应按专用条款的规定向发包人支付逾期完工违约金。</w:t>
      </w:r>
    </w:p>
    <w:p>
      <w:pPr>
        <w:pStyle w:val="4"/>
        <w:rPr>
          <w:rFonts w:hint="eastAsia"/>
        </w:rPr>
      </w:pPr>
      <w:bookmarkStart w:id="315" w:name="_Toc19028"/>
      <w:bookmarkStart w:id="316" w:name="_Toc120689358"/>
      <w:bookmarkStart w:id="317" w:name="_Toc170377880"/>
      <w:bookmarkStart w:id="318" w:name="_Toc10383"/>
      <w:r>
        <w:t>10.7 中止</w:t>
      </w:r>
      <w:bookmarkEnd w:id="315"/>
      <w:bookmarkEnd w:id="316"/>
      <w:bookmarkEnd w:id="317"/>
      <w:bookmarkEnd w:id="318"/>
    </w:p>
    <w:p>
      <w:pPr>
        <w:jc w:val="left"/>
        <w:rPr>
          <w:rFonts w:hint="eastAsia"/>
        </w:rPr>
      </w:pPr>
      <w:r>
        <w:rPr>
          <w:rFonts w:hint="eastAsia"/>
        </w:rPr>
        <w:t>发包人可以随时指示承包人中止工程某一部分或全部的施工。在工程施工中止期间，承包人应承担中止部分工程的保护和保管责任。</w:t>
      </w:r>
    </w:p>
    <w:p>
      <w:pPr>
        <w:jc w:val="left"/>
        <w:rPr>
          <w:rFonts w:hint="eastAsia"/>
        </w:rPr>
      </w:pPr>
      <w:r>
        <w:rPr>
          <w:rFonts w:hint="eastAsia"/>
        </w:rPr>
        <w:t>承包人在收到发包人的上述指示后应立即中止相应部分工程的施工，但应继续完成未予中止的服务。</w:t>
      </w:r>
    </w:p>
    <w:p>
      <w:pPr>
        <w:pStyle w:val="4"/>
        <w:rPr>
          <w:rFonts w:hint="eastAsia"/>
        </w:rPr>
      </w:pPr>
      <w:bookmarkStart w:id="319" w:name="_Toc28784"/>
      <w:bookmarkStart w:id="320" w:name="_Toc120689359"/>
      <w:bookmarkStart w:id="321" w:name="_Toc170377881"/>
      <w:bookmarkStart w:id="322" w:name="_Toc21628"/>
      <w:r>
        <w:t>10.8 中止后果</w:t>
      </w:r>
      <w:bookmarkEnd w:id="319"/>
      <w:bookmarkEnd w:id="320"/>
      <w:bookmarkEnd w:id="321"/>
      <w:bookmarkEnd w:id="322"/>
    </w:p>
    <w:p>
      <w:pPr>
        <w:jc w:val="left"/>
        <w:rPr>
          <w:rFonts w:hint="eastAsia"/>
        </w:rPr>
      </w:pPr>
      <w:r>
        <w:t>10.8.1 如果承包人因执行发包人在上述第10.7款发出的指示，及执行下述第10.10款所述的复工，而遭受工期延误或额外费用支出，承包人有权依本合同第10.4款的规定向发包人发出通知要求延长计划完工日，并要求发包人另行支付因此而引起的额外费用。</w:t>
      </w:r>
    </w:p>
    <w:p>
      <w:pPr>
        <w:jc w:val="left"/>
        <w:rPr>
          <w:rFonts w:hint="eastAsia"/>
        </w:rPr>
      </w:pPr>
      <w:r>
        <w:t>10.8.2 发包人收到承包人发出的要求延长计划完工日和／或支付额外费用的通知后，应就此类事项与承包人进行协商。</w:t>
      </w:r>
    </w:p>
    <w:p>
      <w:pPr>
        <w:jc w:val="left"/>
        <w:rPr>
          <w:rFonts w:hint="eastAsia"/>
        </w:rPr>
      </w:pPr>
      <w:r>
        <w:t>10.8.3 尽管有上述规定，如果发包人的中止指示是由于承包人违反本合同规定或其履行的义务不符合合同要求而作出的，则承包人无权根据本合同提出延长计划完工日和支付额外费用的要求。</w:t>
      </w:r>
    </w:p>
    <w:p>
      <w:pPr>
        <w:jc w:val="left"/>
        <w:rPr>
          <w:rFonts w:hint="eastAsia"/>
        </w:rPr>
      </w:pPr>
      <w:r>
        <w:t>10.8.4 除合同专用条款另有规定外，若承包人未能在收到中止通知后30日内向发包人发出其希望索赔的通知，则承包人将无权获得任何中止费用的支付。</w:t>
      </w:r>
    </w:p>
    <w:p>
      <w:pPr>
        <w:pStyle w:val="4"/>
        <w:rPr>
          <w:rFonts w:hint="eastAsia"/>
        </w:rPr>
      </w:pPr>
      <w:bookmarkStart w:id="323" w:name="_Toc120689360"/>
      <w:bookmarkStart w:id="324" w:name="_Toc8533"/>
      <w:bookmarkStart w:id="325" w:name="_Toc170377882"/>
      <w:bookmarkStart w:id="326" w:name="_Toc823"/>
      <w:r>
        <w:t>10.9 中止时对设备和材料的付款</w:t>
      </w:r>
      <w:bookmarkEnd w:id="323"/>
      <w:bookmarkEnd w:id="324"/>
      <w:bookmarkEnd w:id="325"/>
      <w:bookmarkEnd w:id="326"/>
    </w:p>
    <w:p>
      <w:pPr>
        <w:jc w:val="left"/>
        <w:rPr>
          <w:rFonts w:hint="eastAsia"/>
        </w:rPr>
      </w:pPr>
      <w:r>
        <w:rPr>
          <w:rFonts w:hint="eastAsia"/>
        </w:rPr>
        <w:t>中止期间，承包人有权得到尚末运到工程场地的符合下列条件的设备和（或）材料的价款：</w:t>
      </w:r>
    </w:p>
    <w:p>
      <w:pPr>
        <w:jc w:val="left"/>
        <w:rPr>
          <w:rFonts w:hint="eastAsia"/>
        </w:rPr>
      </w:pPr>
      <w:r>
        <w:rPr>
          <w:rFonts w:hint="eastAsia"/>
        </w:rPr>
        <w:t>（</w:t>
      </w:r>
      <w:r>
        <w:t>l）设备和（或）材料的交付被暂停达到28天以上；且</w:t>
      </w:r>
    </w:p>
    <w:p>
      <w:pPr>
        <w:jc w:val="left"/>
        <w:rPr>
          <w:rFonts w:hint="eastAsia"/>
        </w:rPr>
      </w:pPr>
      <w:r>
        <w:rPr>
          <w:rFonts w:hint="eastAsia"/>
        </w:rPr>
        <w:t>（</w:t>
      </w:r>
      <w:r>
        <w:t>2）承包人已按发包人的指示，标明上述设备和（或）材料为发包人的财产。</w:t>
      </w:r>
    </w:p>
    <w:p>
      <w:pPr>
        <w:jc w:val="left"/>
        <w:rPr>
          <w:rFonts w:hint="eastAsia"/>
        </w:rPr>
      </w:pPr>
      <w:r>
        <w:rPr>
          <w:rFonts w:hint="eastAsia"/>
        </w:rPr>
        <w:t>如属</w:t>
      </w:r>
      <w:r>
        <w:t>10.8.3项目所述情况，则本款不适用。</w:t>
      </w:r>
    </w:p>
    <w:p>
      <w:pPr>
        <w:pStyle w:val="4"/>
        <w:rPr>
          <w:rFonts w:hint="eastAsia"/>
        </w:rPr>
      </w:pPr>
      <w:bookmarkStart w:id="327" w:name="_Toc1962"/>
      <w:bookmarkStart w:id="328" w:name="_Toc120689361"/>
      <w:bookmarkStart w:id="329" w:name="_Toc170377883"/>
      <w:bookmarkStart w:id="330" w:name="_Toc6448"/>
      <w:r>
        <w:t>10.10 复工</w:t>
      </w:r>
      <w:bookmarkEnd w:id="327"/>
      <w:bookmarkEnd w:id="328"/>
      <w:bookmarkEnd w:id="329"/>
      <w:bookmarkEnd w:id="330"/>
    </w:p>
    <w:p>
      <w:pPr>
        <w:jc w:val="left"/>
        <w:rPr>
          <w:rFonts w:hint="eastAsia"/>
        </w:rPr>
      </w:pPr>
      <w:r>
        <w:t>10.10.1</w:t>
      </w:r>
      <w:r>
        <w:tab/>
      </w:r>
      <w:r>
        <w:t>发包人可自行决定接管中止的工程或其任何部分的保护、储存、看管工作，如该工程或其任何部分已由发包人接管，则该工程或其任何部分的损失或损毁风险应转移至发包人。</w:t>
      </w:r>
    </w:p>
    <w:p>
      <w:pPr>
        <w:jc w:val="left"/>
        <w:rPr>
          <w:rFonts w:hint="eastAsia"/>
        </w:rPr>
      </w:pPr>
      <w:r>
        <w:t>10.10.2</w:t>
      </w:r>
      <w:r>
        <w:tab/>
      </w:r>
      <w:r>
        <w:t>在收到发包人复工的许可或命令后，双方应共同对受中止影响的工程。生产设备和材料进行检查。承包人应负责对可能已在中止期间发生的工程和／或其任何部分的磨损、缺陷或损失进行补救。除本合同另有规定外，承包人因中止引起的适当费用，经发包人合理批准后应加入合同价格内。</w:t>
      </w:r>
    </w:p>
    <w:p>
      <w:pPr>
        <w:jc w:val="left"/>
        <w:rPr>
          <w:rFonts w:hint="eastAsia"/>
        </w:rPr>
      </w:pPr>
      <w:r>
        <w:t>10.10.3</w:t>
      </w:r>
      <w:r>
        <w:tab/>
      </w:r>
      <w:r>
        <w:t>若发包人依照本款接管了中止工程的风险和责任，该风险和责任应在承包人收到该部分工程的复工许可或命令后转归承包人承担。</w:t>
      </w:r>
    </w:p>
    <w:p>
      <w:pPr>
        <w:pStyle w:val="4"/>
        <w:rPr>
          <w:rFonts w:hint="eastAsia"/>
        </w:rPr>
      </w:pPr>
      <w:bookmarkStart w:id="331" w:name="_Toc170377884"/>
      <w:bookmarkStart w:id="332" w:name="_Toc120689362"/>
      <w:bookmarkStart w:id="333" w:name="_Toc397"/>
      <w:bookmarkStart w:id="334" w:name="_Toc955"/>
      <w:r>
        <w:t>10.11 中止导致提前终止</w:t>
      </w:r>
      <w:bookmarkEnd w:id="331"/>
      <w:bookmarkEnd w:id="332"/>
      <w:bookmarkEnd w:id="333"/>
      <w:bookmarkEnd w:id="334"/>
    </w:p>
    <w:p>
      <w:pPr>
        <w:jc w:val="left"/>
        <w:rPr>
          <w:rFonts w:hint="eastAsia"/>
        </w:rPr>
      </w:pPr>
      <w:r>
        <w:rPr>
          <w:rFonts w:hint="eastAsia"/>
        </w:rPr>
        <w:t>如果第</w:t>
      </w:r>
      <w:r>
        <w:t>10.7款所述的中止持续达60天，承包人可以向发包人申请复工。如在提出这一要求后30天内，发包人没有发出复工许可，承包人可以通知发包人，将工程受中止影响的部分视为根据第12条规定的删减工程。若整个工程中止持续达120天以上，承包人可以根据第15.1款的规定通知发包人提前终止本合同。</w:t>
      </w:r>
    </w:p>
    <w:p>
      <w:pPr>
        <w:pStyle w:val="3"/>
        <w:spacing w:before="0" w:beforeLines="0" w:after="0" w:afterLines="0" w:line="360" w:lineRule="auto"/>
        <w:rPr>
          <w:rFonts w:hint="eastAsia"/>
          <w:color w:val="auto"/>
          <w:lang w:eastAsia="zh-CN"/>
        </w:rPr>
      </w:pPr>
      <w:bookmarkStart w:id="335" w:name="_Toc170377885"/>
      <w:bookmarkStart w:id="336" w:name="_Toc1394"/>
      <w:bookmarkStart w:id="337" w:name="_Toc120689363"/>
      <w:bookmarkStart w:id="338" w:name="_Toc17891"/>
      <w:r>
        <w:rPr>
          <w:color w:val="auto"/>
          <w:lang w:eastAsia="zh-CN"/>
        </w:rPr>
        <w:t>11. 责任限额</w:t>
      </w:r>
      <w:bookmarkEnd w:id="335"/>
      <w:bookmarkEnd w:id="336"/>
      <w:bookmarkEnd w:id="337"/>
      <w:bookmarkEnd w:id="338"/>
    </w:p>
    <w:p>
      <w:pPr>
        <w:jc w:val="left"/>
        <w:rPr>
          <w:rFonts w:hint="eastAsia"/>
        </w:rPr>
      </w:pPr>
      <w:r>
        <w:rPr>
          <w:rFonts w:hint="eastAsia"/>
        </w:rPr>
        <w:t>在任何情况下，承包人在本合同项下对发包人所负的所有性能保证违约金、逾期完工违约金的总额累计不应超过专用条款所述的限额（以下简称</w:t>
      </w:r>
      <w:r>
        <w:t xml:space="preserve"> “违约金限额”）。本款不得被解释用来限制承包人在本合同项下或与本合同有关的其它义务和责任。该责任限额亦不适用于承包人在本合同履行过程中造成第三方财产或人员伤亡而被要求作出的任何赔偿的责任。</w:t>
      </w:r>
    </w:p>
    <w:p>
      <w:pPr>
        <w:pStyle w:val="3"/>
        <w:spacing w:before="0" w:beforeLines="0" w:after="0" w:afterLines="0" w:line="360" w:lineRule="auto"/>
        <w:rPr>
          <w:rFonts w:hint="eastAsia"/>
          <w:color w:val="auto"/>
          <w:lang w:eastAsia="zh-CN"/>
        </w:rPr>
      </w:pPr>
      <w:bookmarkStart w:id="339" w:name="_Toc31879"/>
      <w:bookmarkStart w:id="340" w:name="_Toc120689364"/>
      <w:bookmarkStart w:id="341" w:name="_Toc170377886"/>
      <w:bookmarkStart w:id="342" w:name="_Toc9348"/>
      <w:r>
        <w:rPr>
          <w:color w:val="auto"/>
          <w:lang w:eastAsia="zh-CN"/>
        </w:rPr>
        <w:t>12. 变更和调整</w:t>
      </w:r>
      <w:bookmarkEnd w:id="339"/>
      <w:bookmarkEnd w:id="340"/>
      <w:bookmarkEnd w:id="341"/>
      <w:bookmarkEnd w:id="342"/>
    </w:p>
    <w:p>
      <w:pPr>
        <w:pStyle w:val="4"/>
        <w:rPr>
          <w:rFonts w:hint="eastAsia"/>
        </w:rPr>
      </w:pPr>
      <w:bookmarkStart w:id="343" w:name="_Toc120689365"/>
      <w:bookmarkStart w:id="344" w:name="_Toc170377887"/>
      <w:bookmarkStart w:id="345" w:name="_Toc18608"/>
      <w:bookmarkStart w:id="346" w:name="_Toc23047"/>
      <w:r>
        <w:t>12.1 变更</w:t>
      </w:r>
      <w:bookmarkEnd w:id="343"/>
      <w:bookmarkEnd w:id="344"/>
      <w:bookmarkEnd w:id="345"/>
      <w:bookmarkEnd w:id="346"/>
    </w:p>
    <w:p>
      <w:pPr>
        <w:jc w:val="left"/>
        <w:rPr>
          <w:rFonts w:hint="eastAsia"/>
        </w:rPr>
      </w:pPr>
      <w:r>
        <w:rPr>
          <w:rFonts w:hint="eastAsia"/>
        </w:rPr>
        <w:t>在颁发性能验收证书前的任何时间，发包人可自行或根据承包人的建议通过发布指示的方式，提出变更。未经发包人的事先同意，承包人不得擅自进行任何变更。</w:t>
      </w:r>
    </w:p>
    <w:p>
      <w:pPr>
        <w:pStyle w:val="4"/>
        <w:rPr>
          <w:rFonts w:hint="eastAsia"/>
        </w:rPr>
      </w:pPr>
      <w:bookmarkStart w:id="347" w:name="_Toc120689366"/>
      <w:bookmarkStart w:id="348" w:name="_Toc25324"/>
      <w:bookmarkStart w:id="349" w:name="_Toc170377888"/>
      <w:bookmarkStart w:id="350" w:name="_Toc17210"/>
      <w:r>
        <w:t>12.2 承包人建议</w:t>
      </w:r>
      <w:bookmarkEnd w:id="347"/>
      <w:bookmarkEnd w:id="348"/>
      <w:bookmarkEnd w:id="349"/>
      <w:bookmarkEnd w:id="350"/>
    </w:p>
    <w:p>
      <w:pPr>
        <w:jc w:val="left"/>
        <w:rPr>
          <w:rFonts w:hint="eastAsia"/>
        </w:rPr>
      </w:pPr>
      <w:r>
        <w:rPr>
          <w:rFonts w:hint="eastAsia"/>
        </w:rPr>
        <w:t>如果承包人认为有必要采取涉及变更的措施，且该措施采取后将加快竣工；或降低发包人的工程施工、维护和运行的费用或给发包人带来其他利益，且不会对工程的性能指标产生不利的影响。</w:t>
      </w:r>
    </w:p>
    <w:p>
      <w:pPr>
        <w:jc w:val="left"/>
        <w:rPr>
          <w:rFonts w:hint="eastAsia"/>
        </w:rPr>
      </w:pPr>
      <w:r>
        <w:rPr>
          <w:rFonts w:hint="eastAsia"/>
        </w:rPr>
        <w:t>承包人可随时向发包人提交书面建议。此类建议一旦经发包人同意或确认，即构成本合同项下的变更，因变更所带来的利益由发包人和承包人共享。</w:t>
      </w:r>
    </w:p>
    <w:p>
      <w:pPr>
        <w:pStyle w:val="4"/>
        <w:rPr>
          <w:rFonts w:hint="eastAsia"/>
        </w:rPr>
      </w:pPr>
      <w:bookmarkStart w:id="351" w:name="_Toc170377889"/>
      <w:bookmarkStart w:id="352" w:name="_Toc120689367"/>
      <w:bookmarkStart w:id="353" w:name="_Toc8000"/>
      <w:bookmarkStart w:id="354" w:name="_Toc12444"/>
      <w:r>
        <w:t>12.3 变更程序</w:t>
      </w:r>
      <w:bookmarkEnd w:id="351"/>
      <w:bookmarkEnd w:id="352"/>
      <w:bookmarkEnd w:id="353"/>
      <w:bookmarkEnd w:id="354"/>
    </w:p>
    <w:p>
      <w:pPr>
        <w:jc w:val="left"/>
        <w:rPr>
          <w:rFonts w:hint="eastAsia"/>
        </w:rPr>
      </w:pPr>
      <w:r>
        <w:t>12.3.1 当发包人决定进行变更时，发包人应向承包人发出一份变更通知（以下简称“变更通知”）。承包人在收到变更通知后应立即进行审议并在7天内以书面形式向发包人提出一份建议书，建议书应包括以下内容：</w:t>
      </w:r>
    </w:p>
    <w:p>
      <w:pPr>
        <w:jc w:val="left"/>
        <w:rPr>
          <w:rFonts w:hint="eastAsia"/>
        </w:rPr>
      </w:pPr>
      <w:r>
        <w:rPr>
          <w:rFonts w:hint="eastAsia"/>
        </w:rPr>
        <w:t>（</w:t>
      </w:r>
      <w:r>
        <w:t>1）对建议的设计和（或）要完成的工作的说明，以及实施的进度计划；</w:t>
      </w:r>
    </w:p>
    <w:p>
      <w:pPr>
        <w:jc w:val="left"/>
        <w:rPr>
          <w:rFonts w:hint="eastAsia"/>
        </w:rPr>
      </w:pPr>
      <w:r>
        <w:rPr>
          <w:rFonts w:hint="eastAsia"/>
        </w:rPr>
        <w:t>（</w:t>
      </w:r>
      <w:r>
        <w:t>2）根据第10.2款和完工时间的要求，承包人对进度计划做出必要修改的建议；</w:t>
      </w:r>
    </w:p>
    <w:p>
      <w:pPr>
        <w:jc w:val="left"/>
        <w:rPr>
          <w:rFonts w:hint="eastAsia"/>
        </w:rPr>
      </w:pPr>
      <w:r>
        <w:rPr>
          <w:rFonts w:hint="eastAsia"/>
        </w:rPr>
        <w:t>（</w:t>
      </w:r>
      <w:r>
        <w:t>3）承包人对调整合同价格的建议；</w:t>
      </w:r>
    </w:p>
    <w:p>
      <w:pPr>
        <w:jc w:val="left"/>
        <w:rPr>
          <w:rFonts w:hint="eastAsia"/>
        </w:rPr>
      </w:pPr>
      <w:r>
        <w:rPr>
          <w:rFonts w:hint="eastAsia"/>
        </w:rPr>
        <w:t>（</w:t>
      </w:r>
      <w:r>
        <w:t>4）该方案对工程性能保证指标中的一项或多项可能产生的影响。</w:t>
      </w:r>
    </w:p>
    <w:p>
      <w:pPr>
        <w:jc w:val="left"/>
        <w:rPr>
          <w:rFonts w:hint="eastAsia"/>
        </w:rPr>
      </w:pPr>
      <w:r>
        <w:t>12.3.2 承包人有合理理由认为需要进行变更时，应及时向发包人提出变更申请。变更申请应包含足够的文件以使发包人能够确定：</w:t>
      </w:r>
    </w:p>
    <w:p>
      <w:pPr>
        <w:jc w:val="left"/>
        <w:rPr>
          <w:rFonts w:hint="eastAsia"/>
        </w:rPr>
      </w:pPr>
      <w:r>
        <w:rPr>
          <w:rFonts w:hint="eastAsia"/>
        </w:rPr>
        <w:t>（</w:t>
      </w:r>
      <w:r>
        <w:t>1）有必要进行此类变更的因素；</w:t>
      </w:r>
    </w:p>
    <w:p>
      <w:pPr>
        <w:jc w:val="left"/>
        <w:rPr>
          <w:rFonts w:hint="eastAsia"/>
        </w:rPr>
      </w:pPr>
      <w:r>
        <w:rPr>
          <w:rFonts w:hint="eastAsia"/>
        </w:rPr>
        <w:t>（</w:t>
      </w:r>
      <w:r>
        <w:t>2）变更对合同价格可能产生的影响；</w:t>
      </w:r>
    </w:p>
    <w:p>
      <w:pPr>
        <w:jc w:val="left"/>
        <w:rPr>
          <w:rFonts w:hint="eastAsia"/>
        </w:rPr>
      </w:pPr>
      <w:r>
        <w:rPr>
          <w:rFonts w:hint="eastAsia"/>
        </w:rPr>
        <w:t>（</w:t>
      </w:r>
      <w:r>
        <w:t>3）变更对进度安排和计划完工日可能产生的影响；及</w:t>
      </w:r>
    </w:p>
    <w:p>
      <w:pPr>
        <w:jc w:val="left"/>
        <w:rPr>
          <w:rFonts w:hint="eastAsia"/>
        </w:rPr>
      </w:pPr>
      <w:r>
        <w:rPr>
          <w:rFonts w:hint="eastAsia"/>
        </w:rPr>
        <w:t>（</w:t>
      </w:r>
      <w:r>
        <w:t>4）发包人就该变更可能要求的其它资料（包括但不限于材料和劳力成本资料）。</w:t>
      </w:r>
    </w:p>
    <w:p>
      <w:pPr>
        <w:jc w:val="left"/>
        <w:rPr>
          <w:rFonts w:hint="eastAsia"/>
        </w:rPr>
      </w:pPr>
      <w:r>
        <w:rPr>
          <w:rFonts w:hint="eastAsia"/>
        </w:rPr>
        <w:t>发包人收到承包人提出的变更申请后，应尽快给予批准、不批准或提出意见的回复。</w:t>
      </w:r>
    </w:p>
    <w:p>
      <w:pPr>
        <w:jc w:val="left"/>
        <w:rPr>
          <w:rFonts w:hint="eastAsia"/>
        </w:rPr>
      </w:pPr>
      <w:r>
        <w:t>12.3.3 如果发包人决定进行前述第12.3.l项或第12.3.2项所述的变更，则应向承包人签发一项要求其进行任何此类变更的指示。</w:t>
      </w:r>
    </w:p>
    <w:p>
      <w:pPr>
        <w:jc w:val="left"/>
        <w:rPr>
          <w:rFonts w:hint="eastAsia"/>
        </w:rPr>
      </w:pPr>
      <w:r>
        <w:rPr>
          <w:rFonts w:hint="eastAsia"/>
        </w:rPr>
        <w:t>承包人应遵守并执行发包人发出的每项变更指示，除非其及时向发包人发出通知，说明（应附详细根据）：（</w:t>
      </w:r>
      <w:r>
        <w:t>1）承包人难以取得变更所需要的设备和材料；（2）变更将降低工程的安全性或适用性；或（3）将对工程的性能指标产生不利的影响。发包人接到此类通知后，应作出取消、确认或改变原指示的决定并通知承包人。</w:t>
      </w:r>
    </w:p>
    <w:p>
      <w:pPr>
        <w:pStyle w:val="4"/>
        <w:rPr>
          <w:rFonts w:hint="eastAsia"/>
        </w:rPr>
      </w:pPr>
      <w:bookmarkStart w:id="355" w:name="_Toc170377890"/>
      <w:bookmarkStart w:id="356" w:name="_Toc120689368"/>
      <w:bookmarkStart w:id="357" w:name="_Toc29597"/>
      <w:bookmarkStart w:id="358" w:name="_Toc23280"/>
      <w:r>
        <w:t>12.4 工期和价格变化</w:t>
      </w:r>
      <w:bookmarkEnd w:id="355"/>
      <w:bookmarkEnd w:id="356"/>
      <w:bookmarkEnd w:id="357"/>
      <w:bookmarkEnd w:id="358"/>
    </w:p>
    <w:p>
      <w:pPr>
        <w:jc w:val="left"/>
        <w:rPr>
          <w:rFonts w:hint="eastAsia"/>
        </w:rPr>
      </w:pPr>
      <w:r>
        <w:t>12.4.1 进度变化</w:t>
      </w:r>
    </w:p>
    <w:p>
      <w:pPr>
        <w:jc w:val="left"/>
        <w:rPr>
          <w:rFonts w:hint="eastAsia"/>
        </w:rPr>
      </w:pPr>
      <w:r>
        <w:rPr>
          <w:rFonts w:hint="eastAsia"/>
        </w:rPr>
        <w:t>对于因变更所引起的工程进度和计划完工日的调整由双方协商确定。</w:t>
      </w:r>
    </w:p>
    <w:p>
      <w:pPr>
        <w:jc w:val="left"/>
        <w:rPr>
          <w:rFonts w:hint="eastAsia"/>
        </w:rPr>
      </w:pPr>
      <w:r>
        <w:t>12.4.2 合同价格变化</w:t>
      </w:r>
    </w:p>
    <w:p>
      <w:pPr>
        <w:jc w:val="left"/>
        <w:rPr>
          <w:rFonts w:hint="eastAsia"/>
        </w:rPr>
      </w:pPr>
      <w:r>
        <w:rPr>
          <w:rFonts w:hint="eastAsia"/>
        </w:rPr>
        <w:t>因发包人要求且超出合同范围和标准的变更引起的合同价格的变化由发包人和承包人按变更的内容和数量，根据下述方法确定，合同专用条款另有规定时除外：</w:t>
      </w:r>
    </w:p>
    <w:p>
      <w:pPr>
        <w:jc w:val="left"/>
        <w:rPr>
          <w:rFonts w:hint="eastAsia"/>
        </w:rPr>
      </w:pPr>
      <w:r>
        <w:rPr>
          <w:rFonts w:hint="eastAsia"/>
        </w:rPr>
        <w:t>（</w:t>
      </w:r>
      <w:r>
        <w:t>l）合同中已有适用于变更工程的价格，按合同已有的价格变更合同价款；</w:t>
      </w:r>
    </w:p>
    <w:p>
      <w:pPr>
        <w:jc w:val="left"/>
        <w:rPr>
          <w:rFonts w:hint="eastAsia"/>
        </w:rPr>
      </w:pPr>
      <w:r>
        <w:rPr>
          <w:rFonts w:hint="eastAsia"/>
        </w:rPr>
        <w:t>（</w:t>
      </w:r>
      <w:r>
        <w:t>2）合同中只有类似于变更工程的价格，参照类似价格变更合同价款；</w:t>
      </w:r>
    </w:p>
    <w:p>
      <w:pPr>
        <w:jc w:val="left"/>
        <w:rPr>
          <w:rFonts w:hint="eastAsia"/>
        </w:rPr>
      </w:pPr>
      <w:r>
        <w:rPr>
          <w:rFonts w:hint="eastAsia"/>
        </w:rPr>
        <w:t>（</w:t>
      </w:r>
      <w:r>
        <w:t>3）合同中没有适用或类似于变更工程的价格，由双方参照项目所在地相关定额规定，协商变更合同价款。</w:t>
      </w:r>
    </w:p>
    <w:p>
      <w:pPr>
        <w:pStyle w:val="4"/>
        <w:rPr>
          <w:rFonts w:hint="eastAsia"/>
        </w:rPr>
      </w:pPr>
      <w:bookmarkStart w:id="359" w:name="_Toc120689369"/>
      <w:bookmarkStart w:id="360" w:name="_Toc170377891"/>
      <w:bookmarkStart w:id="361" w:name="_Toc6956"/>
      <w:bookmarkStart w:id="362" w:name="_Toc31798"/>
      <w:r>
        <w:t>12.5 因法律变更的调整</w:t>
      </w:r>
      <w:bookmarkEnd w:id="359"/>
      <w:bookmarkEnd w:id="360"/>
      <w:bookmarkEnd w:id="361"/>
      <w:bookmarkEnd w:id="362"/>
    </w:p>
    <w:p>
      <w:pPr>
        <w:jc w:val="left"/>
        <w:rPr>
          <w:rFonts w:hint="eastAsia"/>
        </w:rPr>
      </w:pPr>
      <w:r>
        <w:rPr>
          <w:rFonts w:hint="eastAsia"/>
        </w:rPr>
        <w:t>在本合同生效日后，因适用法律的变更而必须进行的任何变更，应被视为本条项下的调整。</w:t>
      </w:r>
    </w:p>
    <w:p>
      <w:pPr>
        <w:jc w:val="left"/>
        <w:rPr>
          <w:rFonts w:hint="eastAsia"/>
        </w:rPr>
      </w:pPr>
      <w:r>
        <w:rPr>
          <w:rFonts w:hint="eastAsia"/>
        </w:rPr>
        <w:t>适用法律如有改变（包括适用新的法律，废除和修改现有法律），对承包人履行合同的义务产生影响时，合同价格应考虑由上述改变造成的任何费用增减，进行相应调整。</w:t>
      </w:r>
    </w:p>
    <w:p>
      <w:pPr>
        <w:jc w:val="left"/>
        <w:rPr>
          <w:rFonts w:hint="eastAsia"/>
        </w:rPr>
      </w:pPr>
      <w:r>
        <w:rPr>
          <w:rFonts w:hint="eastAsia"/>
        </w:rPr>
        <w:t>如果由于法律的改变，使承包人已（或将）遭受延误和（或）已（或将）招致增加费用，承包人应向发包人发出通知，并有权根据第</w:t>
      </w:r>
      <w:r>
        <w:t>21款规定要求延长工期和增加合同价格。</w:t>
      </w:r>
    </w:p>
    <w:p>
      <w:pPr>
        <w:pStyle w:val="4"/>
        <w:rPr>
          <w:rFonts w:hint="eastAsia"/>
        </w:rPr>
      </w:pPr>
      <w:bookmarkStart w:id="363" w:name="_Toc170377892"/>
      <w:bookmarkStart w:id="364" w:name="_Toc13434"/>
      <w:bookmarkStart w:id="365" w:name="_Toc120689370"/>
      <w:bookmarkStart w:id="366" w:name="_Toc4240"/>
      <w:r>
        <w:t>12.6 承包人错误</w:t>
      </w:r>
      <w:bookmarkEnd w:id="363"/>
      <w:bookmarkEnd w:id="364"/>
      <w:bookmarkEnd w:id="365"/>
      <w:bookmarkEnd w:id="366"/>
    </w:p>
    <w:p>
      <w:pPr>
        <w:jc w:val="left"/>
        <w:rPr>
          <w:rFonts w:hint="eastAsia"/>
        </w:rPr>
      </w:pPr>
      <w:r>
        <w:rPr>
          <w:rFonts w:hint="eastAsia"/>
        </w:rPr>
        <w:t>不论合同中是否有任何相反规定，在改正承包人或其分包商履行本合同项下义务时出现的错误、疏漏、瑕疵或缺陷时，发包人将不签发任何变更指示，也不对合同价格、任何计划完工日、进度付款时间表、工程进度表或性能保证指标进行任何调整。</w:t>
      </w:r>
    </w:p>
    <w:p>
      <w:pPr>
        <w:pStyle w:val="4"/>
        <w:rPr>
          <w:rFonts w:hint="eastAsia"/>
        </w:rPr>
      </w:pPr>
      <w:bookmarkStart w:id="367" w:name="_Toc120689371"/>
      <w:bookmarkStart w:id="368" w:name="_Toc32461"/>
      <w:bookmarkStart w:id="369" w:name="_Toc170377893"/>
      <w:bookmarkStart w:id="370" w:name="_Toc8241"/>
      <w:r>
        <w:t>12.7 证明文件</w:t>
      </w:r>
      <w:bookmarkEnd w:id="367"/>
      <w:bookmarkEnd w:id="368"/>
      <w:bookmarkEnd w:id="369"/>
      <w:bookmarkEnd w:id="370"/>
    </w:p>
    <w:p>
      <w:pPr>
        <w:jc w:val="left"/>
        <w:rPr>
          <w:rFonts w:hint="eastAsia"/>
        </w:rPr>
      </w:pPr>
      <w:r>
        <w:rPr>
          <w:rFonts w:hint="eastAsia"/>
        </w:rPr>
        <w:t>承包人因本条项下的变更而要求对合同价格、计划完工日、进度付款进度表、工程进度表、性能保证指标中的一项或多项进行调整时，应向发包人提供充分的证明文件以使发包人能够就该要求的准确性和合理性作出判断。这类证明文件包括分包商提供的发票和承包人对该变更所作的预算及预算的依据。</w:t>
      </w:r>
    </w:p>
    <w:p>
      <w:pPr>
        <w:pStyle w:val="4"/>
        <w:rPr>
          <w:rFonts w:hint="eastAsia"/>
        </w:rPr>
      </w:pPr>
      <w:bookmarkStart w:id="371" w:name="_Toc170377894"/>
      <w:bookmarkStart w:id="372" w:name="_Toc120689372"/>
      <w:bookmarkStart w:id="373" w:name="_Toc19086"/>
      <w:bookmarkStart w:id="374" w:name="_Toc11188"/>
      <w:r>
        <w:t>12.8 争议未决时的义务继续履行</w:t>
      </w:r>
      <w:bookmarkEnd w:id="371"/>
      <w:bookmarkEnd w:id="372"/>
      <w:bookmarkEnd w:id="373"/>
      <w:bookmarkEnd w:id="374"/>
    </w:p>
    <w:p>
      <w:pPr>
        <w:jc w:val="left"/>
        <w:rPr>
          <w:rFonts w:hint="eastAsia"/>
        </w:rPr>
      </w:pPr>
      <w:r>
        <w:rPr>
          <w:rFonts w:hint="eastAsia"/>
        </w:rPr>
        <w:t>根据本第</w:t>
      </w:r>
      <w:r>
        <w:t>12款进行的变更以及根据该变更所作的修改应于变更指示签发之日生效。无论双方是否有争议，承包人均应在发包人签发相应的变更指示后及时履行该变更。在这种情况下，双方应对合同价格或其它因素作出初步调整（如必要时）以反映发包人承认的增减量，争议解决后双方应根据争议解决结果对上述因素做出最终的调整。</w:t>
      </w:r>
    </w:p>
    <w:p>
      <w:pPr>
        <w:pStyle w:val="3"/>
        <w:spacing w:before="0" w:beforeLines="0" w:after="0" w:afterLines="0" w:line="360" w:lineRule="auto"/>
        <w:rPr>
          <w:rFonts w:hint="eastAsia"/>
          <w:color w:val="auto"/>
          <w:lang w:eastAsia="zh-CN"/>
        </w:rPr>
      </w:pPr>
      <w:bookmarkStart w:id="375" w:name="_Toc170377895"/>
      <w:bookmarkStart w:id="376" w:name="_Toc120689373"/>
      <w:bookmarkStart w:id="377" w:name="_Toc24269"/>
      <w:bookmarkStart w:id="378" w:name="_Toc14500"/>
      <w:r>
        <w:rPr>
          <w:color w:val="auto"/>
          <w:lang w:eastAsia="zh-CN"/>
        </w:rPr>
        <w:t>13. 合同价格和付款</w:t>
      </w:r>
      <w:bookmarkEnd w:id="375"/>
      <w:bookmarkEnd w:id="376"/>
      <w:bookmarkEnd w:id="377"/>
      <w:bookmarkEnd w:id="378"/>
    </w:p>
    <w:p>
      <w:pPr>
        <w:pStyle w:val="4"/>
        <w:rPr>
          <w:rFonts w:hint="eastAsia"/>
        </w:rPr>
      </w:pPr>
      <w:bookmarkStart w:id="379" w:name="_Toc120689374"/>
      <w:bookmarkStart w:id="380" w:name="_Toc170377896"/>
      <w:bookmarkStart w:id="381" w:name="_Toc5242"/>
      <w:bookmarkStart w:id="382" w:name="_Toc10075"/>
      <w:r>
        <w:t>13.1 合同价格</w:t>
      </w:r>
      <w:bookmarkEnd w:id="379"/>
      <w:bookmarkEnd w:id="380"/>
      <w:bookmarkEnd w:id="381"/>
      <w:bookmarkEnd w:id="382"/>
    </w:p>
    <w:p>
      <w:pPr>
        <w:jc w:val="left"/>
        <w:rPr>
          <w:rFonts w:hint="eastAsia"/>
        </w:rPr>
      </w:pPr>
      <w:r>
        <w:rPr>
          <w:rFonts w:hint="eastAsia"/>
        </w:rPr>
        <w:t>本合同下工程款的支付应以固定合同价格为基础，除合同另有规定外，合同价格不应因任何原因进行调整。</w:t>
      </w:r>
    </w:p>
    <w:p>
      <w:pPr>
        <w:pStyle w:val="4"/>
        <w:rPr>
          <w:rFonts w:hint="eastAsia"/>
        </w:rPr>
      </w:pPr>
      <w:bookmarkStart w:id="383" w:name="_Toc20834"/>
      <w:bookmarkStart w:id="384" w:name="_Toc120689375"/>
      <w:bookmarkStart w:id="385" w:name="_Toc170377897"/>
      <w:bookmarkStart w:id="386" w:name="_Toc28369"/>
      <w:r>
        <w:t>13.2 预付款</w:t>
      </w:r>
      <w:bookmarkEnd w:id="383"/>
      <w:bookmarkEnd w:id="384"/>
      <w:bookmarkEnd w:id="385"/>
      <w:bookmarkEnd w:id="386"/>
    </w:p>
    <w:p>
      <w:pPr>
        <w:jc w:val="left"/>
        <w:rPr>
          <w:rFonts w:hint="eastAsia"/>
        </w:rPr>
      </w:pPr>
      <w:r>
        <w:rPr>
          <w:rFonts w:hint="eastAsia"/>
        </w:rPr>
        <w:t>发包人应按本款和合同专用条款的约定向承包人支付预付款。预付款包括工程预付款和农民工工资预付款，工程预付款仅应用于承包人与本工程有关的费用，农民工工资预付款拨付至承包人开立的农民工工资专用账户。</w:t>
      </w:r>
    </w:p>
    <w:p>
      <w:pPr>
        <w:pStyle w:val="4"/>
        <w:rPr>
          <w:rFonts w:hint="eastAsia"/>
        </w:rPr>
      </w:pPr>
      <w:bookmarkStart w:id="387" w:name="_Toc170377898"/>
      <w:bookmarkStart w:id="388" w:name="_Toc8530"/>
      <w:bookmarkStart w:id="389" w:name="_Toc120689376"/>
      <w:bookmarkStart w:id="390" w:name="_Toc8463"/>
      <w:r>
        <w:t>13.3 进度付款／里程碑进度付款</w:t>
      </w:r>
      <w:bookmarkEnd w:id="387"/>
      <w:bookmarkEnd w:id="388"/>
      <w:bookmarkEnd w:id="389"/>
      <w:bookmarkEnd w:id="390"/>
    </w:p>
    <w:p>
      <w:pPr>
        <w:jc w:val="left"/>
        <w:rPr>
          <w:rFonts w:hint="eastAsia"/>
        </w:rPr>
      </w:pPr>
      <w:r>
        <w:t>13.3.1 付款进度</w:t>
      </w:r>
    </w:p>
    <w:p>
      <w:pPr>
        <w:jc w:val="left"/>
        <w:rPr>
          <w:rFonts w:hint="eastAsia"/>
        </w:rPr>
      </w:pPr>
      <w:r>
        <w:rPr>
          <w:rFonts w:hint="eastAsia"/>
        </w:rPr>
        <w:t>除专用合同条款另有约定外，发包人应按照附件十付款计划表向承包人支付合同价款。</w:t>
      </w:r>
    </w:p>
    <w:p>
      <w:pPr>
        <w:jc w:val="left"/>
        <w:rPr>
          <w:rFonts w:hint="eastAsia"/>
        </w:rPr>
      </w:pPr>
      <w:r>
        <w:t>13.3.2 进度付款申请单</w:t>
      </w:r>
    </w:p>
    <w:p>
      <w:pPr>
        <w:jc w:val="left"/>
        <w:rPr>
          <w:rFonts w:hint="eastAsia"/>
        </w:rPr>
      </w:pPr>
      <w:r>
        <w:rPr>
          <w:rFonts w:hint="eastAsia"/>
        </w:rPr>
        <w:t>除专用合同条款另有约定外，进度付款申请单应包括下列内容：</w:t>
      </w:r>
    </w:p>
    <w:p>
      <w:pPr>
        <w:jc w:val="left"/>
        <w:rPr>
          <w:rFonts w:hint="eastAsia"/>
        </w:rPr>
      </w:pPr>
      <w:r>
        <w:rPr>
          <w:rFonts w:hint="eastAsia"/>
        </w:rPr>
        <w:t>（</w:t>
      </w:r>
      <w:r>
        <w:t>1）根据付款计划本次可申请支付的进度款金额；</w:t>
      </w:r>
    </w:p>
    <w:p>
      <w:pPr>
        <w:jc w:val="left"/>
        <w:rPr>
          <w:rFonts w:hint="eastAsia"/>
        </w:rPr>
      </w:pPr>
      <w:r>
        <w:rPr>
          <w:rFonts w:hint="eastAsia"/>
        </w:rPr>
        <w:t>（</w:t>
      </w:r>
      <w:r>
        <w:t>2）根据合同约定应增加和扣减的变更金额；</w:t>
      </w:r>
    </w:p>
    <w:p>
      <w:pPr>
        <w:jc w:val="left"/>
        <w:rPr>
          <w:rFonts w:hint="eastAsia"/>
        </w:rPr>
      </w:pPr>
      <w:r>
        <w:rPr>
          <w:rFonts w:hint="eastAsia"/>
        </w:rPr>
        <w:t>（</w:t>
      </w:r>
      <w:r>
        <w:t>3）根据合同约定应支付的预付款和扣减的返还预付款；</w:t>
      </w:r>
    </w:p>
    <w:p>
      <w:pPr>
        <w:jc w:val="left"/>
        <w:rPr>
          <w:rFonts w:hint="eastAsia"/>
        </w:rPr>
      </w:pPr>
      <w:r>
        <w:rPr>
          <w:rFonts w:hint="eastAsia"/>
        </w:rPr>
        <w:t>（</w:t>
      </w:r>
      <w:r>
        <w:t>4）根据合同约定应扣减的质量保证金；</w:t>
      </w:r>
    </w:p>
    <w:p>
      <w:pPr>
        <w:jc w:val="left"/>
        <w:rPr>
          <w:rFonts w:hint="eastAsia"/>
        </w:rPr>
      </w:pPr>
      <w:r>
        <w:rPr>
          <w:rFonts w:hint="eastAsia"/>
        </w:rPr>
        <w:t>（</w:t>
      </w:r>
      <w:r>
        <w:t>5）根据合同约定应增加和扣减的索赔金额；</w:t>
      </w:r>
    </w:p>
    <w:p>
      <w:pPr>
        <w:jc w:val="left"/>
        <w:rPr>
          <w:rFonts w:hint="eastAsia"/>
        </w:rPr>
      </w:pPr>
      <w:r>
        <w:rPr>
          <w:rFonts w:hint="eastAsia"/>
        </w:rPr>
        <w:t>（</w:t>
      </w:r>
      <w:r>
        <w:t>6）对已签发的进度款支付证书中出现错误的修正，应在本次进度付款中支付或扣除的金额；</w:t>
      </w:r>
    </w:p>
    <w:p>
      <w:pPr>
        <w:jc w:val="left"/>
        <w:rPr>
          <w:rFonts w:hint="eastAsia"/>
        </w:rPr>
      </w:pPr>
      <w:r>
        <w:rPr>
          <w:rFonts w:hint="eastAsia"/>
        </w:rPr>
        <w:t>（</w:t>
      </w:r>
      <w:r>
        <w:t>7）根据合同约定应增加和扣减的其他金额。</w:t>
      </w:r>
    </w:p>
    <w:p>
      <w:pPr>
        <w:jc w:val="left"/>
        <w:rPr>
          <w:rFonts w:hint="eastAsia"/>
        </w:rPr>
      </w:pPr>
      <w:r>
        <w:t>13.3.3 申请进度付款</w:t>
      </w:r>
    </w:p>
    <w:p>
      <w:pPr>
        <w:jc w:val="left"/>
        <w:rPr>
          <w:rFonts w:hint="eastAsia"/>
        </w:rPr>
      </w:pPr>
      <w:r>
        <w:rPr>
          <w:rFonts w:hint="eastAsia"/>
        </w:rPr>
        <w:t>承包人应按照附件十的约定向发包人提交进度付款申请单。</w:t>
      </w:r>
    </w:p>
    <w:p>
      <w:pPr>
        <w:jc w:val="left"/>
        <w:rPr>
          <w:rFonts w:hint="eastAsia"/>
        </w:rPr>
      </w:pPr>
      <w:r>
        <w:rPr>
          <w:rFonts w:hint="eastAsia"/>
        </w:rPr>
        <w:t>进度款中的人工费用拨付周期在专用合同条款中约定，最长不超过</w:t>
      </w:r>
      <w:r>
        <w:t>1个月。</w:t>
      </w:r>
    </w:p>
    <w:p>
      <w:pPr>
        <w:jc w:val="left"/>
        <w:rPr>
          <w:rFonts w:hint="eastAsia"/>
        </w:rPr>
      </w:pPr>
      <w:r>
        <w:rPr>
          <w:rFonts w:hint="eastAsia"/>
        </w:rPr>
        <w:t>承包人须按照按时足额保障农民工工资支付的要求，在工程开工前分解预付款、工程开工后分解进度款中的农民工工资份额，及时向发包人申请拨付。承包人申请的工程款（含农民工工资），不应超过预付款金额及当月或累计已完工工程量计量金额。</w:t>
      </w:r>
    </w:p>
    <w:p>
      <w:pPr>
        <w:jc w:val="left"/>
        <w:rPr>
          <w:rFonts w:hint="eastAsia"/>
        </w:rPr>
      </w:pPr>
      <w:r>
        <w:rPr>
          <w:rFonts w:hint="eastAsia"/>
        </w:rPr>
        <w:t>专用条款对进度付款申请单的编制和提交程序另有规定的，按专用条款执行。</w:t>
      </w:r>
    </w:p>
    <w:p>
      <w:pPr>
        <w:jc w:val="left"/>
        <w:rPr>
          <w:rFonts w:hint="eastAsia"/>
        </w:rPr>
      </w:pPr>
      <w:r>
        <w:t>13.3.4 进度款审核和支付</w:t>
      </w:r>
    </w:p>
    <w:p>
      <w:pPr>
        <w:jc w:val="left"/>
        <w:rPr>
          <w:rFonts w:hint="eastAsia"/>
        </w:rPr>
      </w:pPr>
      <w:r>
        <w:rPr>
          <w:rFonts w:hint="eastAsia"/>
        </w:rPr>
        <w:t>（</w:t>
      </w:r>
      <w:r>
        <w:t>1）除专用合同条款另有约定外，发包人应在收到承包人进度付款申请单以及相关资料后7天内完成审查并签发进度款支付证书。</w:t>
      </w:r>
    </w:p>
    <w:p>
      <w:pPr>
        <w:jc w:val="left"/>
        <w:rPr>
          <w:rFonts w:hint="eastAsia"/>
        </w:rPr>
      </w:pPr>
      <w:r>
        <w:rPr>
          <w:rFonts w:hint="eastAsia"/>
        </w:rPr>
        <w:t>发包人对承包人的进度付款申请单有异议的，有权要求承包人修正和提供补充资料，承包人应提交修正后的进度付款申请单。发包人应在收到承包人提交的进度付款申请单及相关资料后</w:t>
      </w:r>
      <w:r>
        <w:t>7天内，向承包人签发无异议部分的临时进度款支付证书。</w:t>
      </w:r>
    </w:p>
    <w:p>
      <w:pPr>
        <w:jc w:val="left"/>
        <w:rPr>
          <w:rFonts w:hint="eastAsia"/>
        </w:rPr>
      </w:pPr>
      <w:r>
        <w:rPr>
          <w:rFonts w:hint="eastAsia"/>
        </w:rPr>
        <w:t>（</w:t>
      </w:r>
      <w:r>
        <w:t>2）除专用合同条款另有约定外，发包人应在进度款支付证书或临时进度款支付证书签发后14天内完成支付，逾期支付进度款的，应按照逾期付款率支付违约金。</w:t>
      </w:r>
    </w:p>
    <w:p>
      <w:pPr>
        <w:jc w:val="left"/>
        <w:rPr>
          <w:rFonts w:hint="eastAsia"/>
        </w:rPr>
      </w:pPr>
      <w:r>
        <w:t>13.3.5 进度付款的修正</w:t>
      </w:r>
    </w:p>
    <w:p>
      <w:pPr>
        <w:jc w:val="left"/>
        <w:rPr>
          <w:rFonts w:hint="eastAsia"/>
        </w:rPr>
      </w:pPr>
      <w:r>
        <w:rPr>
          <w:rFonts w:hint="eastAsia"/>
        </w:rPr>
        <w:t>已签发的进度款支付证书如有错误、遗漏或重复的，发包人和承包人均有权提出修正申请。经发包人和承包人同意的修正金额，应在下期进度付款中支付或扣除。</w:t>
      </w:r>
    </w:p>
    <w:p>
      <w:pPr>
        <w:pStyle w:val="4"/>
        <w:rPr>
          <w:rFonts w:hint="eastAsia"/>
        </w:rPr>
      </w:pPr>
      <w:bookmarkStart w:id="391" w:name="_Toc120689377"/>
      <w:bookmarkStart w:id="392" w:name="_Toc31801"/>
      <w:bookmarkStart w:id="393" w:name="_Toc170377899"/>
      <w:bookmarkStart w:id="394" w:name="_Toc26144"/>
      <w:r>
        <w:t>13.4 延误的付款</w:t>
      </w:r>
      <w:bookmarkEnd w:id="391"/>
      <w:bookmarkEnd w:id="392"/>
      <w:bookmarkEnd w:id="393"/>
      <w:bookmarkEnd w:id="394"/>
    </w:p>
    <w:p>
      <w:pPr>
        <w:jc w:val="left"/>
        <w:rPr>
          <w:rFonts w:hint="eastAsia"/>
        </w:rPr>
      </w:pPr>
      <w:r>
        <w:rPr>
          <w:rFonts w:hint="eastAsia"/>
        </w:rPr>
        <w:t>如果承包人没有在按照第</w:t>
      </w:r>
      <w:r>
        <w:t>13.3款规定的时间收到付款，承包人有权就未付款额按照本合同规定的逾期付款率向发包人收取逾期利息。</w:t>
      </w:r>
    </w:p>
    <w:p>
      <w:pPr>
        <w:pStyle w:val="4"/>
        <w:rPr>
          <w:rFonts w:hint="eastAsia"/>
        </w:rPr>
      </w:pPr>
      <w:bookmarkStart w:id="395" w:name="_Toc12108"/>
      <w:bookmarkStart w:id="396" w:name="_Toc120689378"/>
      <w:bookmarkStart w:id="397" w:name="_Toc170377900"/>
      <w:bookmarkStart w:id="398" w:name="_Toc25213"/>
      <w:r>
        <w:t>13.5 拟用于工程的设备和材料价款的支付</w:t>
      </w:r>
      <w:bookmarkEnd w:id="395"/>
      <w:bookmarkEnd w:id="396"/>
      <w:bookmarkEnd w:id="397"/>
      <w:bookmarkEnd w:id="398"/>
    </w:p>
    <w:p>
      <w:pPr>
        <w:jc w:val="left"/>
        <w:rPr>
          <w:rFonts w:hint="eastAsia"/>
        </w:rPr>
      </w:pPr>
      <w:r>
        <w:rPr>
          <w:rFonts w:hint="eastAsia"/>
        </w:rPr>
        <w:t>见专用条款。</w:t>
      </w:r>
    </w:p>
    <w:p>
      <w:pPr>
        <w:pStyle w:val="4"/>
        <w:rPr>
          <w:rFonts w:hint="eastAsia"/>
        </w:rPr>
      </w:pPr>
      <w:bookmarkStart w:id="399" w:name="_Toc120689379"/>
      <w:bookmarkStart w:id="400" w:name="_Toc170377901"/>
      <w:bookmarkStart w:id="401" w:name="_Toc7918"/>
      <w:bookmarkStart w:id="402" w:name="_Toc11753"/>
      <w:r>
        <w:t>13.6 质保金的扣留及支付</w:t>
      </w:r>
      <w:bookmarkEnd w:id="399"/>
      <w:bookmarkEnd w:id="400"/>
      <w:bookmarkEnd w:id="401"/>
      <w:bookmarkEnd w:id="402"/>
    </w:p>
    <w:p>
      <w:pPr>
        <w:jc w:val="left"/>
        <w:rPr>
          <w:rFonts w:hint="eastAsia"/>
        </w:rPr>
      </w:pPr>
      <w:r>
        <w:rPr>
          <w:rFonts w:hint="eastAsia"/>
        </w:rPr>
        <w:t>发包人在支付进度付款时，将按专用条款规定的比例扣取该期应付款额的一部分作为本合同项下的质保金。</w:t>
      </w:r>
    </w:p>
    <w:p>
      <w:pPr>
        <w:jc w:val="left"/>
        <w:rPr>
          <w:rFonts w:hint="eastAsia"/>
        </w:rPr>
      </w:pPr>
      <w:r>
        <w:rPr>
          <w:rFonts w:hint="eastAsia"/>
        </w:rPr>
        <w:t>发包人应在每台机组的质量保证期满后</w:t>
      </w:r>
      <w:r>
        <w:t>28日内，将该台机组的质保金付给承包人。但如果根据第14条和第8条的规定尚有任何未完成工作，发包人应有权在该项工作完成前，自质保金中扣留完成该工作的估算费用。</w:t>
      </w:r>
    </w:p>
    <w:p>
      <w:pPr>
        <w:pStyle w:val="4"/>
        <w:rPr>
          <w:rFonts w:hint="eastAsia"/>
        </w:rPr>
      </w:pPr>
      <w:bookmarkStart w:id="403" w:name="_Toc170377902"/>
      <w:bookmarkStart w:id="404" w:name="_Toc30954"/>
      <w:bookmarkStart w:id="405" w:name="_Toc120689380"/>
      <w:bookmarkStart w:id="406" w:name="_Toc24718"/>
      <w:r>
        <w:t>13.7 竣工报表</w:t>
      </w:r>
      <w:bookmarkEnd w:id="403"/>
      <w:bookmarkEnd w:id="404"/>
      <w:bookmarkEnd w:id="405"/>
      <w:bookmarkEnd w:id="406"/>
    </w:p>
    <w:p>
      <w:pPr>
        <w:jc w:val="left"/>
        <w:rPr>
          <w:rFonts w:hint="eastAsia"/>
        </w:rPr>
      </w:pPr>
      <w:r>
        <w:rPr>
          <w:rFonts w:hint="eastAsia"/>
        </w:rPr>
        <w:t>承包人应在收到性能验收证书后</w:t>
      </w:r>
      <w:r>
        <w:t>84天内，按照第13.3款的要求，向发包人递交竣工报表并附证明文件，一式六份，竣工报表中应详细列出：</w:t>
      </w:r>
    </w:p>
    <w:p>
      <w:pPr>
        <w:jc w:val="left"/>
        <w:rPr>
          <w:rFonts w:hint="eastAsia"/>
        </w:rPr>
      </w:pPr>
      <w:r>
        <w:rPr>
          <w:rFonts w:hint="eastAsia"/>
        </w:rPr>
        <w:t>（</w:t>
      </w:r>
      <w:r>
        <w:t>1）根据合同完成的所有工作的价值；</w:t>
      </w:r>
    </w:p>
    <w:p>
      <w:pPr>
        <w:jc w:val="left"/>
        <w:rPr>
          <w:rFonts w:hint="eastAsia"/>
        </w:rPr>
      </w:pPr>
      <w:r>
        <w:rPr>
          <w:rFonts w:hint="eastAsia"/>
        </w:rPr>
        <w:t>（</w:t>
      </w:r>
      <w:r>
        <w:t>2）承包人认为应付的任何其他款额；</w:t>
      </w:r>
    </w:p>
    <w:p>
      <w:pPr>
        <w:jc w:val="left"/>
        <w:rPr>
          <w:rFonts w:hint="eastAsia"/>
        </w:rPr>
      </w:pPr>
      <w:r>
        <w:rPr>
          <w:rFonts w:hint="eastAsia"/>
        </w:rPr>
        <w:t>（</w:t>
      </w:r>
      <w:r>
        <w:t>3）承包人认为根据合同规定发包人应向其支付的任何其他款项的估计款额。估计款额在竣工报表中应单独列出。</w:t>
      </w:r>
    </w:p>
    <w:p>
      <w:pPr>
        <w:jc w:val="left"/>
        <w:rPr>
          <w:rFonts w:hint="eastAsia"/>
        </w:rPr>
      </w:pPr>
      <w:r>
        <w:rPr>
          <w:rFonts w:hint="eastAsia"/>
        </w:rPr>
        <w:t>发包人在收到承包人提交的竣工报表后如无异议，应向承包人支付竣工报表中所列的款项。</w:t>
      </w:r>
    </w:p>
    <w:p>
      <w:pPr>
        <w:pStyle w:val="4"/>
        <w:rPr>
          <w:rFonts w:hint="eastAsia"/>
        </w:rPr>
      </w:pPr>
      <w:bookmarkStart w:id="407" w:name="_Toc170377903"/>
      <w:bookmarkStart w:id="408" w:name="_Toc26111"/>
      <w:bookmarkStart w:id="409" w:name="_Toc120689381"/>
      <w:bookmarkStart w:id="410" w:name="_Toc18072"/>
      <w:r>
        <w:t>13.8 提前终止时的付款</w:t>
      </w:r>
      <w:bookmarkEnd w:id="407"/>
      <w:bookmarkEnd w:id="408"/>
      <w:bookmarkEnd w:id="409"/>
      <w:bookmarkEnd w:id="410"/>
    </w:p>
    <w:p>
      <w:pPr>
        <w:jc w:val="left"/>
        <w:rPr>
          <w:rFonts w:hint="eastAsia"/>
        </w:rPr>
      </w:pPr>
      <w:r>
        <w:t>13.8.1 除非本合同因第15.2款所述的原因而提前终止，否则，一旦本合同的全部或部分服务提前终止时，承包人应有权获得下列款项（以下简称“提前终止付款”）；</w:t>
      </w:r>
    </w:p>
    <w:p>
      <w:pPr>
        <w:jc w:val="left"/>
        <w:rPr>
          <w:rFonts w:hint="eastAsia"/>
        </w:rPr>
      </w:pPr>
      <w:r>
        <w:rPr>
          <w:rFonts w:hint="eastAsia"/>
        </w:rPr>
        <w:t>（</w:t>
      </w:r>
      <w:r>
        <w:t xml:space="preserve">l）经一家由发包人选定且承包人合理接受的独立注册会计师事务所审计和认定的、到提前终止日止承包人按本合同要求履行服务时必须且不可避免发生的而发包人以前未予支付的一切费用； </w:t>
      </w:r>
    </w:p>
    <w:p>
      <w:pPr>
        <w:jc w:val="left"/>
        <w:rPr>
          <w:rFonts w:hint="eastAsia"/>
        </w:rPr>
      </w:pPr>
      <w:r>
        <w:rPr>
          <w:rFonts w:hint="eastAsia"/>
        </w:rPr>
        <w:t>（</w:t>
      </w:r>
      <w:r>
        <w:t>2）承包人实际发生的用于购买构成工程一部分的设备、材料、装置或其他必需物品，而又未自发包人处得到实际支付的一切费用，但条件是这些设备、材料、装置或物品应经发包人确认，且其所有权及相应的转让文件应在工程场地一起交付给发包人。</w:t>
      </w:r>
    </w:p>
    <w:p>
      <w:pPr>
        <w:jc w:val="left"/>
        <w:rPr>
          <w:rFonts w:hint="eastAsia"/>
        </w:rPr>
      </w:pPr>
      <w:r>
        <w:rPr>
          <w:rFonts w:hint="eastAsia"/>
        </w:rPr>
        <w:t>承包人应签署并向发包人交付所有文件以使发包人能获得承包人在所有购买订单、担保及其它合同中的所有权利和利益，并以此作为发包人支付提前终止付款的先决条件。</w:t>
      </w:r>
    </w:p>
    <w:p>
      <w:pPr>
        <w:jc w:val="left"/>
        <w:rPr>
          <w:rFonts w:hint="eastAsia"/>
        </w:rPr>
      </w:pPr>
      <w:r>
        <w:t>13.8.2 提前终止付款的核实</w:t>
      </w:r>
    </w:p>
    <w:p>
      <w:pPr>
        <w:jc w:val="left"/>
        <w:rPr>
          <w:rFonts w:hint="eastAsia"/>
        </w:rPr>
      </w:pPr>
      <w:r>
        <w:rPr>
          <w:rFonts w:hint="eastAsia"/>
        </w:rPr>
        <w:t>承包人应在提前终止部分或全部服务后的</w:t>
      </w:r>
      <w:r>
        <w:t>90日内，向发包人提交所有发票和其它证明文件，该类文件应足以使发包人能够核实服务提供的情况和与此相关的承包人费用，并确定应支付的提前终止付款。除非本合同其他条款另有规定，否则提前终止付款不应包括未来预期利润或承包人在提前终止后所购货物的费用。</w:t>
      </w:r>
    </w:p>
    <w:p>
      <w:pPr>
        <w:jc w:val="left"/>
        <w:rPr>
          <w:rFonts w:hint="eastAsia"/>
        </w:rPr>
      </w:pPr>
      <w:r>
        <w:t>13.8.3 提前终止付款的支付</w:t>
      </w:r>
    </w:p>
    <w:p>
      <w:pPr>
        <w:jc w:val="left"/>
        <w:rPr>
          <w:rFonts w:hint="eastAsia"/>
        </w:rPr>
      </w:pPr>
      <w:r>
        <w:rPr>
          <w:rFonts w:hint="eastAsia"/>
        </w:rPr>
        <w:t>发包人应在收到本合同第</w:t>
      </w:r>
      <w:r>
        <w:t>13.8.2款项下要求的文件后30日内， 向承包人支付本合同第13.8.l节所述的提前终止付款，并将履约保函退还承包人。</w:t>
      </w:r>
    </w:p>
    <w:p>
      <w:pPr>
        <w:pStyle w:val="4"/>
        <w:rPr>
          <w:rFonts w:hint="eastAsia"/>
        </w:rPr>
      </w:pPr>
      <w:bookmarkStart w:id="411" w:name="_Toc3217"/>
      <w:bookmarkStart w:id="412" w:name="_Toc120689382"/>
      <w:bookmarkStart w:id="413" w:name="_Toc170377904"/>
      <w:bookmarkStart w:id="414" w:name="_Toc9341"/>
      <w:r>
        <w:t>13.9 工资支付保证金</w:t>
      </w:r>
      <w:bookmarkEnd w:id="411"/>
      <w:bookmarkEnd w:id="412"/>
      <w:bookmarkEnd w:id="413"/>
      <w:bookmarkEnd w:id="414"/>
    </w:p>
    <w:p>
      <w:pPr>
        <w:jc w:val="left"/>
        <w:rPr>
          <w:rFonts w:hint="eastAsia"/>
        </w:rPr>
      </w:pPr>
      <w:r>
        <w:rPr>
          <w:rFonts w:hint="eastAsia"/>
        </w:rPr>
        <w:t>发包人将按专用条款约定从应向承包人支付的合同价款中扣除一定金额作为工资保证金，因承包人欠付承包人人员工资导致纠纷时，发包人有权代承包人向承包人人员支付被拖欠的工资，所需费用从工资保证金中扣除。工资保证金（如有剩余）在工程竣工结算完毕后</w:t>
      </w:r>
      <w:r>
        <w:t>30日内支付给承包人。</w:t>
      </w:r>
    </w:p>
    <w:p>
      <w:pPr>
        <w:pStyle w:val="4"/>
        <w:rPr>
          <w:rFonts w:hint="eastAsia"/>
        </w:rPr>
      </w:pPr>
      <w:bookmarkStart w:id="415" w:name="_Toc29341"/>
      <w:bookmarkStart w:id="416" w:name="_Toc170377905"/>
      <w:bookmarkStart w:id="417" w:name="_Toc120689383"/>
      <w:bookmarkStart w:id="418" w:name="_Toc31988"/>
      <w:r>
        <w:t>13.10 依法扣留</w:t>
      </w:r>
      <w:bookmarkEnd w:id="415"/>
      <w:bookmarkEnd w:id="416"/>
      <w:bookmarkEnd w:id="417"/>
      <w:bookmarkEnd w:id="418"/>
    </w:p>
    <w:p>
      <w:pPr>
        <w:jc w:val="left"/>
        <w:rPr>
          <w:rFonts w:hint="eastAsia"/>
        </w:rPr>
      </w:pPr>
      <w:r>
        <w:rPr>
          <w:rFonts w:hint="eastAsia"/>
        </w:rPr>
        <w:t>在行政司法机关要求时，发包人有权自任何应付款中扣留相应的款项，发包人因此而向承包人少付款项不应构成其在本合同项下的违约事项。</w:t>
      </w:r>
    </w:p>
    <w:p>
      <w:pPr>
        <w:pStyle w:val="4"/>
        <w:rPr>
          <w:rFonts w:hint="eastAsia"/>
        </w:rPr>
      </w:pPr>
      <w:bookmarkStart w:id="419" w:name="_Toc120689384"/>
      <w:bookmarkStart w:id="420" w:name="_Toc2466"/>
      <w:bookmarkStart w:id="421" w:name="_Toc170377906"/>
      <w:bookmarkStart w:id="422" w:name="_Toc30346"/>
      <w:r>
        <w:t>13.11 付款不等于接受</w:t>
      </w:r>
      <w:bookmarkEnd w:id="419"/>
      <w:bookmarkEnd w:id="420"/>
      <w:bookmarkEnd w:id="421"/>
      <w:bookmarkEnd w:id="422"/>
    </w:p>
    <w:p>
      <w:pPr>
        <w:jc w:val="left"/>
        <w:rPr>
          <w:rFonts w:hint="eastAsia"/>
        </w:rPr>
      </w:pPr>
      <w:r>
        <w:rPr>
          <w:rFonts w:hint="eastAsia"/>
        </w:rPr>
        <w:t>发包人根据合同向承包人支付任何款项，不构成对承包人在本合同项下提供的服务的接受，也不解除承包人与此有关的任何义务或责任。</w:t>
      </w:r>
    </w:p>
    <w:p>
      <w:pPr>
        <w:pStyle w:val="4"/>
        <w:rPr>
          <w:rFonts w:hint="eastAsia"/>
        </w:rPr>
      </w:pPr>
      <w:bookmarkStart w:id="423" w:name="_Toc9676"/>
      <w:bookmarkStart w:id="424" w:name="_Toc170377907"/>
      <w:bookmarkStart w:id="425" w:name="_Toc120689385"/>
      <w:bookmarkStart w:id="426" w:name="_Toc13451"/>
      <w:r>
        <w:t>13.12 专用账户</w:t>
      </w:r>
      <w:bookmarkEnd w:id="423"/>
      <w:bookmarkEnd w:id="424"/>
      <w:bookmarkEnd w:id="425"/>
      <w:bookmarkEnd w:id="426"/>
    </w:p>
    <w:p>
      <w:pPr>
        <w:jc w:val="left"/>
        <w:rPr>
          <w:rFonts w:hint="eastAsia"/>
        </w:rPr>
      </w:pPr>
      <w:r>
        <w:rPr>
          <w:rFonts w:hint="eastAsia"/>
        </w:rPr>
        <w:t>发包人根据合同应向承包人支付的合同价款将统一付到承包人为本合同履行所设立的专用账户，该账户由发包人和承包人共同管理。账户中的款项只能为履行本合同之目的而使用且需经发包人同意。如承包人未经发包人同意将专用账户中的款项用于本合同以外的其他目的的，应向发包人支付被挪用款项3</w:t>
      </w:r>
      <w:r>
        <w:t>0%的违约金。</w:t>
      </w:r>
    </w:p>
    <w:p>
      <w:pPr>
        <w:pStyle w:val="4"/>
        <w:rPr>
          <w:rFonts w:hint="eastAsia"/>
        </w:rPr>
      </w:pPr>
      <w:bookmarkStart w:id="427" w:name="_Toc120689386"/>
      <w:bookmarkStart w:id="428" w:name="_Toc170377908"/>
      <w:bookmarkStart w:id="429" w:name="_Toc7979"/>
      <w:r>
        <w:t xml:space="preserve">13.13 </w:t>
      </w:r>
      <w:r>
        <w:rPr>
          <w:rFonts w:hint="eastAsia"/>
        </w:rPr>
        <w:t>涉税事项</w:t>
      </w:r>
      <w:bookmarkEnd w:id="427"/>
      <w:bookmarkEnd w:id="428"/>
      <w:bookmarkEnd w:id="429"/>
    </w:p>
    <w:p>
      <w:pPr>
        <w:jc w:val="left"/>
        <w:rPr>
          <w:rFonts w:hint="eastAsia"/>
        </w:rPr>
      </w:pPr>
      <w:r>
        <w:t>本合同项下增值税税率如遇国家税收政策调整，双方应根据合同执行情况</w:t>
      </w:r>
      <w:r>
        <w:rPr>
          <w:rFonts w:hint="eastAsia"/>
        </w:rPr>
        <w:t>结合增值税纳税义务时间的规定，友好协商对增值税税率的适用做相应的规定。</w:t>
      </w:r>
    </w:p>
    <w:p>
      <w:pPr>
        <w:jc w:val="left"/>
        <w:rPr>
          <w:rFonts w:hint="eastAsia"/>
        </w:rPr>
      </w:pPr>
      <w:r>
        <w:t>乙方按要求需开具销售货物或者提供应税劳务、服务清单的，销售货物或</w:t>
      </w:r>
      <w:r>
        <w:rPr>
          <w:rFonts w:hint="eastAsia"/>
        </w:rPr>
        <w:t>者提供应税劳务、服务清单需通过防伪税控系统开具。</w:t>
      </w:r>
    </w:p>
    <w:p>
      <w:pPr>
        <w:jc w:val="left"/>
        <w:rPr>
          <w:rFonts w:hint="eastAsia"/>
        </w:rPr>
      </w:pPr>
      <w:r>
        <w:t>如果因为乙方未开具增值税发票或者所开具的增值税发票被税务机关或</w:t>
      </w:r>
      <w:r>
        <w:rPr>
          <w:rFonts w:hint="eastAsia"/>
        </w:rPr>
        <w:t>其他国家机关认定不符合相关政策规定，致使甲方被税务机关或其他国家机关补征税款、处以罚款、加收滞纳金的，乙方应承担赔偿责任，包括甲方所承担的所有税款、滞纳金、罚款及</w:t>
      </w:r>
      <w:r>
        <w:t>5%的赔偿款。</w:t>
      </w:r>
    </w:p>
    <w:p>
      <w:pPr>
        <w:pStyle w:val="3"/>
        <w:spacing w:before="0" w:beforeLines="0" w:after="0" w:afterLines="0" w:line="360" w:lineRule="auto"/>
        <w:rPr>
          <w:rFonts w:hint="eastAsia"/>
          <w:color w:val="auto"/>
          <w:lang w:eastAsia="zh-CN"/>
        </w:rPr>
      </w:pPr>
      <w:bookmarkStart w:id="430" w:name="_Toc120689387"/>
      <w:bookmarkStart w:id="431" w:name="_Toc170377909"/>
      <w:bookmarkStart w:id="432" w:name="_Toc14224"/>
      <w:bookmarkStart w:id="433" w:name="_Toc17043"/>
      <w:r>
        <w:rPr>
          <w:color w:val="auto"/>
          <w:lang w:eastAsia="zh-CN"/>
        </w:rPr>
        <w:t>14. 质量保证</w:t>
      </w:r>
      <w:bookmarkEnd w:id="430"/>
      <w:bookmarkEnd w:id="431"/>
      <w:bookmarkEnd w:id="432"/>
      <w:bookmarkEnd w:id="433"/>
    </w:p>
    <w:p>
      <w:pPr>
        <w:pStyle w:val="4"/>
        <w:rPr>
          <w:rFonts w:hint="eastAsia"/>
        </w:rPr>
      </w:pPr>
      <w:bookmarkStart w:id="434" w:name="_Toc29099"/>
      <w:bookmarkStart w:id="435" w:name="_Toc120689388"/>
      <w:bookmarkStart w:id="436" w:name="_Toc170377910"/>
      <w:bookmarkStart w:id="437" w:name="_Toc31474"/>
      <w:r>
        <w:t>14.1 质量保证期和保修期</w:t>
      </w:r>
      <w:bookmarkEnd w:id="434"/>
      <w:bookmarkEnd w:id="435"/>
      <w:bookmarkEnd w:id="436"/>
      <w:bookmarkEnd w:id="437"/>
    </w:p>
    <w:p>
      <w:pPr>
        <w:jc w:val="left"/>
        <w:rPr>
          <w:rFonts w:hint="eastAsia"/>
        </w:rPr>
      </w:pPr>
      <w:r>
        <w:rPr>
          <w:rFonts w:hint="eastAsia"/>
        </w:rPr>
        <w:t>机组的质量保证期为从机组完工日起</w:t>
      </w:r>
      <w:r>
        <w:t>12个月，专有条款另有规定的，按其规定执行。工程保修期按国家规定执行。</w:t>
      </w:r>
    </w:p>
    <w:p>
      <w:pPr>
        <w:pStyle w:val="4"/>
        <w:rPr>
          <w:rFonts w:hint="eastAsia"/>
        </w:rPr>
      </w:pPr>
      <w:bookmarkStart w:id="438" w:name="_Toc120689389"/>
      <w:bookmarkStart w:id="439" w:name="_Toc170377911"/>
      <w:bookmarkStart w:id="440" w:name="_Toc20115"/>
      <w:bookmarkStart w:id="441" w:name="_Toc17600"/>
      <w:r>
        <w:t>14.2 质量保证承诺</w:t>
      </w:r>
      <w:bookmarkEnd w:id="438"/>
      <w:bookmarkEnd w:id="439"/>
      <w:bookmarkEnd w:id="440"/>
      <w:bookmarkEnd w:id="441"/>
    </w:p>
    <w:p>
      <w:pPr>
        <w:jc w:val="left"/>
        <w:rPr>
          <w:rFonts w:hint="eastAsia"/>
        </w:rPr>
      </w:pPr>
      <w:r>
        <w:rPr>
          <w:rFonts w:hint="eastAsia"/>
        </w:rPr>
        <w:t>承包人承诺并保证：</w:t>
      </w:r>
    </w:p>
    <w:p>
      <w:pPr>
        <w:jc w:val="left"/>
        <w:rPr>
          <w:rFonts w:hint="eastAsia"/>
        </w:rPr>
      </w:pPr>
      <w:r>
        <w:t>14.2.1 用于工程的所有设备和材料均为：</w:t>
      </w:r>
    </w:p>
    <w:p>
      <w:pPr>
        <w:jc w:val="left"/>
        <w:rPr>
          <w:rFonts w:hint="eastAsia"/>
        </w:rPr>
      </w:pPr>
      <w:r>
        <w:rPr>
          <w:rFonts w:hint="eastAsia"/>
        </w:rPr>
        <w:t>（</w:t>
      </w:r>
      <w:r>
        <w:t>1）全新的且质量符合本合同要求的；</w:t>
      </w:r>
    </w:p>
    <w:p>
      <w:pPr>
        <w:jc w:val="left"/>
        <w:rPr>
          <w:rFonts w:hint="eastAsia"/>
        </w:rPr>
      </w:pPr>
      <w:r>
        <w:rPr>
          <w:rFonts w:hint="eastAsia"/>
        </w:rPr>
        <w:t>（</w:t>
      </w:r>
      <w:r>
        <w:t>2）适用于本合同既定目的或公认的相应目的的；</w:t>
      </w:r>
    </w:p>
    <w:p>
      <w:pPr>
        <w:jc w:val="left"/>
        <w:rPr>
          <w:rFonts w:hint="eastAsia"/>
        </w:rPr>
      </w:pPr>
      <w:r>
        <w:rPr>
          <w:rFonts w:hint="eastAsia"/>
        </w:rPr>
        <w:t>（</w:t>
      </w:r>
      <w:r>
        <w:t>3）材料和工艺上是没有缺陷的；</w:t>
      </w:r>
    </w:p>
    <w:p>
      <w:pPr>
        <w:jc w:val="left"/>
        <w:rPr>
          <w:rFonts w:hint="eastAsia"/>
        </w:rPr>
      </w:pPr>
      <w:r>
        <w:rPr>
          <w:rFonts w:hint="eastAsia"/>
        </w:rPr>
        <w:t>（</w:t>
      </w:r>
      <w:r>
        <w:t>4）严格遵守本合同要求的。</w:t>
      </w:r>
    </w:p>
    <w:p>
      <w:pPr>
        <w:jc w:val="left"/>
        <w:rPr>
          <w:rFonts w:hint="eastAsia"/>
        </w:rPr>
      </w:pPr>
      <w:r>
        <w:t>14.2.2 工程设计均为：</w:t>
      </w:r>
    </w:p>
    <w:p>
      <w:pPr>
        <w:jc w:val="left"/>
        <w:rPr>
          <w:rFonts w:hint="eastAsia"/>
        </w:rPr>
      </w:pPr>
      <w:r>
        <w:rPr>
          <w:rFonts w:hint="eastAsia"/>
        </w:rPr>
        <w:t>（</w:t>
      </w:r>
      <w:r>
        <w:t>1）适用于本合同既定目的或公认的相应目的的；</w:t>
      </w:r>
    </w:p>
    <w:p>
      <w:pPr>
        <w:jc w:val="left"/>
        <w:rPr>
          <w:rFonts w:hint="eastAsia"/>
        </w:rPr>
      </w:pPr>
      <w:r>
        <w:rPr>
          <w:rFonts w:hint="eastAsia"/>
        </w:rPr>
        <w:t>（</w:t>
      </w:r>
      <w:r>
        <w:t>2）符合良好电业惯例的：</w:t>
      </w:r>
    </w:p>
    <w:p>
      <w:pPr>
        <w:jc w:val="left"/>
        <w:rPr>
          <w:rFonts w:hint="eastAsia"/>
        </w:rPr>
      </w:pPr>
      <w:r>
        <w:rPr>
          <w:rFonts w:hint="eastAsia"/>
        </w:rPr>
        <w:t>（</w:t>
      </w:r>
      <w:r>
        <w:t>3）严格遵守本合同要求的。</w:t>
      </w:r>
    </w:p>
    <w:p>
      <w:pPr>
        <w:pStyle w:val="4"/>
        <w:rPr>
          <w:rFonts w:hint="eastAsia"/>
        </w:rPr>
      </w:pPr>
      <w:bookmarkStart w:id="442" w:name="_Toc18913"/>
      <w:bookmarkStart w:id="443" w:name="_Toc170377912"/>
      <w:bookmarkStart w:id="444" w:name="_Toc120689390"/>
      <w:bookmarkStart w:id="445" w:name="_Toc16003"/>
      <w:r>
        <w:t>14.3 无担保权或债权</w:t>
      </w:r>
      <w:bookmarkEnd w:id="442"/>
      <w:bookmarkEnd w:id="443"/>
      <w:bookmarkEnd w:id="444"/>
      <w:bookmarkEnd w:id="445"/>
    </w:p>
    <w:p>
      <w:pPr>
        <w:jc w:val="left"/>
        <w:rPr>
          <w:rFonts w:hint="eastAsia"/>
        </w:rPr>
      </w:pPr>
      <w:r>
        <w:rPr>
          <w:rFonts w:hint="eastAsia"/>
        </w:rPr>
        <w:t>承包人承诺并保证，其为履行本合同项下服务而提供的所有设备、材料、装置的所有权将按本合同规定完全移交给发包人，并且在进行该等转移时该所有权不附带任何第三方的担保权、债权、追索权或类似的权利主张。在工程或其任何部分按本合同规定移交发包人时，承包人应令发包人满意地保证，承包人或其任何分包商均放弃针对发包人、工程、工程场地、发包人的任何财产设置或保留任何留置权、债权、追索权或其他权利主张。</w:t>
      </w:r>
    </w:p>
    <w:p>
      <w:pPr>
        <w:pStyle w:val="4"/>
        <w:rPr>
          <w:rFonts w:hint="eastAsia"/>
        </w:rPr>
      </w:pPr>
      <w:bookmarkStart w:id="446" w:name="_Toc170377913"/>
      <w:bookmarkStart w:id="447" w:name="_Toc18137"/>
      <w:bookmarkStart w:id="448" w:name="_Toc120689391"/>
      <w:bookmarkStart w:id="449" w:name="_Toc31712"/>
      <w:r>
        <w:t>14.4 保证范围</w:t>
      </w:r>
      <w:bookmarkEnd w:id="446"/>
      <w:bookmarkEnd w:id="447"/>
      <w:bookmarkEnd w:id="448"/>
      <w:bookmarkEnd w:id="449"/>
    </w:p>
    <w:p>
      <w:pPr>
        <w:jc w:val="left"/>
        <w:rPr>
          <w:rFonts w:hint="eastAsia"/>
        </w:rPr>
      </w:pPr>
      <w:r>
        <w:rPr>
          <w:rFonts w:hint="eastAsia"/>
        </w:rPr>
        <w:t>承包人应对质量保证期内发生的属于其责任范围内的工程质量问题进行处理（包括修理、更换或折价处理）。质量保证期内的正常维修以及由于不可抗力或非承包人原因造成的质量问题均不属于质量保证的范围，应由发包人自行处理。</w:t>
      </w:r>
    </w:p>
    <w:p>
      <w:pPr>
        <w:jc w:val="left"/>
        <w:rPr>
          <w:rFonts w:hint="eastAsia"/>
        </w:rPr>
      </w:pPr>
      <w:r>
        <w:rPr>
          <w:rFonts w:hint="eastAsia"/>
        </w:rPr>
        <w:t>发包人在质量保证期内发现因下述原因所引起的任何缺陷时，应以书面形式通知承包人。承包人在收到发包人的通知后应立即对该缺陷部分予以纠正，由此引起的风险和费用应由承包人自行承担：</w:t>
      </w:r>
    </w:p>
    <w:p>
      <w:pPr>
        <w:jc w:val="left"/>
        <w:rPr>
          <w:rFonts w:hint="eastAsia"/>
        </w:rPr>
      </w:pPr>
      <w:r>
        <w:rPr>
          <w:rFonts w:hint="eastAsia"/>
        </w:rPr>
        <w:t>（</w:t>
      </w:r>
      <w:r>
        <w:t>1）工程的设计不完善；</w:t>
      </w:r>
    </w:p>
    <w:p>
      <w:pPr>
        <w:jc w:val="left"/>
        <w:rPr>
          <w:rFonts w:hint="eastAsia"/>
        </w:rPr>
      </w:pPr>
      <w:r>
        <w:rPr>
          <w:rFonts w:hint="eastAsia"/>
        </w:rPr>
        <w:t>（</w:t>
      </w:r>
      <w:r>
        <w:t>2）设备、材料或工艺不符合合同要求；</w:t>
      </w:r>
    </w:p>
    <w:p>
      <w:pPr>
        <w:jc w:val="left"/>
        <w:rPr>
          <w:rFonts w:hint="eastAsia"/>
        </w:rPr>
      </w:pPr>
      <w:r>
        <w:rPr>
          <w:rFonts w:hint="eastAsia"/>
        </w:rPr>
        <w:t>（</w:t>
      </w:r>
      <w:r>
        <w:t>3）由承包人负责的事项产生的不当的操作或维修；</w:t>
      </w:r>
    </w:p>
    <w:p>
      <w:pPr>
        <w:jc w:val="left"/>
        <w:rPr>
          <w:rFonts w:hint="eastAsia"/>
        </w:rPr>
      </w:pPr>
      <w:r>
        <w:rPr>
          <w:rFonts w:hint="eastAsia"/>
        </w:rPr>
        <w:t>（</w:t>
      </w:r>
      <w:r>
        <w:t>4）承包人未能遵守任何其他合同义务。</w:t>
      </w:r>
    </w:p>
    <w:p>
      <w:pPr>
        <w:pStyle w:val="4"/>
        <w:rPr>
          <w:rFonts w:hint="eastAsia"/>
        </w:rPr>
      </w:pPr>
      <w:bookmarkStart w:id="450" w:name="_Toc21627"/>
      <w:bookmarkStart w:id="451" w:name="_Toc170377914"/>
      <w:bookmarkStart w:id="452" w:name="_Toc120689392"/>
      <w:bookmarkStart w:id="453" w:name="_Toc29515"/>
      <w:r>
        <w:t>14.5 质量保证期和保修期的延长</w:t>
      </w:r>
      <w:bookmarkEnd w:id="450"/>
      <w:bookmarkEnd w:id="451"/>
      <w:bookmarkEnd w:id="452"/>
      <w:bookmarkEnd w:id="453"/>
    </w:p>
    <w:p>
      <w:pPr>
        <w:jc w:val="left"/>
        <w:rPr>
          <w:rFonts w:hint="eastAsia"/>
        </w:rPr>
      </w:pPr>
      <w:r>
        <w:rPr>
          <w:rFonts w:hint="eastAsia"/>
        </w:rPr>
        <w:t>在质量保证期或保修期内，如果某项缺陷或损害达到使工程、机组或设备不能按合同要求使用的程度，发包人应有权对工程、机组或设备的保修期或质量保证期提出一个延长期，该延期将不短于上述工程、机组或设备不能按合同要求使用的时间。</w:t>
      </w:r>
    </w:p>
    <w:p>
      <w:pPr>
        <w:jc w:val="left"/>
        <w:rPr>
          <w:rFonts w:hint="eastAsia"/>
        </w:rPr>
      </w:pPr>
      <w:r>
        <w:rPr>
          <w:rFonts w:hint="eastAsia"/>
        </w:rPr>
        <w:t>如工程或其任何部分发生重大缺陷，使工程、机组或某项主要设备无法正常使用，工程、机组或设备的保修期或质量保证期应中断，并从承包人按第</w:t>
      </w:r>
      <w:r>
        <w:t>14.4 款的规定完成缺陷修补之日起重新计算。</w:t>
      </w:r>
    </w:p>
    <w:p>
      <w:pPr>
        <w:pStyle w:val="4"/>
        <w:rPr>
          <w:rFonts w:hint="eastAsia"/>
        </w:rPr>
      </w:pPr>
      <w:bookmarkStart w:id="454" w:name="_Toc120689393"/>
      <w:bookmarkStart w:id="455" w:name="_Toc27243"/>
      <w:bookmarkStart w:id="456" w:name="_Toc170377915"/>
      <w:bookmarkStart w:id="457" w:name="_Toc12345"/>
      <w:r>
        <w:t>14.6 扣除质保金</w:t>
      </w:r>
      <w:bookmarkEnd w:id="454"/>
      <w:bookmarkEnd w:id="455"/>
      <w:bookmarkEnd w:id="456"/>
      <w:bookmarkEnd w:id="457"/>
    </w:p>
    <w:p>
      <w:pPr>
        <w:jc w:val="left"/>
        <w:rPr>
          <w:rFonts w:hint="eastAsia"/>
        </w:rPr>
      </w:pPr>
      <w:r>
        <w:rPr>
          <w:rFonts w:hint="eastAsia"/>
        </w:rPr>
        <w:t>在质量保证期或保修期内，如果承包人未按本条的规定对属于其责任范围内的缺陷进行处理，则发包人有权自行处理该缺陷，由此发生的任何费用将由发包人自质保金中予以支付。如果质保金不足以支付该等费用，则承包人应在收到发包人的要求后7日内予以支付。</w:t>
      </w:r>
    </w:p>
    <w:p>
      <w:pPr>
        <w:pStyle w:val="3"/>
        <w:spacing w:before="0" w:beforeLines="0" w:after="0" w:afterLines="0" w:line="360" w:lineRule="auto"/>
        <w:rPr>
          <w:rFonts w:hint="eastAsia"/>
          <w:color w:val="auto"/>
          <w:lang w:eastAsia="zh-CN"/>
        </w:rPr>
      </w:pPr>
      <w:bookmarkStart w:id="458" w:name="_Toc120689394"/>
      <w:bookmarkStart w:id="459" w:name="_Toc170377916"/>
      <w:bookmarkStart w:id="460" w:name="_Toc18116"/>
      <w:bookmarkStart w:id="461" w:name="_Toc15060"/>
      <w:r>
        <w:rPr>
          <w:color w:val="auto"/>
          <w:lang w:eastAsia="zh-CN"/>
        </w:rPr>
        <w:t>15. 提前终止</w:t>
      </w:r>
      <w:bookmarkEnd w:id="458"/>
      <w:bookmarkEnd w:id="459"/>
      <w:bookmarkEnd w:id="460"/>
      <w:bookmarkEnd w:id="461"/>
    </w:p>
    <w:p>
      <w:pPr>
        <w:pStyle w:val="4"/>
        <w:rPr>
          <w:rFonts w:hint="eastAsia"/>
        </w:rPr>
      </w:pPr>
      <w:bookmarkStart w:id="462" w:name="_Toc1831"/>
      <w:bookmarkStart w:id="463" w:name="_Toc170377917"/>
      <w:bookmarkStart w:id="464" w:name="_Toc120689395"/>
      <w:bookmarkStart w:id="465" w:name="_Toc5631"/>
      <w:r>
        <w:t>15.1 承包人提前终止</w:t>
      </w:r>
      <w:bookmarkEnd w:id="462"/>
      <w:bookmarkEnd w:id="463"/>
      <w:bookmarkEnd w:id="464"/>
      <w:bookmarkEnd w:id="465"/>
    </w:p>
    <w:p>
      <w:pPr>
        <w:jc w:val="left"/>
        <w:rPr>
          <w:rFonts w:hint="eastAsia"/>
        </w:rPr>
      </w:pPr>
      <w:r>
        <w:rPr>
          <w:rFonts w:hint="eastAsia"/>
        </w:rPr>
        <w:t>如果发包人未按第</w:t>
      </w:r>
      <w:r>
        <w:t>13.3 款向承包人支付本合同项下的任何到期应付款项持续达专用条款规定的期限，则承包人可提前28天以书面形式通知发包人，暂停工作，如果发包人在收到该通知后在专用条款规定的补救期内仍未支付上述款项，承包人可提前终止本合同。在这种情况下，发包人应向承包人支付本合同第13.8 款项下规定的款项，条件是承包人应尽最大合理可能减少发包人因按该提前终止而承担的一切费用。</w:t>
      </w:r>
    </w:p>
    <w:p>
      <w:pPr>
        <w:pStyle w:val="4"/>
        <w:rPr>
          <w:rFonts w:hint="eastAsia"/>
        </w:rPr>
      </w:pPr>
      <w:bookmarkStart w:id="466" w:name="_Toc30179"/>
      <w:bookmarkStart w:id="467" w:name="_Toc170377918"/>
      <w:bookmarkStart w:id="468" w:name="_Toc120689396"/>
      <w:bookmarkStart w:id="469" w:name="_Toc5620"/>
      <w:r>
        <w:t>15.2 发包人提前终止</w:t>
      </w:r>
      <w:bookmarkEnd w:id="466"/>
      <w:bookmarkEnd w:id="467"/>
      <w:bookmarkEnd w:id="468"/>
      <w:bookmarkEnd w:id="469"/>
    </w:p>
    <w:p>
      <w:pPr>
        <w:jc w:val="left"/>
        <w:rPr>
          <w:rFonts w:hint="eastAsia"/>
        </w:rPr>
      </w:pPr>
      <w:r>
        <w:rPr>
          <w:rFonts w:hint="eastAsia"/>
        </w:rPr>
        <w:t>如果承包人发生下列情况，则发包人在不妨碍其根据本合同和法律规定所拥有的任何其它权利或补救措施的情况下，可以书面形式要求承包人对该事件进行补救，如果承包人在收到发包人通知后在专用条款规定的补救期内对该事件或行为未进行补救，或如果该事件或行为不能在补救期内合理地得到补救，则发包人可在另行发出通知</w:t>
      </w:r>
      <w:r>
        <w:t>10日后随时提前终止本合同：</w:t>
      </w:r>
    </w:p>
    <w:p>
      <w:pPr>
        <w:jc w:val="left"/>
        <w:rPr>
          <w:rFonts w:hint="eastAsia"/>
        </w:rPr>
      </w:pPr>
      <w:r>
        <w:rPr>
          <w:rFonts w:hint="eastAsia"/>
        </w:rPr>
        <w:t>（</w:t>
      </w:r>
      <w:r>
        <w:t>1）承包人被裁定为破产或无偿付能力；</w:t>
      </w:r>
    </w:p>
    <w:p>
      <w:pPr>
        <w:jc w:val="left"/>
        <w:rPr>
          <w:rFonts w:hint="eastAsia"/>
        </w:rPr>
      </w:pPr>
      <w:r>
        <w:rPr>
          <w:rFonts w:hint="eastAsia"/>
        </w:rPr>
        <w:t>（</w:t>
      </w:r>
      <w:r>
        <w:t>2）承包人为其债权人之利益而进行总体权益转让，以致对承包人履行本合同的能力产生严重不利影响的；</w:t>
      </w:r>
    </w:p>
    <w:p>
      <w:pPr>
        <w:jc w:val="left"/>
        <w:rPr>
          <w:rFonts w:hint="eastAsia"/>
        </w:rPr>
      </w:pPr>
      <w:r>
        <w:rPr>
          <w:rFonts w:hint="eastAsia"/>
        </w:rPr>
        <w:t>（</w:t>
      </w:r>
      <w:r>
        <w:t>3）承包人未能提供足够技术工人或适当的材料或设备，致使对工程的建设产生严重不利影响的；</w:t>
      </w:r>
    </w:p>
    <w:p>
      <w:pPr>
        <w:jc w:val="left"/>
        <w:rPr>
          <w:rFonts w:hint="eastAsia"/>
        </w:rPr>
      </w:pPr>
      <w:r>
        <w:rPr>
          <w:rFonts w:hint="eastAsia"/>
        </w:rPr>
        <w:t>（</w:t>
      </w:r>
      <w:r>
        <w:t>4）承包人未能及时向分包商支付到期的劳务、材料及设备款项，致使对工程的建设产生严重不利影响的；或</w:t>
      </w:r>
    </w:p>
    <w:p>
      <w:pPr>
        <w:jc w:val="left"/>
        <w:rPr>
          <w:rFonts w:hint="eastAsia"/>
        </w:rPr>
      </w:pPr>
      <w:r>
        <w:rPr>
          <w:rFonts w:hint="eastAsia"/>
        </w:rPr>
        <w:t>（</w:t>
      </w:r>
      <w:r>
        <w:t>5）承包人严重违反本合同的其他条款，致使发包人遭受或将遭受严重损失或损害的。</w:t>
      </w:r>
    </w:p>
    <w:p>
      <w:pPr>
        <w:jc w:val="left"/>
        <w:rPr>
          <w:rFonts w:hint="eastAsia"/>
        </w:rPr>
      </w:pPr>
      <w:r>
        <w:rPr>
          <w:rFonts w:hint="eastAsia"/>
        </w:rPr>
        <w:t>如果本合同根据第</w:t>
      </w:r>
      <w:r>
        <w:t>15.2款被提前终止，承包人不应得到任何付款。同时，承包人应向发包人赔偿因该提前终止而遭受的相应损失。</w:t>
      </w:r>
    </w:p>
    <w:p>
      <w:pPr>
        <w:pStyle w:val="4"/>
        <w:rPr>
          <w:rFonts w:hint="eastAsia"/>
        </w:rPr>
      </w:pPr>
      <w:bookmarkStart w:id="470" w:name="_Toc170377919"/>
      <w:bookmarkStart w:id="471" w:name="_Toc120689397"/>
      <w:bookmarkStart w:id="472" w:name="_Toc18801"/>
      <w:bookmarkStart w:id="473" w:name="_Toc6755"/>
      <w:r>
        <w:t>15.3 提前终止的后果</w:t>
      </w:r>
      <w:bookmarkEnd w:id="470"/>
      <w:bookmarkEnd w:id="471"/>
      <w:bookmarkEnd w:id="472"/>
      <w:bookmarkEnd w:id="473"/>
    </w:p>
    <w:p>
      <w:pPr>
        <w:jc w:val="left"/>
        <w:rPr>
          <w:rFonts w:hint="eastAsia"/>
        </w:rPr>
      </w:pPr>
      <w:r>
        <w:rPr>
          <w:rFonts w:hint="eastAsia"/>
        </w:rPr>
        <w:t>本合同提前终止后，承包人应迅速停止所有进一步的工作，但为保护生命、财产和工程的安全而必须进行的工作除外。承包人应在</w:t>
      </w:r>
      <w:r>
        <w:t>30天内向发包人移交其已自发包人获得支付的承包人文件、设备、材料和其他工作，并从工程场地运走除安全需要以外的所有其他货物。</w:t>
      </w:r>
    </w:p>
    <w:p>
      <w:pPr>
        <w:jc w:val="left"/>
        <w:rPr>
          <w:rFonts w:hint="eastAsia"/>
        </w:rPr>
      </w:pPr>
      <w:r>
        <w:rPr>
          <w:rFonts w:hint="eastAsia"/>
        </w:rPr>
        <w:t>根据本条提前终止后，发包人有权继承承包人在其就工程签订的任何合同和分包合同项下的权益，包括所有分包合同、订货单、保证书、担保书及其他合同中承包人的所有权利和利益。在此情况下，承包人应办理有关的转让手续（包括签署转让协议等），以向发包人合法转让其合同权益。</w:t>
      </w:r>
    </w:p>
    <w:p>
      <w:pPr>
        <w:pStyle w:val="4"/>
        <w:rPr>
          <w:rFonts w:hint="eastAsia"/>
        </w:rPr>
      </w:pPr>
      <w:bookmarkStart w:id="474" w:name="_Toc8502"/>
      <w:bookmarkStart w:id="475" w:name="_Toc120689398"/>
      <w:bookmarkStart w:id="476" w:name="_Toc170377920"/>
      <w:bookmarkStart w:id="477" w:name="_Toc5666"/>
      <w:r>
        <w:t>15.4 继续有效的义务</w:t>
      </w:r>
      <w:bookmarkEnd w:id="474"/>
      <w:bookmarkEnd w:id="475"/>
      <w:bookmarkEnd w:id="476"/>
      <w:bookmarkEnd w:id="477"/>
    </w:p>
    <w:p>
      <w:pPr>
        <w:jc w:val="left"/>
        <w:rPr>
          <w:rFonts w:hint="eastAsia"/>
        </w:rPr>
      </w:pPr>
      <w:r>
        <w:rPr>
          <w:rFonts w:hint="eastAsia"/>
        </w:rPr>
        <w:t>合同提前终止不解除双方应承担的保密的义务，也不得解除任何一方履行本合同中明示或默示的在本合同提前终止后继续有效的任何义务；除本合同另有明确规定外，也不得解除任何一方对因该方在上述提前终止前的作为或不作为所引致的或由于该提前终止而对另一方造成的损失或损害所应承担的任何义务或责任，也不得解除承包人对其己履行的服务的各部分所承担的义务或承包人在提前终止日期前产生的义务。</w:t>
      </w:r>
    </w:p>
    <w:p>
      <w:pPr>
        <w:pStyle w:val="3"/>
        <w:spacing w:before="0" w:beforeLines="0" w:after="0" w:afterLines="0" w:line="360" w:lineRule="auto"/>
        <w:rPr>
          <w:rFonts w:hint="eastAsia"/>
          <w:color w:val="auto"/>
          <w:lang w:eastAsia="zh-CN"/>
        </w:rPr>
      </w:pPr>
      <w:bookmarkStart w:id="478" w:name="_Toc120689399"/>
      <w:bookmarkStart w:id="479" w:name="_Toc19851"/>
      <w:bookmarkStart w:id="480" w:name="_Toc170377921"/>
      <w:bookmarkStart w:id="481" w:name="_Toc1527"/>
      <w:r>
        <w:rPr>
          <w:color w:val="auto"/>
          <w:lang w:eastAsia="zh-CN"/>
        </w:rPr>
        <w:t>16. 免责赔偿</w:t>
      </w:r>
      <w:bookmarkEnd w:id="478"/>
      <w:bookmarkEnd w:id="479"/>
      <w:bookmarkEnd w:id="480"/>
      <w:bookmarkEnd w:id="481"/>
    </w:p>
    <w:p>
      <w:pPr>
        <w:jc w:val="left"/>
        <w:rPr>
          <w:rFonts w:hint="eastAsia"/>
        </w:rPr>
      </w:pPr>
      <w:r>
        <w:t>16.1 如果由于承包人履行本合同项下服务的行为导致任何第三方人员的人身伤亡、财产损失或损坏、环境破坏，则承包人应对之负责并保证使发包人免受由此产生的任何索赔、罚款或其他行政处罚，并使发包人免受与此有关的任何诉讼、赔偿请求、费用支出的影响。</w:t>
      </w:r>
    </w:p>
    <w:p>
      <w:pPr>
        <w:jc w:val="left"/>
        <w:rPr>
          <w:rFonts w:hint="eastAsia"/>
        </w:rPr>
      </w:pPr>
      <w:r>
        <w:t>16.2 在工程全部移交发包人后，若因承包人在履行本合同所述任何及所有服务（包括缺陷补救）的行为导致或随后引起任何第三方人员的人身伤亡、财产损失或损坏、环境破坏，承包人应对此承担全部责任，并应保证发包人免受由此产生的任何索赔的损害。</w:t>
      </w:r>
    </w:p>
    <w:p>
      <w:pPr>
        <w:jc w:val="left"/>
        <w:rPr>
          <w:rFonts w:hint="eastAsia"/>
        </w:rPr>
      </w:pPr>
      <w:r>
        <w:t>16.3 在发包人遵守本合同规定的前提下，如果因承包人在履行本合同过程中编制任何设计文件或履行本合同项下任何服务的行为导致其他人的任何专利权、注册商标、著作权或其他知识产权受到侵犯或声称受到侵犯，承包人应保护发包人免受由此产生的任何诉讼、损坏、索赔、要求、损失、费用和开支的损害（包括律师费）。</w:t>
      </w:r>
    </w:p>
    <w:p>
      <w:pPr>
        <w:jc w:val="left"/>
        <w:rPr>
          <w:rFonts w:hint="eastAsia"/>
        </w:rPr>
      </w:pPr>
      <w:r>
        <w:t>16.4 若因发包人提供或指定的任何设计、数据、图纸、技术规范或其它文件或材料而导致其他人的任何专利权、注册商标、版权或其它知识产权受到侵犯或声称受到侵犯，发包人应保护承包人、其雇员、管理人员和分包商免受由此产生的任何诉讼、索赔、要求、损失、费用和开支的损害（包括律师费）。</w:t>
      </w:r>
    </w:p>
    <w:p>
      <w:pPr>
        <w:jc w:val="left"/>
        <w:rPr>
          <w:rFonts w:hint="eastAsia"/>
        </w:rPr>
      </w:pPr>
      <w:r>
        <w:t>16.5 如果发生本款所述的任何诉讼或索赔，则受第三方索赔的一方（以下简称“受害方”）应立即就此向对方（以下简称“损害方”）发出书面通知，损害方可自费并以受害方的名义进行该诉讼或索赔，并为解决此类诉讼或索赔而进行谈判。</w:t>
      </w:r>
    </w:p>
    <w:p>
      <w:pPr>
        <w:jc w:val="left"/>
        <w:rPr>
          <w:rFonts w:hint="eastAsia"/>
        </w:rPr>
      </w:pPr>
      <w:r>
        <w:rPr>
          <w:rFonts w:hint="eastAsia"/>
        </w:rPr>
        <w:t>如果损害方在收到前述通知后</w:t>
      </w:r>
      <w:r>
        <w:t>7日内未能通知受害方其打算处理此类诉讼或索赔，则受害方可自行出面处理，但受害方不能做出不利于此类诉讼或索赔之辩护的承诺。</w:t>
      </w:r>
    </w:p>
    <w:p>
      <w:pPr>
        <w:jc w:val="left"/>
        <w:rPr>
          <w:rFonts w:hint="eastAsia"/>
        </w:rPr>
      </w:pPr>
      <w:r>
        <w:rPr>
          <w:rFonts w:hint="eastAsia"/>
        </w:rPr>
        <w:t>经损害方要求，受害方应在处理此类诉讼或索赔过程中向损害方提供所有所需的帮助，所发生的所有合理费用应由损害方进行补偿。</w:t>
      </w:r>
    </w:p>
    <w:p>
      <w:pPr>
        <w:jc w:val="left"/>
        <w:rPr>
          <w:rFonts w:hint="eastAsia"/>
        </w:rPr>
      </w:pPr>
      <w:r>
        <w:t>16.6 无论本合同其他条款如何规定，在发生本款所述的索赔事项时，受害方应采取所有合理措施以减轻己发生的任何损失或损毁。如果由于受害方未采取此类措施或所采取的此类措施不合理，则因此而增加或扩大的损失或损害或损毁不应由损害方承担。</w:t>
      </w:r>
    </w:p>
    <w:p>
      <w:pPr>
        <w:pStyle w:val="3"/>
        <w:spacing w:before="0" w:beforeLines="0" w:after="0" w:afterLines="0" w:line="360" w:lineRule="auto"/>
        <w:rPr>
          <w:rFonts w:hint="eastAsia"/>
          <w:color w:val="auto"/>
          <w:lang w:eastAsia="zh-CN"/>
        </w:rPr>
      </w:pPr>
      <w:bookmarkStart w:id="482" w:name="_Toc27850"/>
      <w:bookmarkStart w:id="483" w:name="_Toc120689400"/>
      <w:bookmarkStart w:id="484" w:name="_Toc170377922"/>
      <w:bookmarkStart w:id="485" w:name="_Toc21167"/>
      <w:r>
        <w:rPr>
          <w:color w:val="auto"/>
          <w:lang w:eastAsia="zh-CN"/>
        </w:rPr>
        <w:t>17. 保密</w:t>
      </w:r>
      <w:bookmarkEnd w:id="482"/>
      <w:bookmarkEnd w:id="483"/>
      <w:bookmarkEnd w:id="484"/>
      <w:bookmarkEnd w:id="485"/>
    </w:p>
    <w:p>
      <w:pPr>
        <w:pStyle w:val="4"/>
        <w:rPr>
          <w:rFonts w:hint="eastAsia"/>
        </w:rPr>
      </w:pPr>
      <w:bookmarkStart w:id="486" w:name="_Toc120689401"/>
      <w:bookmarkStart w:id="487" w:name="_Toc9411"/>
      <w:bookmarkStart w:id="488" w:name="_Toc170377923"/>
      <w:bookmarkStart w:id="489" w:name="_Toc1935"/>
      <w:r>
        <w:t>17.1 保密资料</w:t>
      </w:r>
      <w:bookmarkEnd w:id="486"/>
      <w:bookmarkEnd w:id="487"/>
      <w:bookmarkEnd w:id="488"/>
      <w:bookmarkEnd w:id="489"/>
    </w:p>
    <w:p>
      <w:pPr>
        <w:jc w:val="left"/>
        <w:rPr>
          <w:rFonts w:hint="eastAsia"/>
        </w:rPr>
      </w:pPr>
      <w:r>
        <w:rPr>
          <w:rFonts w:hint="eastAsia"/>
        </w:rPr>
        <w:t>双方同意对所有从一方（“发出方”）发出被另一方（“接收方”）收到的指明或标明为保密的资料（以下简称“保密资料”）进行保密（包括本合同在内的所有专有或保密的书面资料）。本款不适用于那些尽管有任何专有标识但在提供时已为接收方持有且未被限制披露或限制使用的资料，也不适用于那些在不违反任何法律义务的条件下成为一般公众可获得的资料，以及那些从第三方获得而该第三方并未在披露时提出限制的资料。</w:t>
      </w:r>
    </w:p>
    <w:p>
      <w:pPr>
        <w:pStyle w:val="4"/>
        <w:rPr>
          <w:rFonts w:hint="eastAsia"/>
        </w:rPr>
      </w:pPr>
      <w:bookmarkStart w:id="490" w:name="_Toc29798"/>
      <w:bookmarkStart w:id="491" w:name="_Toc170377924"/>
      <w:bookmarkStart w:id="492" w:name="_Toc120689402"/>
      <w:bookmarkStart w:id="493" w:name="_Toc2248"/>
      <w:r>
        <w:t>17.2 不可披露</w:t>
      </w:r>
      <w:bookmarkEnd w:id="490"/>
      <w:bookmarkEnd w:id="491"/>
      <w:bookmarkEnd w:id="492"/>
      <w:bookmarkEnd w:id="493"/>
    </w:p>
    <w:p>
      <w:pPr>
        <w:jc w:val="left"/>
        <w:rPr>
          <w:rFonts w:hint="eastAsia"/>
        </w:rPr>
      </w:pPr>
      <w:r>
        <w:rPr>
          <w:rFonts w:hint="eastAsia"/>
        </w:rPr>
        <w:t>接收方只能基于履行本合同的目的及按照发出方要求（如有）使用保密资料。未得到发出方的事先书面同意，接收方不得将保密资料以任何形式披露给任何第三方。接收方经发出方同意将保密资料披露给第三方的，接收方应与该第三方签订协议，要求其对保密资料进行保密。</w:t>
      </w:r>
    </w:p>
    <w:p>
      <w:pPr>
        <w:pStyle w:val="4"/>
        <w:rPr>
          <w:rFonts w:hint="eastAsia"/>
        </w:rPr>
      </w:pPr>
      <w:bookmarkStart w:id="494" w:name="_Toc13511"/>
      <w:bookmarkStart w:id="495" w:name="_Toc170377925"/>
      <w:bookmarkStart w:id="496" w:name="_Toc120689403"/>
      <w:bookmarkStart w:id="497" w:name="_Toc4800"/>
      <w:r>
        <w:t>17.3 例外</w:t>
      </w:r>
      <w:bookmarkEnd w:id="494"/>
      <w:bookmarkEnd w:id="495"/>
      <w:bookmarkEnd w:id="496"/>
      <w:bookmarkEnd w:id="497"/>
    </w:p>
    <w:p>
      <w:pPr>
        <w:jc w:val="left"/>
        <w:rPr>
          <w:rFonts w:hint="eastAsia"/>
        </w:rPr>
      </w:pPr>
      <w:r>
        <w:rPr>
          <w:rFonts w:hint="eastAsia"/>
        </w:rPr>
        <w:t>本第</w:t>
      </w:r>
      <w:r>
        <w:t>17条所述的保密责任不适用以下情况：</w:t>
      </w:r>
    </w:p>
    <w:p>
      <w:pPr>
        <w:jc w:val="left"/>
        <w:rPr>
          <w:rFonts w:hint="eastAsia"/>
        </w:rPr>
      </w:pPr>
      <w:r>
        <w:rPr>
          <w:rFonts w:hint="eastAsia"/>
        </w:rPr>
        <w:t>（</w:t>
      </w:r>
      <w:r>
        <w:t>1）当有关政府部门要求时，接收方可将保密资料披露给该政府部门。但在进行此类披露时，接收方应尽可能使披露给政府部门的保密资料被作为机密对待；</w:t>
      </w:r>
    </w:p>
    <w:p>
      <w:pPr>
        <w:jc w:val="left"/>
        <w:rPr>
          <w:rFonts w:hint="eastAsia"/>
        </w:rPr>
      </w:pPr>
      <w:r>
        <w:rPr>
          <w:rFonts w:hint="eastAsia"/>
        </w:rPr>
        <w:t>（</w:t>
      </w:r>
      <w:r>
        <w:t>2）任何法律要求披露的资料，但如果可以只作出部分披露的，则接收方应仅披露该部分的资料；或</w:t>
      </w:r>
    </w:p>
    <w:p>
      <w:pPr>
        <w:jc w:val="left"/>
        <w:rPr>
          <w:rFonts w:hint="eastAsia"/>
        </w:rPr>
      </w:pPr>
      <w:r>
        <w:rPr>
          <w:rFonts w:hint="eastAsia"/>
        </w:rPr>
        <w:t>（</w:t>
      </w:r>
      <w:r>
        <w:t>3）根据法律要求，发包人为获得工程所必需的批准和许可或为机组运行或电网调度管理而向有关部门提交的资料。</w:t>
      </w:r>
    </w:p>
    <w:p>
      <w:pPr>
        <w:pStyle w:val="4"/>
        <w:rPr>
          <w:rFonts w:hint="eastAsia"/>
        </w:rPr>
      </w:pPr>
      <w:bookmarkStart w:id="498" w:name="_Toc25590"/>
      <w:bookmarkStart w:id="499" w:name="_Toc120689404"/>
      <w:bookmarkStart w:id="500" w:name="_Toc170377926"/>
      <w:bookmarkStart w:id="501" w:name="_Toc17501"/>
      <w:r>
        <w:t>17.4 有效期</w:t>
      </w:r>
      <w:bookmarkEnd w:id="498"/>
      <w:bookmarkEnd w:id="499"/>
      <w:bookmarkEnd w:id="500"/>
      <w:bookmarkEnd w:id="501"/>
    </w:p>
    <w:p>
      <w:pPr>
        <w:jc w:val="left"/>
        <w:rPr>
          <w:rFonts w:hint="eastAsia"/>
        </w:rPr>
      </w:pPr>
      <w:r>
        <w:rPr>
          <w:rFonts w:hint="eastAsia"/>
        </w:rPr>
        <w:t>本款的规定的保密义务，在专用条款规定的期限内有效。</w:t>
      </w:r>
    </w:p>
    <w:p>
      <w:pPr>
        <w:pStyle w:val="3"/>
        <w:spacing w:before="0" w:beforeLines="0" w:after="0" w:afterLines="0" w:line="360" w:lineRule="auto"/>
        <w:rPr>
          <w:rFonts w:hint="eastAsia"/>
          <w:color w:val="auto"/>
          <w:lang w:eastAsia="zh-CN"/>
        </w:rPr>
      </w:pPr>
      <w:bookmarkStart w:id="502" w:name="_Toc19170"/>
      <w:bookmarkStart w:id="503" w:name="_Toc170377927"/>
      <w:bookmarkStart w:id="504" w:name="_Toc120689405"/>
      <w:bookmarkStart w:id="505" w:name="_Toc6053"/>
      <w:r>
        <w:rPr>
          <w:color w:val="auto"/>
          <w:lang w:eastAsia="zh-CN"/>
        </w:rPr>
        <w:t>18. 文件资料</w:t>
      </w:r>
      <w:bookmarkEnd w:id="502"/>
      <w:bookmarkEnd w:id="503"/>
      <w:bookmarkEnd w:id="504"/>
      <w:bookmarkEnd w:id="505"/>
    </w:p>
    <w:p>
      <w:pPr>
        <w:pStyle w:val="4"/>
        <w:rPr>
          <w:rFonts w:hint="eastAsia"/>
        </w:rPr>
      </w:pPr>
      <w:bookmarkStart w:id="506" w:name="_Toc120689406"/>
      <w:bookmarkStart w:id="507" w:name="_Toc10340"/>
      <w:bookmarkStart w:id="508" w:name="_Toc170377928"/>
      <w:bookmarkStart w:id="509" w:name="_Toc8545"/>
      <w:r>
        <w:t>18.1 承包人文件</w:t>
      </w:r>
      <w:bookmarkEnd w:id="506"/>
      <w:bookmarkEnd w:id="507"/>
      <w:bookmarkEnd w:id="508"/>
      <w:bookmarkEnd w:id="509"/>
    </w:p>
    <w:p>
      <w:pPr>
        <w:jc w:val="left"/>
        <w:rPr>
          <w:rFonts w:hint="eastAsia"/>
        </w:rPr>
      </w:pPr>
      <w:r>
        <w:t>18.1.1 编制</w:t>
      </w:r>
    </w:p>
    <w:p>
      <w:pPr>
        <w:jc w:val="left"/>
        <w:rPr>
          <w:rFonts w:hint="eastAsia"/>
        </w:rPr>
      </w:pPr>
      <w:r>
        <w:rPr>
          <w:rFonts w:hint="eastAsia"/>
        </w:rPr>
        <w:t>承包人应按本合同规定编制相应的承包人文件，除非合同专用条款中另有说明，承包人文件应使用中文书写。</w:t>
      </w:r>
    </w:p>
    <w:p>
      <w:pPr>
        <w:jc w:val="left"/>
        <w:rPr>
          <w:rFonts w:hint="eastAsia"/>
        </w:rPr>
      </w:pPr>
      <w:r>
        <w:t xml:space="preserve">18.1.2 审核 </w:t>
      </w:r>
    </w:p>
    <w:p>
      <w:pPr>
        <w:jc w:val="left"/>
        <w:rPr>
          <w:rFonts w:hint="eastAsia"/>
        </w:rPr>
      </w:pPr>
      <w:r>
        <w:rPr>
          <w:rFonts w:hint="eastAsia"/>
        </w:rPr>
        <w:t>对于合同中规定的需提交发包人审核的承包人文件，承包人应及时向发包人提交。除非本合同另有说明，发包人对每项承包人文件的审核期不应超过</w:t>
      </w:r>
      <w:r>
        <w:t>7天，从发包人收到承包人文件之日算起。</w:t>
      </w:r>
    </w:p>
    <w:p>
      <w:pPr>
        <w:jc w:val="left"/>
        <w:rPr>
          <w:rFonts w:hint="eastAsia"/>
        </w:rPr>
      </w:pPr>
      <w:r>
        <w:rPr>
          <w:rFonts w:hint="eastAsia"/>
        </w:rPr>
        <w:t>发包人在对承包人文件进行审核的期间内可向承包人发出通知，指出承包人文件不符合合同的规定，并予以说明。如果承包人文件确实不符合，则承包人应自费按照本款对该文件进行修正，并重新上报发包人审核。</w:t>
      </w:r>
    </w:p>
    <w:p>
      <w:pPr>
        <w:jc w:val="left"/>
        <w:rPr>
          <w:rFonts w:hint="eastAsia"/>
        </w:rPr>
      </w:pPr>
      <w:r>
        <w:rPr>
          <w:rFonts w:hint="eastAsia"/>
        </w:rPr>
        <w:t>除双方另有约定外，在任何工程部分的设计和施工的承包人文件的审核期尚未届满前，承包人不得开始该部分工程的施工。</w:t>
      </w:r>
    </w:p>
    <w:p>
      <w:pPr>
        <w:jc w:val="left"/>
        <w:rPr>
          <w:rFonts w:hint="eastAsia"/>
        </w:rPr>
      </w:pPr>
      <w:r>
        <w:t>18.1.3 不免除责任</w:t>
      </w:r>
    </w:p>
    <w:p>
      <w:pPr>
        <w:jc w:val="left"/>
        <w:rPr>
          <w:rFonts w:hint="eastAsia"/>
        </w:rPr>
      </w:pPr>
      <w:r>
        <w:rPr>
          <w:rFonts w:hint="eastAsia"/>
        </w:rPr>
        <w:t>发包人对承包人文件的审核、同意或批准，不免除承包人对承包人文件中的错误、遗漏、不一致、不准确或其他缺陷所需承担的任何责任。</w:t>
      </w:r>
    </w:p>
    <w:p>
      <w:pPr>
        <w:jc w:val="left"/>
        <w:rPr>
          <w:rFonts w:hint="eastAsia"/>
        </w:rPr>
      </w:pPr>
      <w:r>
        <w:t>18.1.4 文件的照管和提供</w:t>
      </w:r>
    </w:p>
    <w:p>
      <w:pPr>
        <w:jc w:val="left"/>
        <w:rPr>
          <w:rFonts w:hint="eastAsia"/>
        </w:rPr>
      </w:pPr>
      <w:r>
        <w:rPr>
          <w:rFonts w:hint="eastAsia"/>
        </w:rPr>
        <w:t>承包人文件均应由承包人保存和照管，直到被发包人接收为止。承包人应按专用条款规定的份数向发包人提供承包人文件。</w:t>
      </w:r>
    </w:p>
    <w:p>
      <w:pPr>
        <w:jc w:val="left"/>
        <w:rPr>
          <w:rFonts w:hint="eastAsia"/>
        </w:rPr>
      </w:pPr>
      <w:r>
        <w:rPr>
          <w:rFonts w:hint="eastAsia"/>
        </w:rPr>
        <w:t>承包人应在工程场地保存一份合同（包括其变更或补充文件）、承包人文件以及根据合同发出的其他往来文书。发包人人员有权在所有合理的时间使用所有这些文件。</w:t>
      </w:r>
    </w:p>
    <w:p>
      <w:pPr>
        <w:jc w:val="left"/>
        <w:rPr>
          <w:rFonts w:hint="eastAsia"/>
        </w:rPr>
      </w:pPr>
      <w:r>
        <w:rPr>
          <w:rFonts w:hint="eastAsia"/>
        </w:rPr>
        <w:t>如果一方发现为实施工程准备的文件中有技术性错误或缺陷，应立即将该错误或缺陷通知另一方。</w:t>
      </w:r>
    </w:p>
    <w:p>
      <w:pPr>
        <w:pStyle w:val="4"/>
        <w:rPr>
          <w:rFonts w:hint="eastAsia"/>
        </w:rPr>
      </w:pPr>
      <w:bookmarkStart w:id="510" w:name="_Toc170377929"/>
      <w:bookmarkStart w:id="511" w:name="_Toc18936"/>
      <w:bookmarkStart w:id="512" w:name="_Toc120689407"/>
      <w:bookmarkStart w:id="513" w:name="_Toc1438"/>
      <w:r>
        <w:t>18.2 发包人文件</w:t>
      </w:r>
      <w:bookmarkEnd w:id="510"/>
      <w:bookmarkEnd w:id="511"/>
      <w:bookmarkEnd w:id="512"/>
      <w:bookmarkEnd w:id="513"/>
    </w:p>
    <w:p>
      <w:pPr>
        <w:jc w:val="left"/>
        <w:rPr>
          <w:rFonts w:hint="eastAsia"/>
        </w:rPr>
      </w:pPr>
      <w:r>
        <w:rPr>
          <w:rFonts w:hint="eastAsia"/>
        </w:rPr>
        <w:t>发包人应及时向承包人提供其根据本合同需向承包人提供的文件和资料，并对其真实性、准确性和完整性负责。</w:t>
      </w:r>
    </w:p>
    <w:p>
      <w:pPr>
        <w:pStyle w:val="4"/>
        <w:rPr>
          <w:rFonts w:hint="eastAsia"/>
        </w:rPr>
      </w:pPr>
      <w:bookmarkStart w:id="514" w:name="_Toc9247"/>
      <w:bookmarkStart w:id="515" w:name="_Toc170377930"/>
      <w:bookmarkStart w:id="516" w:name="_Toc120689408"/>
      <w:bookmarkStart w:id="517" w:name="_Toc28681"/>
      <w:r>
        <w:t>18.3 文件资料的使用</w:t>
      </w:r>
      <w:bookmarkEnd w:id="514"/>
      <w:bookmarkEnd w:id="515"/>
      <w:bookmarkEnd w:id="516"/>
      <w:bookmarkEnd w:id="517"/>
    </w:p>
    <w:p>
      <w:pPr>
        <w:jc w:val="left"/>
        <w:rPr>
          <w:rFonts w:hint="eastAsia"/>
        </w:rPr>
      </w:pPr>
      <w:r>
        <w:t>18.3.1 发包人对由承包人（或以其名义）编制的承包人文件不享有知识产权。但承包人应保证发包人有权为本工程的目的无限期的、可转让的、不排他的、免费的，复制、使用和借阅承包人文件，包括对承包人文件进行修改和使用修改后的承包人文件。</w:t>
      </w:r>
    </w:p>
    <w:p>
      <w:pPr>
        <w:jc w:val="left"/>
        <w:rPr>
          <w:rFonts w:hint="eastAsia"/>
        </w:rPr>
      </w:pPr>
      <w:r>
        <w:rPr>
          <w:rFonts w:hint="eastAsia"/>
        </w:rPr>
        <w:t>未经承包人同意，发包人不得在本款允许的范围以外，为其他目的使用、复制由承包人（或以其名义）编制的承包人文件，或将其转送给第三方。</w:t>
      </w:r>
    </w:p>
    <w:p>
      <w:pPr>
        <w:jc w:val="left"/>
        <w:rPr>
          <w:rFonts w:hint="eastAsia"/>
        </w:rPr>
      </w:pPr>
      <w:r>
        <w:t>18.3.2 承包人对由发包人（或以其名义）编制的发包人文件不享有知识产权。但发包人应保证承包人有权就履行本合同的目的，复制、使用和传送上述文件。除因履行合同的需要外，未经发包人同意，承包人不得使用、复制上述文件，或将其转送给第三方。</w:t>
      </w:r>
    </w:p>
    <w:p>
      <w:pPr>
        <w:pStyle w:val="3"/>
        <w:spacing w:before="0" w:beforeLines="0" w:after="0" w:afterLines="0" w:line="360" w:lineRule="auto"/>
        <w:rPr>
          <w:rFonts w:hint="eastAsia"/>
          <w:color w:val="auto"/>
          <w:lang w:eastAsia="zh-CN"/>
        </w:rPr>
      </w:pPr>
      <w:bookmarkStart w:id="518" w:name="_Toc170377931"/>
      <w:bookmarkStart w:id="519" w:name="_Toc20849"/>
      <w:bookmarkStart w:id="520" w:name="_Toc120689409"/>
      <w:bookmarkStart w:id="521" w:name="_Toc22807"/>
      <w:r>
        <w:rPr>
          <w:color w:val="auto"/>
          <w:lang w:eastAsia="zh-CN"/>
        </w:rPr>
        <w:t>19. 保险</w:t>
      </w:r>
      <w:bookmarkEnd w:id="518"/>
      <w:bookmarkEnd w:id="519"/>
      <w:bookmarkEnd w:id="520"/>
      <w:bookmarkEnd w:id="521"/>
    </w:p>
    <w:p>
      <w:pPr>
        <w:pStyle w:val="4"/>
        <w:rPr>
          <w:rFonts w:hint="eastAsia"/>
        </w:rPr>
      </w:pPr>
      <w:bookmarkStart w:id="522" w:name="_Toc27864"/>
      <w:bookmarkStart w:id="523" w:name="_Toc170377932"/>
      <w:bookmarkStart w:id="524" w:name="_Toc120689410"/>
      <w:bookmarkStart w:id="525" w:name="_Toc7145"/>
      <w:r>
        <w:t>19.1 有关保险的一般要求</w:t>
      </w:r>
      <w:bookmarkEnd w:id="522"/>
      <w:bookmarkEnd w:id="523"/>
      <w:bookmarkEnd w:id="524"/>
      <w:bookmarkEnd w:id="525"/>
    </w:p>
    <w:p>
      <w:pPr>
        <w:jc w:val="left"/>
        <w:rPr>
          <w:rFonts w:hint="eastAsia"/>
        </w:rPr>
      </w:pPr>
      <w:r>
        <w:rPr>
          <w:rFonts w:hint="eastAsia"/>
        </w:rPr>
        <w:t>在不限制承包人在本合同项下的义务和责任的前提下，承包人应以其自身的名义，并在适当情况下以发包人和／或贷款机构共同的名义按本合同规定投保本条所述的相应保险并维持其有效。合同专用条款另有规定时除外。本条所述词语如在本合同中未进行定义，应具有商业保险行业通用的含义。</w:t>
      </w:r>
    </w:p>
    <w:p>
      <w:pPr>
        <w:pStyle w:val="4"/>
        <w:rPr>
          <w:rFonts w:hint="eastAsia"/>
        </w:rPr>
      </w:pPr>
      <w:bookmarkStart w:id="526" w:name="_Toc120689411"/>
      <w:bookmarkStart w:id="527" w:name="_Toc170377933"/>
      <w:bookmarkStart w:id="528" w:name="_Toc27769"/>
      <w:bookmarkStart w:id="529" w:name="_Toc13485"/>
      <w:r>
        <w:t>19.2 建筑和安装工程一切险</w:t>
      </w:r>
      <w:bookmarkEnd w:id="526"/>
      <w:bookmarkEnd w:id="527"/>
      <w:bookmarkEnd w:id="528"/>
      <w:bookmarkEnd w:id="529"/>
    </w:p>
    <w:p>
      <w:pPr>
        <w:jc w:val="left"/>
        <w:rPr>
          <w:rFonts w:hint="eastAsia"/>
        </w:rPr>
      </w:pPr>
      <w:r>
        <w:rPr>
          <w:rFonts w:hint="eastAsia"/>
        </w:rPr>
        <w:t>承包人应购买并在机组完工日前维持建筑和安装工程一切险，专用条款另有约定的除外。建筑和安装工程一切险应包括对构成工程或将构成工程一部分的所有设备、材料、装置或其他物品（无论是在仓库中或是在工程场地中）的下列风险：</w:t>
      </w:r>
    </w:p>
    <w:p>
      <w:pPr>
        <w:jc w:val="left"/>
        <w:rPr>
          <w:rFonts w:hint="eastAsia"/>
        </w:rPr>
      </w:pPr>
      <w:r>
        <w:rPr>
          <w:rFonts w:hint="eastAsia"/>
        </w:rPr>
        <w:t>（</w:t>
      </w:r>
      <w:r>
        <w:t>1）直接因某些风险而对机组（包括为承包人承建的工程而提供设备的分包商或第三方）造成实质上的损失和损害，包括火灾、暴风、冰雹、爆炸、暴动及内乱、野蛮行为、恶意行为及飞行物或交通工具造成的损害。洪水、地震、倒坍；</w:t>
      </w:r>
    </w:p>
    <w:p>
      <w:pPr>
        <w:jc w:val="left"/>
        <w:rPr>
          <w:rFonts w:hint="eastAsia"/>
        </w:rPr>
      </w:pPr>
      <w:r>
        <w:rPr>
          <w:rFonts w:hint="eastAsia"/>
        </w:rPr>
        <w:t>（</w:t>
      </w:r>
      <w:r>
        <w:t>2）机组启动或调试期间发生的整体的机械和电气故障的风险；同时，该等保险也应保护发包人和／或承包人不因履行本合同时造成的对第三方的人身伤害、死亡和／或第三方财产损失而被要求索赔。</w:t>
      </w:r>
    </w:p>
    <w:p>
      <w:pPr>
        <w:pStyle w:val="4"/>
        <w:rPr>
          <w:rFonts w:hint="eastAsia"/>
        </w:rPr>
      </w:pPr>
      <w:bookmarkStart w:id="530" w:name="_Toc1096"/>
      <w:bookmarkStart w:id="531" w:name="_Toc120689412"/>
      <w:bookmarkStart w:id="532" w:name="_Toc170377934"/>
      <w:bookmarkStart w:id="533" w:name="_Toc29992"/>
      <w:r>
        <w:t>19.3 货物运输保险</w:t>
      </w:r>
      <w:bookmarkEnd w:id="530"/>
      <w:bookmarkEnd w:id="531"/>
      <w:bookmarkEnd w:id="532"/>
      <w:bookmarkEnd w:id="533"/>
    </w:p>
    <w:p>
      <w:pPr>
        <w:jc w:val="left"/>
        <w:rPr>
          <w:rFonts w:hint="eastAsia"/>
        </w:rPr>
      </w:pPr>
      <w:r>
        <w:rPr>
          <w:rFonts w:hint="eastAsia"/>
        </w:rPr>
        <w:t>在不限制承包人在合同项下的义务和责任的情况下，承包人应自费以发包人作为共同受益人投保所有为工程采购的设备、材料或其他物品在运抵工程场地之前的所有保险。货物运输保险的投保范围应包括属于工程或将构成工程一部分的所有设备（但不包括施工设备）自离开分包商的场所至运抵并卸至工程场地为止通常应投保的所有损失或损毁风险，包括禁运、战争、罢工、暴动和民众骚乱。</w:t>
      </w:r>
    </w:p>
    <w:p>
      <w:pPr>
        <w:pStyle w:val="4"/>
        <w:rPr>
          <w:rFonts w:hint="eastAsia"/>
        </w:rPr>
      </w:pPr>
      <w:bookmarkStart w:id="534" w:name="_Toc170377935"/>
      <w:bookmarkStart w:id="535" w:name="_Toc120689413"/>
      <w:bookmarkStart w:id="536" w:name="_Toc5178"/>
      <w:bookmarkStart w:id="537" w:name="_Toc18453"/>
      <w:r>
        <w:t>19.4 雇主责任险</w:t>
      </w:r>
      <w:bookmarkEnd w:id="534"/>
      <w:bookmarkEnd w:id="535"/>
      <w:bookmarkEnd w:id="536"/>
      <w:bookmarkEnd w:id="537"/>
    </w:p>
    <w:p>
      <w:pPr>
        <w:jc w:val="left"/>
        <w:rPr>
          <w:rFonts w:hint="eastAsia"/>
        </w:rPr>
      </w:pPr>
      <w:r>
        <w:rPr>
          <w:rFonts w:hint="eastAsia"/>
        </w:rPr>
        <w:t>在不限制承包人在合同项下的义务和责任的情况下，承包人应自费投保或促使其分包商投保雇主责任保险，并维持其有效，保险范围应包括事故或工人受伤，雇主责任投保金额赔偿条款应符合法律的规定。</w:t>
      </w:r>
    </w:p>
    <w:p>
      <w:pPr>
        <w:pStyle w:val="4"/>
        <w:rPr>
          <w:rFonts w:hint="eastAsia"/>
        </w:rPr>
      </w:pPr>
      <w:bookmarkStart w:id="538" w:name="_Toc120689414"/>
      <w:bookmarkStart w:id="539" w:name="_Toc170377936"/>
      <w:bookmarkStart w:id="540" w:name="_Toc19444"/>
      <w:bookmarkStart w:id="541" w:name="_Toc13344"/>
      <w:r>
        <w:t>19.5 车辆责任险</w:t>
      </w:r>
      <w:bookmarkEnd w:id="538"/>
      <w:bookmarkEnd w:id="539"/>
      <w:bookmarkEnd w:id="540"/>
      <w:bookmarkEnd w:id="541"/>
    </w:p>
    <w:p>
      <w:pPr>
        <w:jc w:val="left"/>
        <w:rPr>
          <w:rFonts w:hint="eastAsia"/>
        </w:rPr>
      </w:pPr>
      <w:r>
        <w:rPr>
          <w:rFonts w:hint="eastAsia"/>
        </w:rPr>
        <w:t>在不限制承包人在本合同项下义务和责任的情况下，承包人应对所有为进行本合同项下服务而使用的自有或租用的车辆投保车辆责任险（包括汽车第三方责任险）。</w:t>
      </w:r>
    </w:p>
    <w:p>
      <w:pPr>
        <w:pStyle w:val="4"/>
        <w:rPr>
          <w:rFonts w:hint="eastAsia"/>
        </w:rPr>
      </w:pPr>
      <w:bookmarkStart w:id="542" w:name="_Toc120689415"/>
      <w:bookmarkStart w:id="543" w:name="_Toc170377937"/>
      <w:bookmarkStart w:id="544" w:name="_Toc25859"/>
      <w:bookmarkStart w:id="545" w:name="_Toc7100"/>
      <w:r>
        <w:t>19.6 施工设备保险</w:t>
      </w:r>
      <w:bookmarkEnd w:id="542"/>
      <w:bookmarkEnd w:id="543"/>
      <w:bookmarkEnd w:id="544"/>
      <w:bookmarkEnd w:id="545"/>
    </w:p>
    <w:p>
      <w:pPr>
        <w:jc w:val="left"/>
        <w:rPr>
          <w:rFonts w:hint="eastAsia"/>
        </w:rPr>
      </w:pPr>
      <w:r>
        <w:rPr>
          <w:rFonts w:hint="eastAsia"/>
        </w:rPr>
        <w:t>在不限制承包人在本合同项下义务和责任的情况下，承包人应促使分包商投保包括施工设备以及用于履行本合同项下服务之目的（但并非作为工程组成部分）的其他物品的保险，并维持其有效，投保金额应为施工设备或物品的重置价值，以避免因通常应投保的任何原因而引起的全部损失或损毁风险。</w:t>
      </w:r>
    </w:p>
    <w:p>
      <w:pPr>
        <w:pStyle w:val="4"/>
        <w:rPr>
          <w:rFonts w:hint="eastAsia"/>
        </w:rPr>
      </w:pPr>
      <w:bookmarkStart w:id="546" w:name="_Toc170377938"/>
      <w:bookmarkStart w:id="547" w:name="_Toc13391"/>
      <w:bookmarkStart w:id="548" w:name="_Toc120689416"/>
      <w:bookmarkStart w:id="549" w:name="_Toc4895"/>
      <w:r>
        <w:t>19.7 承包人人员保险</w:t>
      </w:r>
      <w:bookmarkEnd w:id="546"/>
      <w:bookmarkEnd w:id="547"/>
      <w:bookmarkEnd w:id="548"/>
      <w:bookmarkEnd w:id="549"/>
    </w:p>
    <w:p>
      <w:pPr>
        <w:jc w:val="left"/>
        <w:rPr>
          <w:rFonts w:hint="eastAsia"/>
        </w:rPr>
      </w:pPr>
      <w:r>
        <w:rPr>
          <w:rFonts w:hint="eastAsia"/>
        </w:rPr>
        <w:t>承包人应对承包人雇用的任何人员和任何其他承包人人员的伤害、患病、疾病和死亡引起的索赔、损害赔偿费、损失和开支（包括法律费用和开支）的责任办理并维持相应保险，包括但不限于工伤保险。</w:t>
      </w:r>
    </w:p>
    <w:p>
      <w:pPr>
        <w:jc w:val="left"/>
        <w:rPr>
          <w:rFonts w:hint="eastAsia"/>
        </w:rPr>
      </w:pPr>
      <w:r>
        <w:rPr>
          <w:rFonts w:hint="eastAsia"/>
        </w:rPr>
        <w:t>除该保险可不包括由发包人和发包人人员的任何行为和疏忽引起的损失和索赔的情况以外，发包人也应由该项保险单得到保障。</w:t>
      </w:r>
    </w:p>
    <w:p>
      <w:pPr>
        <w:jc w:val="left"/>
        <w:rPr>
          <w:rFonts w:hint="eastAsia"/>
        </w:rPr>
      </w:pPr>
      <w:r>
        <w:rPr>
          <w:rFonts w:hint="eastAsia"/>
        </w:rPr>
        <w:t>此类保险应在这些人员参加工程实施的整个期间保持全面实施和有效。对于分包商的雇员，此类保险可以由分包商投保，但承包人应对其符合本条规定负责。</w:t>
      </w:r>
    </w:p>
    <w:p>
      <w:pPr>
        <w:pStyle w:val="4"/>
        <w:rPr>
          <w:rFonts w:hint="eastAsia"/>
        </w:rPr>
      </w:pPr>
      <w:bookmarkStart w:id="550" w:name="_Toc170377939"/>
      <w:bookmarkStart w:id="551" w:name="_Toc120689417"/>
      <w:bookmarkStart w:id="552" w:name="_Toc9586"/>
      <w:bookmarkStart w:id="553" w:name="_Toc19968"/>
      <w:r>
        <w:t>19.8 承包人的保单</w:t>
      </w:r>
      <w:bookmarkEnd w:id="550"/>
      <w:bookmarkEnd w:id="551"/>
      <w:bookmarkEnd w:id="552"/>
      <w:bookmarkEnd w:id="553"/>
    </w:p>
    <w:p>
      <w:pPr>
        <w:jc w:val="left"/>
        <w:rPr>
          <w:rFonts w:hint="eastAsia"/>
        </w:rPr>
      </w:pPr>
      <w:r>
        <w:rPr>
          <w:rFonts w:hint="eastAsia"/>
        </w:rPr>
        <w:t>承包人投保本第</w:t>
      </w:r>
      <w:r>
        <w:t>19条项下的保险的保险种类及相应的保险条款和条件应经发包人事先同意（发包人不应无理拒绝发出同意），并在专用条款规定的时间前完成相应保险的投保手续。承包人应按发包人不时提出的要求出具保单、保费收据或投保的满意证明。</w:t>
      </w:r>
    </w:p>
    <w:p>
      <w:pPr>
        <w:pStyle w:val="4"/>
        <w:rPr>
          <w:rFonts w:hint="eastAsia"/>
        </w:rPr>
      </w:pPr>
      <w:bookmarkStart w:id="554" w:name="_Toc27047"/>
      <w:bookmarkStart w:id="555" w:name="_Toc120689418"/>
      <w:bookmarkStart w:id="556" w:name="_Toc170377940"/>
      <w:bookmarkStart w:id="557" w:name="_Toc30511"/>
      <w:r>
        <w:t>19.9 发包人指定的被保险人</w:t>
      </w:r>
      <w:bookmarkEnd w:id="554"/>
      <w:bookmarkEnd w:id="555"/>
      <w:bookmarkEnd w:id="556"/>
      <w:bookmarkEnd w:id="557"/>
    </w:p>
    <w:p>
      <w:pPr>
        <w:jc w:val="left"/>
        <w:rPr>
          <w:rFonts w:hint="eastAsia"/>
        </w:rPr>
      </w:pPr>
      <w:r>
        <w:rPr>
          <w:rFonts w:hint="eastAsia"/>
        </w:rPr>
        <w:t>承包人在投保并维持本条所述的保险（发承包人责任险除外）时应加以背书，以使发包人以及发包人可能合理指定的其他人均应可列作指定的被保险人，该等保险应无保险公司向上述有关各方行使代位求偿权。承包人应要求分包商投保的任何类似保险均包括上述背书内容。</w:t>
      </w:r>
    </w:p>
    <w:p>
      <w:pPr>
        <w:pStyle w:val="4"/>
        <w:rPr>
          <w:rFonts w:hint="eastAsia"/>
        </w:rPr>
      </w:pPr>
      <w:bookmarkStart w:id="558" w:name="_Toc30745"/>
      <w:bookmarkStart w:id="559" w:name="_Toc170377941"/>
      <w:bookmarkStart w:id="560" w:name="_Toc120689419"/>
      <w:bookmarkStart w:id="561" w:name="_Toc30558"/>
      <w:r>
        <w:t>19.10 保险费</w:t>
      </w:r>
      <w:bookmarkEnd w:id="558"/>
      <w:bookmarkEnd w:id="559"/>
      <w:bookmarkEnd w:id="560"/>
      <w:bookmarkEnd w:id="561"/>
    </w:p>
    <w:p>
      <w:pPr>
        <w:jc w:val="left"/>
        <w:rPr>
          <w:rFonts w:hint="eastAsia"/>
        </w:rPr>
      </w:pPr>
      <w:r>
        <w:rPr>
          <w:rFonts w:hint="eastAsia"/>
        </w:rPr>
        <w:t>承包人按本条规定投保的保险所涉及的所有费用，包括保险费、为购买保险而发生的其他费用以及任何保单所述的免赔额（如果有的话），均应由承包人承担。承包人应对任何由于未按本条所述要求进行投保而发生的损失、损害或损毁而向发包人承担赔偿责任。</w:t>
      </w:r>
    </w:p>
    <w:p>
      <w:pPr>
        <w:pStyle w:val="4"/>
        <w:rPr>
          <w:rFonts w:hint="eastAsia"/>
        </w:rPr>
      </w:pPr>
      <w:bookmarkStart w:id="562" w:name="_Toc120689420"/>
      <w:bookmarkStart w:id="563" w:name="_Toc5570"/>
      <w:bookmarkStart w:id="564" w:name="_Toc170377942"/>
      <w:bookmarkStart w:id="565" w:name="_Toc10246"/>
      <w:r>
        <w:t>19.11 代为投保</w:t>
      </w:r>
      <w:bookmarkEnd w:id="562"/>
      <w:bookmarkEnd w:id="563"/>
      <w:bookmarkEnd w:id="564"/>
      <w:bookmarkEnd w:id="565"/>
    </w:p>
    <w:p>
      <w:pPr>
        <w:jc w:val="left"/>
        <w:rPr>
          <w:rFonts w:hint="eastAsia"/>
        </w:rPr>
      </w:pPr>
      <w:r>
        <w:rPr>
          <w:rFonts w:hint="eastAsia"/>
        </w:rPr>
        <w:t>如果承包人未能投保本条所述各项保险并维持其有效，发包人可代为投保和维持该类保险并支付为此目的所需的保费，并通过扣减的方法向承包人收回有关费用。发包人为承包人投保应由承包人投保的保险不解除承包人在本合同项下的任何义务或责任。</w:t>
      </w:r>
    </w:p>
    <w:p>
      <w:pPr>
        <w:pStyle w:val="3"/>
        <w:spacing w:before="0" w:beforeLines="0" w:after="0" w:afterLines="0" w:line="360" w:lineRule="auto"/>
        <w:rPr>
          <w:rFonts w:hint="eastAsia"/>
          <w:color w:val="auto"/>
          <w:lang w:eastAsia="zh-CN"/>
        </w:rPr>
      </w:pPr>
      <w:bookmarkStart w:id="566" w:name="_Toc4926"/>
      <w:bookmarkStart w:id="567" w:name="_Toc170377943"/>
      <w:bookmarkStart w:id="568" w:name="_Toc120689421"/>
      <w:bookmarkStart w:id="569" w:name="_Toc21792"/>
      <w:r>
        <w:rPr>
          <w:color w:val="auto"/>
          <w:lang w:eastAsia="zh-CN"/>
        </w:rPr>
        <w:t>20. 不可抗力</w:t>
      </w:r>
      <w:bookmarkEnd w:id="566"/>
      <w:bookmarkEnd w:id="567"/>
      <w:bookmarkEnd w:id="568"/>
      <w:bookmarkEnd w:id="569"/>
    </w:p>
    <w:p>
      <w:pPr>
        <w:pStyle w:val="4"/>
        <w:rPr>
          <w:rFonts w:hint="eastAsia"/>
        </w:rPr>
      </w:pPr>
      <w:bookmarkStart w:id="570" w:name="_Toc17172"/>
      <w:bookmarkStart w:id="571" w:name="_Toc170377944"/>
      <w:bookmarkStart w:id="572" w:name="_Toc120689422"/>
      <w:bookmarkStart w:id="573" w:name="_Toc22670"/>
      <w:r>
        <w:t>20.1 不可抗力的定义</w:t>
      </w:r>
      <w:bookmarkEnd w:id="570"/>
      <w:bookmarkEnd w:id="571"/>
      <w:bookmarkEnd w:id="572"/>
      <w:bookmarkEnd w:id="573"/>
    </w:p>
    <w:p>
      <w:pPr>
        <w:jc w:val="left"/>
        <w:rPr>
          <w:rFonts w:hint="eastAsia"/>
        </w:rPr>
      </w:pPr>
      <w:r>
        <w:rPr>
          <w:rFonts w:hint="eastAsia"/>
        </w:rPr>
        <w:t>不可抗力是指任何一方在签署本合同时不能预见、不能避免也不能克服的客观情况，具体范围由合同专用条款规定。</w:t>
      </w:r>
    </w:p>
    <w:p>
      <w:pPr>
        <w:pStyle w:val="4"/>
        <w:rPr>
          <w:rFonts w:hint="eastAsia"/>
        </w:rPr>
      </w:pPr>
      <w:bookmarkStart w:id="574" w:name="_Toc120689423"/>
      <w:bookmarkStart w:id="575" w:name="_Toc170377945"/>
      <w:bookmarkStart w:id="576" w:name="_Toc30627"/>
      <w:bookmarkStart w:id="577" w:name="_Toc5695"/>
      <w:r>
        <w:t>20.2 免除履行</w:t>
      </w:r>
      <w:bookmarkEnd w:id="574"/>
      <w:bookmarkEnd w:id="575"/>
      <w:bookmarkEnd w:id="576"/>
      <w:bookmarkEnd w:id="577"/>
    </w:p>
    <w:p>
      <w:pPr>
        <w:jc w:val="left"/>
        <w:rPr>
          <w:rFonts w:hint="eastAsia"/>
        </w:rPr>
      </w:pPr>
      <w:r>
        <w:rPr>
          <w:rFonts w:hint="eastAsia"/>
        </w:rPr>
        <w:t>除本合同另有规定外，受不可抗力事件影响的一方应在其由于不可抗力原因不能履行本合同义务的程度内和在其执行并继续执行合理审慎的作业者标准克服不可抗力事件或情况的期间内免除其履行本合同义务的责任，但是按本合同履行已到期应付款的义务除外。</w:t>
      </w:r>
    </w:p>
    <w:p>
      <w:pPr>
        <w:pStyle w:val="4"/>
        <w:rPr>
          <w:rFonts w:hint="eastAsia"/>
        </w:rPr>
      </w:pPr>
      <w:bookmarkStart w:id="578" w:name="_Toc120689424"/>
      <w:bookmarkStart w:id="579" w:name="_Toc5876"/>
      <w:bookmarkStart w:id="580" w:name="_Toc170377946"/>
      <w:bookmarkStart w:id="581" w:name="_Toc3244"/>
      <w:r>
        <w:t>20.3 不可抗力通知与减损义务</w:t>
      </w:r>
      <w:bookmarkEnd w:id="578"/>
      <w:bookmarkEnd w:id="579"/>
      <w:bookmarkEnd w:id="580"/>
      <w:bookmarkEnd w:id="581"/>
    </w:p>
    <w:p>
      <w:pPr>
        <w:jc w:val="left"/>
        <w:rPr>
          <w:rFonts w:hint="eastAsia"/>
        </w:rPr>
      </w:pPr>
      <w:r>
        <w:rPr>
          <w:rFonts w:hint="eastAsia"/>
        </w:rPr>
        <w:t>因不可抗力事件致使本合同的当事人不能按约定的条件履行合同时，遭受上述不可抗力的一方，应立即以电话、电报或传真方式通知另一方，并在</w:t>
      </w:r>
      <w:r>
        <w:t>15天内提供不可抗力的详情及合同不能履行或者部分不能履行，或者需要延期履行的理由和不可抗力发生地的公证机构出具的有效证明文件。同时，遭受不可抗力的一方应尽其一切合理努力以减轻对另一方的损害；一旦不可抗力的影响消除后，该方应立即在48小时内以电话、电报或传真方式通知另一方，并尽快恢复履行其在本合同项下的义务。</w:t>
      </w:r>
    </w:p>
    <w:p>
      <w:pPr>
        <w:pStyle w:val="4"/>
        <w:rPr>
          <w:rFonts w:hint="eastAsia"/>
        </w:rPr>
      </w:pPr>
      <w:bookmarkStart w:id="582" w:name="_Toc170377947"/>
      <w:bookmarkStart w:id="583" w:name="_Toc9846"/>
      <w:bookmarkStart w:id="584" w:name="_Toc120689425"/>
      <w:bookmarkStart w:id="585" w:name="_Toc17561"/>
      <w:r>
        <w:t>20.4 不可抗力的后果</w:t>
      </w:r>
      <w:bookmarkEnd w:id="582"/>
      <w:bookmarkEnd w:id="583"/>
      <w:bookmarkEnd w:id="584"/>
      <w:bookmarkEnd w:id="585"/>
    </w:p>
    <w:p>
      <w:pPr>
        <w:jc w:val="left"/>
        <w:rPr>
          <w:rFonts w:hint="eastAsia"/>
        </w:rPr>
      </w:pPr>
      <w:r>
        <w:rPr>
          <w:rFonts w:hint="eastAsia"/>
        </w:rPr>
        <w:t>如果承包人因不可抗力（其已根据第</w:t>
      </w:r>
      <w:r>
        <w:t>20.3款的规定发出通知），妨碍其履行合同规定的任何义务，使其遭受延误和招致增加费用，承包人应有权根据第21款的规定，发出索赔意向书，向发包人索取计划完工日的延长期和／或追加付款。</w:t>
      </w:r>
    </w:p>
    <w:p>
      <w:pPr>
        <w:jc w:val="left"/>
        <w:rPr>
          <w:rFonts w:hint="eastAsia"/>
        </w:rPr>
      </w:pPr>
      <w:r>
        <w:rPr>
          <w:rFonts w:hint="eastAsia"/>
        </w:rPr>
        <w:t>发包人收到此通知后，与承包人对上述事项进行商定或确定。</w:t>
      </w:r>
    </w:p>
    <w:p>
      <w:pPr>
        <w:pStyle w:val="4"/>
        <w:rPr>
          <w:rFonts w:hint="eastAsia"/>
        </w:rPr>
      </w:pPr>
      <w:bookmarkStart w:id="586" w:name="_Toc578"/>
      <w:bookmarkStart w:id="587" w:name="_Toc170377948"/>
      <w:bookmarkStart w:id="588" w:name="_Toc120689426"/>
      <w:bookmarkStart w:id="589" w:name="_Toc3621"/>
      <w:r>
        <w:t>20.5 解除合同</w:t>
      </w:r>
      <w:bookmarkEnd w:id="586"/>
      <w:bookmarkEnd w:id="587"/>
      <w:bookmarkEnd w:id="588"/>
      <w:bookmarkEnd w:id="589"/>
    </w:p>
    <w:p>
      <w:pPr>
        <w:jc w:val="left"/>
        <w:rPr>
          <w:rFonts w:hint="eastAsia"/>
        </w:rPr>
      </w:pPr>
      <w:r>
        <w:rPr>
          <w:rFonts w:hint="eastAsia"/>
        </w:rPr>
        <w:t>如果因不可抗力事件造成工程的巨大损失和严重损坏，工程实施受到阻碍已连续</w:t>
      </w:r>
      <w:r>
        <w:t>180天且双方或任何一方仍无法继续履行合同时，任何一方可以向另一方发出提前终止合同的通知。除合同另有规定外，根据本条解除合同后的付款及其他相关事宜由双方协商处理。</w:t>
      </w:r>
    </w:p>
    <w:p>
      <w:pPr>
        <w:jc w:val="left"/>
        <w:rPr>
          <w:rFonts w:hint="eastAsia"/>
        </w:rPr>
      </w:pPr>
      <w:r>
        <w:rPr>
          <w:rFonts w:hint="eastAsia"/>
        </w:rPr>
        <w:t>不论本条是否有任何其他规定，如果发生不可抗力事件，使任何一方或双方完成他或他们的合同义务成为不可能或非法，或根据适用法律的规定，各方有权解除进一步履行合同的义务，则任何一方有权通过向他方发出书面通知解除进一步履行合同的义务，但不影响任何一方针对过去已发生的任何违反合同事项主张权利；此外，发包人应支付给承包人根据第</w:t>
      </w:r>
      <w:r>
        <w:t>13.8款所述的款额。</w:t>
      </w:r>
    </w:p>
    <w:p>
      <w:pPr>
        <w:pStyle w:val="3"/>
        <w:spacing w:before="0" w:beforeLines="0" w:after="0" w:afterLines="0" w:line="360" w:lineRule="auto"/>
        <w:rPr>
          <w:rFonts w:hint="eastAsia"/>
          <w:color w:val="auto"/>
          <w:lang w:eastAsia="zh-CN"/>
        </w:rPr>
      </w:pPr>
      <w:bookmarkStart w:id="590" w:name="_Toc120689427"/>
      <w:bookmarkStart w:id="591" w:name="_Toc170377949"/>
      <w:bookmarkStart w:id="592" w:name="_Toc6105"/>
      <w:bookmarkStart w:id="593" w:name="_Toc21685"/>
      <w:r>
        <w:rPr>
          <w:color w:val="auto"/>
          <w:lang w:eastAsia="zh-CN"/>
        </w:rPr>
        <w:t>21. 索赔</w:t>
      </w:r>
      <w:bookmarkEnd w:id="590"/>
      <w:bookmarkEnd w:id="591"/>
      <w:bookmarkEnd w:id="592"/>
      <w:bookmarkEnd w:id="593"/>
    </w:p>
    <w:p>
      <w:pPr>
        <w:rPr>
          <w:rFonts w:hint="eastAsia"/>
        </w:rPr>
      </w:pPr>
      <w:r>
        <w:rPr>
          <w:rFonts w:hint="eastAsia"/>
        </w:rPr>
        <w:t>承包人有权根据本合同任何条款及其它有关规定，向发包人索取计划完工日的延长期和</w:t>
      </w:r>
      <w:r>
        <w:rPr>
          <w:rFonts w:hint="eastAsia"/>
          <w:lang w:eastAsia="zh-Hans"/>
        </w:rPr>
        <w:t>（</w:t>
      </w:r>
      <w:r>
        <w:rPr>
          <w:rFonts w:hint="eastAsia"/>
        </w:rPr>
        <w:t>或</w:t>
      </w:r>
      <w:r>
        <w:rPr>
          <w:rFonts w:hint="eastAsia"/>
          <w:lang w:eastAsia="zh-Hans"/>
        </w:rPr>
        <w:t>）</w:t>
      </w:r>
      <w:r>
        <w:rPr>
          <w:rFonts w:hint="eastAsia"/>
        </w:rPr>
        <w:t>追加付款，但应在索赔事件发生后</w:t>
      </w:r>
      <w:r>
        <w:t>30天内将索赔意向书提交发包人，合同另有约定时除外。在上述索赔意向书发出后的10天内应再向发包人提交索赔申请报告，详细说明索赔理由和索赔金额和</w:t>
      </w:r>
      <w:r>
        <w:rPr>
          <w:rFonts w:hint="eastAsia"/>
          <w:lang w:eastAsia="zh-Hans"/>
        </w:rPr>
        <w:t>（</w:t>
      </w:r>
      <w:r>
        <w:t>或</w:t>
      </w:r>
      <w:r>
        <w:rPr>
          <w:rFonts w:hint="eastAsia"/>
          <w:lang w:eastAsia="zh-Hans"/>
        </w:rPr>
        <w:t>）</w:t>
      </w:r>
      <w:r>
        <w:t>延长期的计算依据，并附必要的当时记录和证明材料。如果索赔事件继续发展或继续产生影响，承包人应按发包人要求的合理间隔列出索赔金额和</w:t>
      </w:r>
      <w:r>
        <w:rPr>
          <w:rFonts w:hint="eastAsia"/>
          <w:lang w:eastAsia="zh-Hans"/>
        </w:rPr>
        <w:t>（</w:t>
      </w:r>
      <w:r>
        <w:t>或</w:t>
      </w:r>
      <w:r>
        <w:rPr>
          <w:rFonts w:hint="eastAsia"/>
          <w:lang w:eastAsia="zh-Hans"/>
        </w:rPr>
        <w:t>）</w:t>
      </w:r>
      <w:r>
        <w:t>要求延长的期限并提出中期索赔申请报告，并在索赔事件影响结束后的30天内向发包人提交包括最终索赔金额、延续记录、证明材料在内的</w:t>
      </w:r>
      <w:r>
        <w:rPr>
          <w:rFonts w:hint="eastAsia"/>
        </w:rPr>
        <w:t>最终索赔申请报告。</w:t>
      </w:r>
    </w:p>
    <w:p>
      <w:pPr>
        <w:rPr>
          <w:rFonts w:hint="eastAsia"/>
        </w:rPr>
      </w:pPr>
      <w:r>
        <w:rPr>
          <w:rFonts w:hint="eastAsia"/>
        </w:rPr>
        <w:t>发包人收到承包人提交的索赔意向书后，应及时核查承包人当时的记录，并可指示承包人提供进一步的支持文件和继续作好延续记录以备核查，发包人可要求承包人提交全部记录的副本。</w:t>
      </w:r>
    </w:p>
    <w:p>
      <w:pPr>
        <w:rPr>
          <w:rFonts w:hint="eastAsia"/>
        </w:rPr>
      </w:pPr>
      <w:r>
        <w:rPr>
          <w:rFonts w:hint="eastAsia"/>
        </w:rPr>
        <w:t>发包人收到承包人提交的索赔申请报告和最终索赔申请报告后</w:t>
      </w:r>
      <w:r>
        <w:t>10天内，应给予答复，表示同意或不同意并附具体意见。发包人在处理索赔的过程中还可以要求承包人进一步提供任何必需的资料。发包人应与承包人根据本合同协商确定应给予的计划完工日的延长期和</w:t>
      </w:r>
      <w:r>
        <w:rPr>
          <w:rFonts w:hint="eastAsia"/>
          <w:lang w:eastAsia="zh-Hans"/>
        </w:rPr>
        <w:t>（</w:t>
      </w:r>
      <w:r>
        <w:t>或</w:t>
      </w:r>
      <w:r>
        <w:rPr>
          <w:rFonts w:hint="eastAsia"/>
          <w:lang w:eastAsia="zh-Hans"/>
        </w:rPr>
        <w:t>）</w:t>
      </w:r>
      <w:r>
        <w:t>追加付款的金额，并将双方协商一致的延长期计入工程进度计划和</w:t>
      </w:r>
      <w:r>
        <w:rPr>
          <w:rFonts w:hint="eastAsia"/>
          <w:lang w:eastAsia="zh-Hans"/>
        </w:rPr>
        <w:t>（</w:t>
      </w:r>
      <w:r>
        <w:t>或</w:t>
      </w:r>
      <w:r>
        <w:rPr>
          <w:rFonts w:hint="eastAsia"/>
          <w:lang w:eastAsia="zh-Hans"/>
        </w:rPr>
        <w:t>）</w:t>
      </w:r>
      <w:r>
        <w:t>将双方协商一致的索赔金额列入应付款项中支付。如双方不能协商一致，则可按第22 款的规定解决。</w:t>
      </w:r>
    </w:p>
    <w:p>
      <w:pPr>
        <w:rPr>
          <w:rFonts w:hint="eastAsia"/>
        </w:rPr>
      </w:pPr>
      <w:r>
        <w:rPr>
          <w:rFonts w:hint="eastAsia"/>
        </w:rPr>
        <w:t>如果承包人未能在上述规定的期限内发出索赔意向书和索赔申请报告，则承包人无权要求延长计划完工日和获得追加付款。</w:t>
      </w:r>
    </w:p>
    <w:p>
      <w:pPr>
        <w:pStyle w:val="3"/>
        <w:spacing w:before="0" w:beforeLines="0" w:after="0" w:afterLines="0" w:line="360" w:lineRule="auto"/>
        <w:rPr>
          <w:rFonts w:hint="eastAsia"/>
          <w:color w:val="auto"/>
          <w:lang w:eastAsia="zh-CN"/>
        </w:rPr>
      </w:pPr>
      <w:bookmarkStart w:id="594" w:name="_Toc120689428"/>
      <w:bookmarkStart w:id="595" w:name="_Toc170377950"/>
      <w:bookmarkStart w:id="596" w:name="_Toc17488"/>
      <w:bookmarkStart w:id="597" w:name="_Toc29147"/>
      <w:r>
        <w:rPr>
          <w:color w:val="auto"/>
          <w:lang w:eastAsia="zh-CN"/>
        </w:rPr>
        <w:t>22. 争议解决</w:t>
      </w:r>
      <w:bookmarkEnd w:id="594"/>
      <w:bookmarkEnd w:id="595"/>
      <w:bookmarkEnd w:id="596"/>
      <w:bookmarkEnd w:id="597"/>
    </w:p>
    <w:p>
      <w:pPr>
        <w:pStyle w:val="4"/>
        <w:rPr>
          <w:rFonts w:hint="eastAsia"/>
        </w:rPr>
      </w:pPr>
      <w:bookmarkStart w:id="598" w:name="_Toc32424"/>
      <w:bookmarkStart w:id="599" w:name="_Toc170377951"/>
      <w:bookmarkStart w:id="600" w:name="_Toc120689429"/>
      <w:bookmarkStart w:id="601" w:name="_Toc30875"/>
      <w:r>
        <w:t>22.1 友好协商</w:t>
      </w:r>
      <w:bookmarkEnd w:id="598"/>
      <w:bookmarkEnd w:id="599"/>
      <w:bookmarkEnd w:id="600"/>
      <w:bookmarkEnd w:id="601"/>
    </w:p>
    <w:p>
      <w:pPr>
        <w:jc w:val="left"/>
        <w:rPr>
          <w:rFonts w:hint="eastAsia"/>
        </w:rPr>
      </w:pPr>
      <w:r>
        <w:rPr>
          <w:rFonts w:hint="eastAsia"/>
        </w:rPr>
        <w:t>由于本合同履行及与本合同有关的其他事项而产生的所有争议应首先通过友好协商进行解决，如任何一方收到对方发出的要求进行友好协商的通知后</w:t>
      </w:r>
      <w:r>
        <w:t>30日内未能通过友好协商解决争议，可按第22.2款的规定将此争议提交专家小组调解解决。</w:t>
      </w:r>
    </w:p>
    <w:p>
      <w:pPr>
        <w:pStyle w:val="4"/>
        <w:rPr>
          <w:rFonts w:hint="eastAsia"/>
        </w:rPr>
      </w:pPr>
      <w:bookmarkStart w:id="602" w:name="_Toc120689430"/>
      <w:bookmarkStart w:id="603" w:name="_Toc14869"/>
      <w:bookmarkStart w:id="604" w:name="_Toc170377952"/>
      <w:bookmarkStart w:id="605" w:name="_Toc30642"/>
      <w:r>
        <w:t>22.2 专家解决</w:t>
      </w:r>
      <w:bookmarkEnd w:id="602"/>
      <w:bookmarkEnd w:id="603"/>
      <w:bookmarkEnd w:id="604"/>
      <w:bookmarkEnd w:id="605"/>
    </w:p>
    <w:p>
      <w:pPr>
        <w:jc w:val="left"/>
        <w:rPr>
          <w:rFonts w:hint="eastAsia"/>
        </w:rPr>
      </w:pPr>
      <w:r>
        <w:t>22.2.1 指定专家的程序</w:t>
      </w:r>
    </w:p>
    <w:p>
      <w:pPr>
        <w:jc w:val="left"/>
        <w:rPr>
          <w:rFonts w:hint="eastAsia"/>
        </w:rPr>
      </w:pPr>
      <w:r>
        <w:rPr>
          <w:rFonts w:hint="eastAsia"/>
        </w:rPr>
        <w:t>（</w:t>
      </w:r>
      <w:r>
        <w:t>1）专家小组应由三名专家组成，双方应各自推荐一名专家，第三名专家作为专家小组组长由双方推荐的专家共同指定。</w:t>
      </w:r>
    </w:p>
    <w:p>
      <w:pPr>
        <w:jc w:val="left"/>
        <w:rPr>
          <w:rFonts w:hint="eastAsia"/>
        </w:rPr>
      </w:pPr>
      <w:r>
        <w:rPr>
          <w:rFonts w:hint="eastAsia"/>
        </w:rPr>
        <w:t>（</w:t>
      </w:r>
      <w:r>
        <w:t>2）如果一方在另一方已按上述第（l）项推荐专家后15日内未推荐专家，或双方推荐的专家未能在15日内未就第三名专家的指定达成一致，则任何一方可按本合同第22.3款规定将该争议提交仲裁解决。</w:t>
      </w:r>
    </w:p>
    <w:p>
      <w:pPr>
        <w:jc w:val="left"/>
        <w:rPr>
          <w:rFonts w:hint="eastAsia"/>
        </w:rPr>
      </w:pPr>
      <w:r>
        <w:t>22.2.2 作为专家的条件</w:t>
      </w:r>
    </w:p>
    <w:p>
      <w:pPr>
        <w:jc w:val="left"/>
        <w:rPr>
          <w:rFonts w:hint="eastAsia"/>
        </w:rPr>
      </w:pPr>
      <w:r>
        <w:rPr>
          <w:rFonts w:hint="eastAsia"/>
        </w:rPr>
        <w:t>专家应在相关知识领域和训练技能、专业资格和经验等诸方面得到普遍的公认；并且不得在被指定时或被指定前</w:t>
      </w:r>
      <w:r>
        <w:t>2年内任何时间担任过争议一方或其关联方的雇员或咨询人员，包括不得被争议一方或其关联方间接聘为雇员或咨询人员。所有专家均应承诺在担任专家期间内，避免与其被指定的职责存在实质性的任何利益冲突。</w:t>
      </w:r>
    </w:p>
    <w:p>
      <w:pPr>
        <w:jc w:val="left"/>
        <w:rPr>
          <w:rFonts w:hint="eastAsia"/>
        </w:rPr>
      </w:pPr>
      <w:r>
        <w:t>22.2.3 通知专家</w:t>
      </w:r>
    </w:p>
    <w:p>
      <w:pPr>
        <w:jc w:val="left"/>
        <w:rPr>
          <w:rFonts w:hint="eastAsia"/>
        </w:rPr>
      </w:pPr>
      <w:r>
        <w:rPr>
          <w:rFonts w:hint="eastAsia"/>
        </w:rPr>
        <w:t>专家人选确定后，由专家小组组长决定解决争议的程序以及工作的地点，双方应立即通知对方。</w:t>
      </w:r>
    </w:p>
    <w:p>
      <w:pPr>
        <w:jc w:val="left"/>
        <w:rPr>
          <w:rFonts w:hint="eastAsia"/>
        </w:rPr>
      </w:pPr>
      <w:r>
        <w:t>22.2.4 专家的决定应以书面形式作出，专家的费用由双方各支付一半。</w:t>
      </w:r>
    </w:p>
    <w:p>
      <w:pPr>
        <w:jc w:val="left"/>
        <w:rPr>
          <w:rFonts w:hint="eastAsia"/>
        </w:rPr>
      </w:pPr>
      <w:r>
        <w:t>22.2.5 如果自争议事项提交专家解决后3个月内，专家小组仍未作出决定，或一方对专家小组作出的决定不满意，则任何一方有权将争议按本合同第22.3款规定提交仲裁或诉讼解决。</w:t>
      </w:r>
    </w:p>
    <w:p>
      <w:pPr>
        <w:pStyle w:val="4"/>
        <w:rPr>
          <w:rFonts w:hint="eastAsia"/>
        </w:rPr>
      </w:pPr>
      <w:bookmarkStart w:id="606" w:name="_Toc170377953"/>
      <w:bookmarkStart w:id="607" w:name="_Toc120689431"/>
      <w:bookmarkStart w:id="608" w:name="_Toc2914"/>
      <w:bookmarkStart w:id="609" w:name="_Toc30359"/>
      <w:r>
        <w:t>22.3 仲裁或诉讼</w:t>
      </w:r>
      <w:bookmarkEnd w:id="606"/>
      <w:bookmarkEnd w:id="607"/>
      <w:bookmarkEnd w:id="608"/>
      <w:bookmarkEnd w:id="609"/>
    </w:p>
    <w:p>
      <w:pPr>
        <w:jc w:val="left"/>
        <w:rPr>
          <w:rFonts w:hint="eastAsia"/>
        </w:rPr>
      </w:pPr>
      <w:r>
        <w:t>22.3.1 在发生第22.2.5项所述的情形时，除非争议己经双方友好协商解决，任何一方可在争议事项提交专家解决后4个月内向另一方发出其将提起下述第22.3.2 项所述的争议解决程序的通知。双方同意，如果其未按前述规定发出通知，则自该4个月的期限届满之日起，专家裁决（如有）即视为双方所达成的一致意见。</w:t>
      </w:r>
    </w:p>
    <w:p>
      <w:pPr>
        <w:jc w:val="left"/>
        <w:rPr>
          <w:rFonts w:hint="eastAsia"/>
        </w:rPr>
      </w:pPr>
      <w:r>
        <w:t>22.3.2 即使有上述规定，任何一方均可按专用条款的规定将争议提请仲裁或诉讼解决，双方同意在提请仲裁或诉讼及仲裁或诉讼过程中将受第22.3.1款的约束。</w:t>
      </w:r>
    </w:p>
    <w:p>
      <w:pPr>
        <w:jc w:val="left"/>
        <w:rPr>
          <w:rFonts w:hint="eastAsia"/>
        </w:rPr>
      </w:pPr>
      <w:r>
        <w:t>22.3.3 在争议解决期间，除涉及争议的事项外，双方应继续履行本合同的其他条款。</w:t>
      </w:r>
    </w:p>
    <w:p>
      <w:pPr>
        <w:pStyle w:val="4"/>
        <w:rPr>
          <w:rFonts w:hint="eastAsia"/>
        </w:rPr>
      </w:pPr>
      <w:bookmarkStart w:id="610" w:name="_Toc1006"/>
      <w:bookmarkStart w:id="611" w:name="_Toc170377954"/>
      <w:bookmarkStart w:id="612" w:name="_Toc120689432"/>
      <w:bookmarkStart w:id="613" w:name="_Toc8925"/>
      <w:r>
        <w:t>22.4 继续有效</w:t>
      </w:r>
      <w:bookmarkEnd w:id="610"/>
      <w:bookmarkEnd w:id="611"/>
      <w:bookmarkEnd w:id="612"/>
      <w:bookmarkEnd w:id="613"/>
    </w:p>
    <w:p>
      <w:pPr>
        <w:jc w:val="left"/>
        <w:rPr>
          <w:rFonts w:hint="eastAsia"/>
        </w:rPr>
      </w:pPr>
      <w:r>
        <w:rPr>
          <w:rFonts w:hint="eastAsia"/>
        </w:rPr>
        <w:t>本条的规定在本合同提前终止或期满后继续有效。</w:t>
      </w:r>
    </w:p>
    <w:p>
      <w:pPr>
        <w:pStyle w:val="3"/>
        <w:spacing w:before="0" w:beforeLines="0" w:after="0" w:afterLines="0" w:line="360" w:lineRule="auto"/>
        <w:rPr>
          <w:rFonts w:hint="eastAsia"/>
          <w:color w:val="auto"/>
          <w:lang w:eastAsia="zh-CN"/>
        </w:rPr>
      </w:pPr>
      <w:bookmarkStart w:id="614" w:name="_Toc120689433"/>
      <w:bookmarkStart w:id="615" w:name="_Toc12128"/>
      <w:bookmarkStart w:id="616" w:name="_Toc170377955"/>
      <w:bookmarkStart w:id="617" w:name="_Toc2778"/>
      <w:r>
        <w:rPr>
          <w:color w:val="auto"/>
          <w:lang w:eastAsia="zh-CN"/>
        </w:rPr>
        <w:t>23. 其他</w:t>
      </w:r>
      <w:bookmarkEnd w:id="614"/>
      <w:bookmarkEnd w:id="615"/>
      <w:bookmarkEnd w:id="616"/>
      <w:bookmarkEnd w:id="617"/>
    </w:p>
    <w:p>
      <w:pPr>
        <w:pStyle w:val="4"/>
        <w:rPr>
          <w:rFonts w:hint="eastAsia"/>
        </w:rPr>
      </w:pPr>
      <w:bookmarkStart w:id="618" w:name="_Toc7805"/>
      <w:bookmarkStart w:id="619" w:name="_Toc170377956"/>
      <w:bookmarkStart w:id="620" w:name="_Toc120689434"/>
      <w:bookmarkStart w:id="621" w:name="_Toc5482"/>
      <w:r>
        <w:t>23.1 合同生效</w:t>
      </w:r>
      <w:bookmarkEnd w:id="618"/>
      <w:bookmarkEnd w:id="619"/>
      <w:bookmarkEnd w:id="620"/>
      <w:bookmarkEnd w:id="621"/>
    </w:p>
    <w:p>
      <w:pPr>
        <w:jc w:val="left"/>
        <w:rPr>
          <w:rFonts w:hint="eastAsia"/>
        </w:rPr>
      </w:pPr>
      <w:r>
        <w:rPr>
          <w:rFonts w:hint="eastAsia"/>
        </w:rPr>
        <w:t>本合同与合同协议书同时生效。</w:t>
      </w:r>
    </w:p>
    <w:p>
      <w:pPr>
        <w:pStyle w:val="4"/>
        <w:rPr>
          <w:rFonts w:hint="eastAsia"/>
        </w:rPr>
      </w:pPr>
      <w:bookmarkStart w:id="622" w:name="_Toc170377957"/>
      <w:bookmarkStart w:id="623" w:name="_Toc120689435"/>
      <w:bookmarkStart w:id="624" w:name="_Toc10941"/>
      <w:bookmarkStart w:id="625" w:name="_Toc21330"/>
      <w:r>
        <w:t>23.2 通用条款的修改</w:t>
      </w:r>
      <w:bookmarkEnd w:id="622"/>
      <w:bookmarkEnd w:id="623"/>
      <w:bookmarkEnd w:id="624"/>
      <w:bookmarkEnd w:id="625"/>
    </w:p>
    <w:p>
      <w:pPr>
        <w:jc w:val="left"/>
        <w:rPr>
          <w:rFonts w:hint="eastAsia"/>
        </w:rPr>
      </w:pPr>
      <w:r>
        <w:rPr>
          <w:rFonts w:hint="eastAsia"/>
        </w:rPr>
        <w:t>双方可根据有关法律，在经协商一致后对本通用条款中的条款进行具体化、修改或补充，并在专用条款中规定。</w:t>
      </w:r>
    </w:p>
    <w:p>
      <w:pPr>
        <w:jc w:val="left"/>
        <w:rPr>
          <w:rFonts w:hint="eastAsia"/>
        </w:rPr>
      </w:pPr>
      <w:r>
        <w:br w:type="page"/>
      </w:r>
    </w:p>
    <w:p>
      <w:pPr>
        <w:jc w:val="left"/>
        <w:rPr>
          <w:rFonts w:hint="eastAsia"/>
        </w:rPr>
        <w:sectPr>
          <w:headerReference r:id="rId13" w:type="first"/>
          <w:footerReference r:id="rId16" w:type="first"/>
          <w:headerReference r:id="rId11" w:type="default"/>
          <w:footerReference r:id="rId14" w:type="default"/>
          <w:headerReference r:id="rId12" w:type="even"/>
          <w:footerReference r:id="rId15" w:type="even"/>
          <w:type w:val="continuous"/>
          <w:pgSz w:w="11928" w:h="16870"/>
          <w:pgMar w:top="1420" w:right="1420" w:bottom="1420" w:left="1420" w:header="966" w:footer="852" w:gutter="0"/>
          <w:cols w:space="720" w:num="1"/>
          <w:docGrid w:type="lines" w:linePitch="312" w:charSpace="0"/>
        </w:sectPr>
      </w:pPr>
    </w:p>
    <w:p>
      <w:pPr>
        <w:pStyle w:val="18"/>
      </w:pPr>
      <w:bookmarkStart w:id="626" w:name="_Toc120689436"/>
      <w:bookmarkStart w:id="627" w:name="_Toc12132"/>
      <w:bookmarkStart w:id="628" w:name="_Toc170377958"/>
      <w:bookmarkStart w:id="629" w:name="_Toc20798"/>
      <w:r>
        <w:t>第二节 专用合同条款</w:t>
      </w:r>
      <w:bookmarkEnd w:id="626"/>
      <w:bookmarkEnd w:id="627"/>
      <w:bookmarkEnd w:id="628"/>
      <w:bookmarkEnd w:id="629"/>
    </w:p>
    <w:p>
      <w:pPr>
        <w:ind w:firstLine="0" w:firstLineChars="0"/>
        <w:jc w:val="left"/>
        <w:rPr>
          <w:rFonts w:hint="eastAsia"/>
        </w:rPr>
      </w:pPr>
    </w:p>
    <w:p>
      <w:pPr>
        <w:snapToGrid w:val="0"/>
        <w:jc w:val="left"/>
        <w:rPr>
          <w:rFonts w:hint="eastAsia"/>
          <w:kern w:val="0"/>
        </w:rPr>
      </w:pPr>
      <w:r>
        <w:rPr>
          <w:kern w:val="0"/>
        </w:rPr>
        <w:t>注：</w:t>
      </w:r>
      <w:r>
        <w:rPr>
          <w:rFonts w:hint="eastAsia"/>
          <w:kern w:val="0"/>
        </w:rPr>
        <w:t>专用合同条款是对通用合同条款的具体阐明、修改或补充。专用合同条款与通用合同条款不一致时，以专用合同条款为准。</w:t>
      </w:r>
    </w:p>
    <w:p>
      <w:pPr>
        <w:keepNext/>
        <w:keepLines/>
        <w:widowControl/>
        <w:numPr>
          <w:ilvl w:val="0"/>
          <w:numId w:val="1"/>
        </w:numPr>
        <w:tabs>
          <w:tab w:val="left" w:pos="964"/>
        </w:tabs>
        <w:adjustRightInd w:val="0"/>
        <w:snapToGrid w:val="0"/>
        <w:ind w:left="0" w:firstLine="0" w:firstLineChars="0"/>
        <w:contextualSpacing/>
        <w:jc w:val="left"/>
        <w:outlineLvl w:val="1"/>
        <w:rPr>
          <w:rFonts w:hint="eastAsia" w:cs="Times New Roman"/>
          <w:b/>
          <w:bCs/>
          <w:sz w:val="32"/>
          <w:szCs w:val="32"/>
        </w:rPr>
      </w:pPr>
      <w:bookmarkStart w:id="630" w:name="_Toc129848665"/>
      <w:bookmarkStart w:id="631" w:name="_Toc170377959"/>
      <w:bookmarkStart w:id="632" w:name="_Toc32574"/>
      <w:r>
        <w:rPr>
          <w:rFonts w:hint="eastAsia" w:cs="Times New Roman"/>
          <w:b/>
          <w:bCs/>
          <w:sz w:val="32"/>
          <w:szCs w:val="32"/>
        </w:rPr>
        <w:t>一般规定</w:t>
      </w:r>
      <w:bookmarkEnd w:id="630"/>
      <w:bookmarkEnd w:id="631"/>
      <w:bookmarkEnd w:id="632"/>
    </w:p>
    <w:p>
      <w:pPr>
        <w:adjustRightInd w:val="0"/>
        <w:snapToGrid w:val="0"/>
        <w:ind w:firstLine="0" w:firstLineChars="0"/>
        <w:contextualSpacing/>
        <w:jc w:val="left"/>
        <w:rPr>
          <w:rFonts w:hint="eastAsia"/>
          <w:b/>
          <w:bCs/>
          <w:kern w:val="0"/>
          <w:sz w:val="28"/>
          <w:szCs w:val="28"/>
        </w:rPr>
      </w:pPr>
      <w:r>
        <w:rPr>
          <w:rFonts w:hint="eastAsia"/>
          <w:b/>
          <w:bCs/>
          <w:kern w:val="0"/>
          <w:sz w:val="28"/>
          <w:szCs w:val="28"/>
        </w:rPr>
        <w:t>1</w:t>
      </w:r>
      <w:r>
        <w:rPr>
          <w:b/>
          <w:bCs/>
          <w:kern w:val="0"/>
          <w:sz w:val="28"/>
          <w:szCs w:val="28"/>
        </w:rPr>
        <w:t>.1 定义</w:t>
      </w:r>
    </w:p>
    <w:p>
      <w:pPr>
        <w:adjustRightInd w:val="0"/>
        <w:snapToGrid w:val="0"/>
        <w:ind w:left="420" w:leftChars="200" w:firstLine="0" w:firstLineChars="0"/>
        <w:jc w:val="left"/>
        <w:rPr>
          <w:rFonts w:hint="eastAsia"/>
          <w:kern w:val="0"/>
        </w:rPr>
      </w:pPr>
      <w:r>
        <w:rPr>
          <w:rFonts w:hint="eastAsia"/>
          <w:kern w:val="0"/>
        </w:rPr>
        <w:t>1</w:t>
      </w:r>
      <w:r>
        <w:rPr>
          <w:kern w:val="0"/>
        </w:rPr>
        <w:t xml:space="preserve">.1.1 </w:t>
      </w:r>
      <w:r>
        <w:rPr>
          <w:rFonts w:hint="eastAsia"/>
          <w:kern w:val="0"/>
        </w:rPr>
        <w:t>解释合同文件的优先顺序</w:t>
      </w:r>
      <w:r>
        <w:rPr>
          <w:kern w:val="0"/>
        </w:rPr>
        <w:t>:</w:t>
      </w:r>
    </w:p>
    <w:p>
      <w:pPr>
        <w:adjustRightInd w:val="0"/>
        <w:snapToGrid w:val="0"/>
        <w:jc w:val="left"/>
        <w:rPr>
          <w:rFonts w:hint="eastAsia"/>
          <w:kern w:val="0"/>
        </w:rPr>
      </w:pPr>
      <w:r>
        <w:rPr>
          <w:rFonts w:hint="eastAsia"/>
          <w:kern w:val="0"/>
        </w:rPr>
        <w:t>（1）合同协议书（2）中标通知书；（3）投标函及投标函附录；（4）合同专用条款及合同附件；（5）合同通用条款（6）发包人要求；（7）招标文件及招标澄清文件；（8）投标文件（含评</w:t>
      </w:r>
      <w:r>
        <w:rPr>
          <w:kern w:val="0"/>
        </w:rPr>
        <w:t>标</w:t>
      </w:r>
      <w:r>
        <w:rPr>
          <w:rFonts w:hint="eastAsia"/>
          <w:kern w:val="0"/>
        </w:rPr>
        <w:t>澄清文件）；（9）标准、规范和有关技术文件；（</w:t>
      </w:r>
      <w:r>
        <w:rPr>
          <w:kern w:val="0"/>
        </w:rPr>
        <w:t>10</w:t>
      </w:r>
      <w:r>
        <w:rPr>
          <w:rFonts w:hint="eastAsia"/>
          <w:kern w:val="0"/>
        </w:rPr>
        <w:t>）其他合同文件。</w:t>
      </w:r>
    </w:p>
    <w:p>
      <w:pPr>
        <w:adjustRightInd w:val="0"/>
        <w:snapToGrid w:val="0"/>
        <w:ind w:left="420" w:hanging="420" w:hangingChars="200"/>
        <w:jc w:val="left"/>
        <w:rPr>
          <w:rFonts w:hint="eastAsia"/>
          <w:kern w:val="0"/>
        </w:rPr>
      </w:pPr>
      <w:r>
        <w:rPr>
          <w:rFonts w:hint="eastAsia"/>
          <w:kern w:val="0"/>
        </w:rPr>
        <w:t>如在同一顺序中对同一内容签订了不同版本文件，以签署时间在后者优先。</w:t>
      </w:r>
    </w:p>
    <w:p>
      <w:pPr>
        <w:adjustRightInd w:val="0"/>
        <w:snapToGrid w:val="0"/>
        <w:jc w:val="left"/>
        <w:rPr>
          <w:rFonts w:hint="eastAsia"/>
          <w:kern w:val="0"/>
        </w:rPr>
      </w:pPr>
      <w:r>
        <w:rPr>
          <w:kern w:val="0"/>
        </w:rPr>
        <w:t>1.1.3</w:t>
      </w:r>
      <w:r>
        <w:rPr>
          <w:rFonts w:hint="eastAsia"/>
          <w:kern w:val="0"/>
        </w:rPr>
        <w:t>（</w:t>
      </w:r>
      <w:r>
        <w:rPr>
          <w:kern w:val="0"/>
        </w:rPr>
        <w:t>8</w:t>
      </w:r>
      <w:r>
        <w:rPr>
          <w:rFonts w:hint="eastAsia"/>
          <w:kern w:val="0"/>
        </w:rPr>
        <w:t>）性能验收证书：指性能验收检测的结果表明已达到了承诺的性能保证值后，发包人向承包人签发的合同工程的验收证书。</w:t>
      </w:r>
    </w:p>
    <w:p>
      <w:pPr>
        <w:adjustRightInd w:val="0"/>
        <w:snapToGrid w:val="0"/>
        <w:jc w:val="left"/>
        <w:rPr>
          <w:rFonts w:hint="eastAsia"/>
          <w:kern w:val="0"/>
        </w:rPr>
      </w:pPr>
      <w:r>
        <w:rPr>
          <w:rFonts w:hint="eastAsia"/>
          <w:kern w:val="0"/>
        </w:rPr>
        <w:t>性能验收检测：指根据合同约定，在工程完成竣工试验后，在发包人的组织领导下并由承包人聘请的第三方检测机构按国家相应规范对相应设备进行各项性能保证值的试验。</w:t>
      </w:r>
    </w:p>
    <w:p>
      <w:pPr>
        <w:adjustRightInd w:val="0"/>
        <w:snapToGrid w:val="0"/>
        <w:jc w:val="left"/>
        <w:rPr>
          <w:rFonts w:hint="eastAsia"/>
          <w:kern w:val="0"/>
        </w:rPr>
      </w:pPr>
      <w:r>
        <w:rPr>
          <w:kern w:val="0"/>
        </w:rPr>
        <w:t xml:space="preserve">1.1.4 </w:t>
      </w:r>
      <w:r>
        <w:rPr>
          <w:rFonts w:hint="eastAsia"/>
          <w:kern w:val="0"/>
        </w:rPr>
        <w:t>款项与支付</w:t>
      </w:r>
    </w:p>
    <w:p>
      <w:pPr>
        <w:adjustRightInd w:val="0"/>
        <w:snapToGrid w:val="0"/>
        <w:jc w:val="left"/>
        <w:rPr>
          <w:rFonts w:hint="eastAsia"/>
          <w:kern w:val="0"/>
        </w:rPr>
      </w:pPr>
      <w:r>
        <w:rPr>
          <w:kern w:val="0"/>
        </w:rPr>
        <w:t>（8）“逾期付款</w:t>
      </w:r>
      <w:r>
        <w:rPr>
          <w:rFonts w:hint="eastAsia"/>
          <w:kern w:val="0"/>
        </w:rPr>
        <w:t>利</w:t>
      </w:r>
      <w:r>
        <w:rPr>
          <w:kern w:val="0"/>
        </w:rPr>
        <w:t>率”</w:t>
      </w:r>
      <w:r>
        <w:rPr>
          <w:rFonts w:hint="eastAsia"/>
          <w:kern w:val="0"/>
        </w:rPr>
        <w:t>：</w:t>
      </w:r>
      <w:r>
        <w:rPr>
          <w:kern w:val="0"/>
          <w:u w:val="single"/>
        </w:rPr>
        <w:t xml:space="preserve"> 不适用 </w:t>
      </w:r>
      <w:r>
        <w:rPr>
          <w:kern w:val="0"/>
        </w:rPr>
        <w:t xml:space="preserve"> </w:t>
      </w:r>
    </w:p>
    <w:p>
      <w:pPr>
        <w:adjustRightInd w:val="0"/>
        <w:snapToGrid w:val="0"/>
        <w:ind w:firstLine="0" w:firstLineChars="0"/>
        <w:contextualSpacing/>
        <w:jc w:val="left"/>
        <w:rPr>
          <w:rFonts w:hint="eastAsia"/>
          <w:b/>
          <w:bCs/>
          <w:kern w:val="0"/>
          <w:sz w:val="28"/>
          <w:szCs w:val="28"/>
        </w:rPr>
      </w:pPr>
      <w:r>
        <w:rPr>
          <w:rFonts w:hint="eastAsia"/>
          <w:b/>
          <w:bCs/>
          <w:kern w:val="0"/>
          <w:sz w:val="28"/>
          <w:szCs w:val="28"/>
        </w:rPr>
        <w:t>1.3 通知</w:t>
      </w:r>
    </w:p>
    <w:p>
      <w:pPr>
        <w:adjustRightInd w:val="0"/>
        <w:snapToGrid w:val="0"/>
        <w:ind w:firstLine="0" w:firstLineChars="0"/>
        <w:jc w:val="left"/>
        <w:rPr>
          <w:rFonts w:hint="eastAsia"/>
          <w:kern w:val="0"/>
        </w:rPr>
      </w:pPr>
      <w:r>
        <w:rPr>
          <w:kern w:val="0"/>
        </w:rPr>
        <w:t>合同双方在本合同下的通讯地址分别为：</w:t>
      </w:r>
    </w:p>
    <w:p>
      <w:pPr>
        <w:adjustRightInd w:val="0"/>
        <w:snapToGrid w:val="0"/>
        <w:ind w:firstLine="0" w:firstLineChars="0"/>
        <w:jc w:val="left"/>
        <w:rPr>
          <w:rFonts w:hint="eastAsia"/>
          <w:kern w:val="0"/>
        </w:rPr>
      </w:pPr>
      <w:r>
        <w:rPr>
          <w:kern w:val="0"/>
        </w:rPr>
        <w:t>发包人：</w:t>
      </w:r>
      <w:r>
        <w:rPr>
          <w:rFonts w:hint="eastAsia"/>
          <w:kern w:val="0"/>
        </w:rPr>
        <w:t>北京京能数字科技有限公司</w:t>
      </w:r>
    </w:p>
    <w:p>
      <w:pPr>
        <w:adjustRightInd w:val="0"/>
        <w:snapToGrid w:val="0"/>
        <w:ind w:firstLine="0" w:firstLineChars="0"/>
        <w:contextualSpacing/>
        <w:jc w:val="left"/>
        <w:rPr>
          <w:rFonts w:hint="eastAsia"/>
          <w:kern w:val="0"/>
        </w:rPr>
      </w:pPr>
      <w:r>
        <w:rPr>
          <w:kern w:val="0"/>
        </w:rPr>
        <w:t>地址：</w:t>
      </w:r>
      <w:r>
        <w:rPr>
          <w:rFonts w:hint="eastAsia"/>
          <w:kern w:val="0"/>
        </w:rPr>
        <w:t>北京市大兴区经济开发区科苑路18号3幢二层R2116室</w:t>
      </w:r>
    </w:p>
    <w:p>
      <w:pPr>
        <w:adjustRightInd w:val="0"/>
        <w:snapToGrid w:val="0"/>
        <w:ind w:firstLine="0" w:firstLineChars="0"/>
        <w:jc w:val="left"/>
        <w:rPr>
          <w:rFonts w:hint="eastAsia"/>
          <w:kern w:val="0"/>
        </w:rPr>
      </w:pPr>
      <w:r>
        <w:rPr>
          <w:kern w:val="0"/>
        </w:rPr>
        <w:t>邮政编码：</w:t>
      </w:r>
      <w:r>
        <w:rPr>
          <w:rFonts w:hint="eastAsia"/>
          <w:kern w:val="0"/>
        </w:rPr>
        <w:t>100000</w:t>
      </w:r>
    </w:p>
    <w:p>
      <w:pPr>
        <w:adjustRightInd w:val="0"/>
        <w:snapToGrid w:val="0"/>
        <w:ind w:firstLine="0" w:firstLineChars="0"/>
        <w:jc w:val="left"/>
        <w:rPr>
          <w:rFonts w:hint="eastAsia"/>
          <w:kern w:val="0"/>
        </w:rPr>
      </w:pPr>
      <w:r>
        <w:rPr>
          <w:kern w:val="0"/>
        </w:rPr>
        <w:t>电话：</w:t>
      </w:r>
    </w:p>
    <w:p>
      <w:pPr>
        <w:adjustRightInd w:val="0"/>
        <w:snapToGrid w:val="0"/>
        <w:ind w:firstLine="0" w:firstLineChars="0"/>
        <w:jc w:val="left"/>
        <w:rPr>
          <w:rFonts w:hint="eastAsia"/>
          <w:kern w:val="0"/>
        </w:rPr>
      </w:pPr>
      <w:r>
        <w:rPr>
          <w:kern w:val="0"/>
        </w:rPr>
        <w:t>传真：</w:t>
      </w:r>
    </w:p>
    <w:p>
      <w:pPr>
        <w:adjustRightInd w:val="0"/>
        <w:snapToGrid w:val="0"/>
        <w:ind w:firstLine="0" w:firstLineChars="0"/>
        <w:jc w:val="left"/>
        <w:rPr>
          <w:rFonts w:hint="eastAsia"/>
          <w:kern w:val="0"/>
        </w:rPr>
      </w:pPr>
      <w:r>
        <w:rPr>
          <w:kern w:val="0"/>
        </w:rPr>
        <w:t>电子信箱：</w:t>
      </w:r>
    </w:p>
    <w:p>
      <w:pPr>
        <w:adjustRightInd w:val="0"/>
        <w:snapToGrid w:val="0"/>
        <w:ind w:firstLine="0" w:firstLineChars="0"/>
        <w:jc w:val="left"/>
        <w:rPr>
          <w:rFonts w:hint="eastAsia"/>
          <w:kern w:val="0"/>
        </w:rPr>
      </w:pPr>
    </w:p>
    <w:p>
      <w:pPr>
        <w:adjustRightInd w:val="0"/>
        <w:snapToGrid w:val="0"/>
        <w:ind w:firstLine="0" w:firstLineChars="0"/>
        <w:jc w:val="left"/>
        <w:rPr>
          <w:rFonts w:hint="eastAsia"/>
          <w:color w:val="FF0000"/>
          <w:kern w:val="0"/>
        </w:rPr>
      </w:pPr>
      <w:r>
        <w:rPr>
          <w:color w:val="FF0000"/>
          <w:kern w:val="0"/>
        </w:rPr>
        <w:t>承包人：</w:t>
      </w:r>
      <w:r>
        <w:rPr>
          <w:rFonts w:hint="eastAsia"/>
          <w:color w:val="FF0000"/>
          <w:kern w:val="0"/>
        </w:rPr>
        <w:t>许继电气股份有限公司</w:t>
      </w:r>
    </w:p>
    <w:p>
      <w:pPr>
        <w:adjustRightInd w:val="0"/>
        <w:snapToGrid w:val="0"/>
        <w:ind w:firstLine="0" w:firstLineChars="0"/>
        <w:jc w:val="left"/>
        <w:rPr>
          <w:rFonts w:hint="eastAsia"/>
          <w:color w:val="FF0000"/>
          <w:kern w:val="0"/>
        </w:rPr>
      </w:pPr>
      <w:r>
        <w:rPr>
          <w:color w:val="FF0000"/>
          <w:kern w:val="0"/>
        </w:rPr>
        <w:t>地址：</w:t>
      </w:r>
      <w:r>
        <w:rPr>
          <w:rFonts w:hint="eastAsia"/>
          <w:color w:val="FF0000"/>
          <w:kern w:val="0"/>
        </w:rPr>
        <w:t>河南省许昌市许继大道1298号</w:t>
      </w:r>
    </w:p>
    <w:p>
      <w:pPr>
        <w:adjustRightInd w:val="0"/>
        <w:snapToGrid w:val="0"/>
        <w:ind w:firstLine="0" w:firstLineChars="0"/>
        <w:jc w:val="left"/>
        <w:rPr>
          <w:rFonts w:hint="eastAsia"/>
          <w:color w:val="FF0000"/>
          <w:kern w:val="0"/>
        </w:rPr>
      </w:pPr>
      <w:r>
        <w:rPr>
          <w:color w:val="FF0000"/>
          <w:kern w:val="0"/>
        </w:rPr>
        <w:t>邮政编码：</w:t>
      </w:r>
      <w:r>
        <w:rPr>
          <w:rFonts w:hint="eastAsia"/>
          <w:color w:val="FF0000"/>
          <w:kern w:val="0"/>
        </w:rPr>
        <w:t>461000</w:t>
      </w:r>
    </w:p>
    <w:p>
      <w:pPr>
        <w:adjustRightInd w:val="0"/>
        <w:snapToGrid w:val="0"/>
        <w:ind w:firstLine="0" w:firstLineChars="0"/>
        <w:jc w:val="left"/>
        <w:rPr>
          <w:rFonts w:hint="eastAsia"/>
          <w:color w:val="FF0000"/>
          <w:kern w:val="0"/>
        </w:rPr>
      </w:pPr>
      <w:r>
        <w:rPr>
          <w:color w:val="FF0000"/>
          <w:kern w:val="0"/>
        </w:rPr>
        <w:t>电话：</w:t>
      </w:r>
    </w:p>
    <w:p>
      <w:pPr>
        <w:adjustRightInd w:val="0"/>
        <w:snapToGrid w:val="0"/>
        <w:ind w:firstLine="0" w:firstLineChars="0"/>
        <w:jc w:val="left"/>
        <w:rPr>
          <w:rFonts w:hint="eastAsia"/>
          <w:color w:val="FF0000"/>
          <w:kern w:val="0"/>
        </w:rPr>
      </w:pPr>
      <w:r>
        <w:rPr>
          <w:color w:val="FF0000"/>
          <w:kern w:val="0"/>
        </w:rPr>
        <w:t>传真：</w:t>
      </w:r>
    </w:p>
    <w:p>
      <w:pPr>
        <w:adjustRightInd w:val="0"/>
        <w:snapToGrid w:val="0"/>
        <w:ind w:firstLine="0" w:firstLineChars="0"/>
        <w:jc w:val="left"/>
        <w:rPr>
          <w:rFonts w:hint="eastAsia"/>
          <w:color w:val="FF0000"/>
          <w:kern w:val="0"/>
        </w:rPr>
      </w:pPr>
      <w:r>
        <w:rPr>
          <w:rFonts w:hint="eastAsia"/>
          <w:color w:val="FF0000"/>
          <w:kern w:val="0"/>
        </w:rPr>
        <w:t>电子信箱</w:t>
      </w:r>
      <w:r>
        <w:rPr>
          <w:color w:val="FF0000"/>
          <w:kern w:val="0"/>
        </w:rPr>
        <w:t>：</w:t>
      </w:r>
    </w:p>
    <w:p>
      <w:pPr>
        <w:adjustRightInd w:val="0"/>
        <w:snapToGrid w:val="0"/>
        <w:ind w:firstLine="0" w:firstLineChars="0"/>
        <w:contextualSpacing/>
        <w:jc w:val="left"/>
        <w:rPr>
          <w:rFonts w:hint="eastAsia"/>
          <w:b/>
          <w:bCs/>
          <w:kern w:val="0"/>
          <w:sz w:val="28"/>
          <w:szCs w:val="28"/>
        </w:rPr>
      </w:pPr>
      <w:r>
        <w:rPr>
          <w:rFonts w:hint="eastAsia"/>
          <w:b/>
          <w:bCs/>
          <w:kern w:val="0"/>
          <w:sz w:val="28"/>
          <w:szCs w:val="28"/>
        </w:rPr>
        <w:t>1.5 许可和批准</w:t>
      </w:r>
    </w:p>
    <w:p>
      <w:pPr>
        <w:adjustRightInd w:val="0"/>
        <w:snapToGrid w:val="0"/>
        <w:ind w:firstLine="0" w:firstLineChars="0"/>
        <w:jc w:val="left"/>
        <w:rPr>
          <w:rFonts w:hint="eastAsia"/>
          <w:kern w:val="0"/>
        </w:rPr>
      </w:pPr>
      <w:r>
        <w:rPr>
          <w:rFonts w:hint="eastAsia"/>
        </w:rPr>
        <w:t>见</w:t>
      </w:r>
      <w:r>
        <w:rPr>
          <w:rFonts w:hint="eastAsia"/>
          <w:kern w:val="0"/>
          <w:u w:val="single"/>
        </w:rPr>
        <w:t>合同附件</w:t>
      </w:r>
      <w:r>
        <w:rPr>
          <w:kern w:val="0"/>
          <w:u w:val="single"/>
        </w:rPr>
        <w:t>1《</w:t>
      </w:r>
      <w:r>
        <w:rPr>
          <w:rFonts w:hint="eastAsia"/>
          <w:kern w:val="0"/>
          <w:u w:val="single"/>
        </w:rPr>
        <w:t>技术规范书</w:t>
      </w:r>
      <w:r>
        <w:rPr>
          <w:kern w:val="0"/>
          <w:u w:val="single"/>
        </w:rPr>
        <w:t>》</w:t>
      </w:r>
      <w:r>
        <w:rPr>
          <w:rFonts w:hint="eastAsia"/>
          <w:kern w:val="0"/>
          <w:u w:val="single"/>
        </w:rPr>
        <w:t>中相关</w:t>
      </w:r>
      <w:r>
        <w:rPr>
          <w:kern w:val="0"/>
        </w:rPr>
        <w:t>约定</w:t>
      </w:r>
      <w:r>
        <w:rPr>
          <w:rFonts w:hint="eastAsia"/>
          <w:kern w:val="0"/>
        </w:rPr>
        <w:t>。</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33" w:name="_Toc170377960"/>
      <w:bookmarkStart w:id="634" w:name="_Toc129848666"/>
      <w:bookmarkStart w:id="635" w:name="_Toc20963"/>
      <w:r>
        <w:rPr>
          <w:rFonts w:hint="eastAsia"/>
          <w:b/>
          <w:bCs/>
          <w:sz w:val="32"/>
          <w:szCs w:val="32"/>
        </w:rPr>
        <w:t>2.</w:t>
      </w:r>
      <w:r>
        <w:rPr>
          <w:b/>
          <w:bCs/>
          <w:sz w:val="32"/>
          <w:szCs w:val="32"/>
        </w:rPr>
        <w:t>发包人</w:t>
      </w:r>
      <w:bookmarkEnd w:id="633"/>
      <w:bookmarkEnd w:id="634"/>
      <w:bookmarkEnd w:id="635"/>
    </w:p>
    <w:p>
      <w:pPr>
        <w:adjustRightInd w:val="0"/>
        <w:snapToGrid w:val="0"/>
        <w:ind w:firstLine="0" w:firstLineChars="0"/>
        <w:contextualSpacing/>
        <w:jc w:val="left"/>
        <w:rPr>
          <w:rFonts w:hint="eastAsia"/>
          <w:b/>
          <w:bCs/>
          <w:kern w:val="0"/>
          <w:sz w:val="28"/>
          <w:szCs w:val="28"/>
        </w:rPr>
      </w:pPr>
      <w:r>
        <w:rPr>
          <w:rFonts w:hint="eastAsia"/>
          <w:b/>
          <w:bCs/>
          <w:kern w:val="0"/>
          <w:sz w:val="28"/>
          <w:szCs w:val="28"/>
        </w:rPr>
        <w:t>2.1 工程场地和工程场地进入权</w:t>
      </w:r>
    </w:p>
    <w:p>
      <w:pPr>
        <w:adjustRightInd w:val="0"/>
        <w:snapToGrid w:val="0"/>
        <w:jc w:val="left"/>
        <w:rPr>
          <w:rFonts w:hint="eastAsia"/>
          <w:kern w:val="0"/>
        </w:rPr>
      </w:pPr>
      <w:r>
        <w:rPr>
          <w:rFonts w:hint="eastAsia"/>
          <w:kern w:val="0"/>
        </w:rPr>
        <w:t>进入场地时间由发</w:t>
      </w:r>
      <w:r>
        <w:rPr>
          <w:kern w:val="0"/>
        </w:rPr>
        <w:t>包人确定</w:t>
      </w:r>
      <w:r>
        <w:rPr>
          <w:rFonts w:hint="eastAsia"/>
          <w:kern w:val="0"/>
        </w:rPr>
        <w:t>。</w:t>
      </w:r>
    </w:p>
    <w:p>
      <w:pPr>
        <w:adjustRightInd w:val="0"/>
        <w:snapToGrid w:val="0"/>
        <w:ind w:firstLine="0" w:firstLineChars="0"/>
        <w:contextualSpacing/>
        <w:jc w:val="left"/>
        <w:rPr>
          <w:rFonts w:hint="eastAsia"/>
          <w:b/>
          <w:bCs/>
          <w:kern w:val="0"/>
          <w:sz w:val="28"/>
          <w:szCs w:val="28"/>
        </w:rPr>
      </w:pPr>
      <w:r>
        <w:rPr>
          <w:rFonts w:hint="eastAsia"/>
          <w:b/>
          <w:bCs/>
          <w:kern w:val="0"/>
          <w:sz w:val="28"/>
          <w:szCs w:val="28"/>
        </w:rPr>
        <w:t>2.4 监理工程师</w:t>
      </w:r>
    </w:p>
    <w:p>
      <w:pPr>
        <w:adjustRightInd w:val="0"/>
        <w:snapToGrid w:val="0"/>
        <w:contextualSpacing/>
        <w:jc w:val="left"/>
        <w:rPr>
          <w:rFonts w:hint="eastAsia"/>
          <w:b/>
          <w:bCs/>
          <w:kern w:val="0"/>
          <w:sz w:val="28"/>
          <w:szCs w:val="28"/>
        </w:rPr>
      </w:pPr>
      <w:r>
        <w:rPr>
          <w:rFonts w:hint="eastAsia"/>
          <w:kern w:val="0"/>
        </w:rPr>
        <w:t>发包人指定的监理工程师。</w:t>
      </w:r>
    </w:p>
    <w:p>
      <w:pPr>
        <w:adjustRightInd w:val="0"/>
        <w:snapToGrid w:val="0"/>
        <w:ind w:firstLine="0" w:firstLineChars="0"/>
        <w:contextualSpacing/>
        <w:jc w:val="left"/>
        <w:rPr>
          <w:rFonts w:hint="eastAsia"/>
          <w:b/>
          <w:bCs/>
          <w:kern w:val="0"/>
          <w:sz w:val="28"/>
          <w:szCs w:val="28"/>
        </w:rPr>
      </w:pPr>
      <w:r>
        <w:rPr>
          <w:rFonts w:hint="eastAsia"/>
          <w:b/>
          <w:bCs/>
          <w:kern w:val="0"/>
          <w:sz w:val="28"/>
          <w:szCs w:val="28"/>
        </w:rPr>
        <w:t>2.6 运行人员</w:t>
      </w:r>
    </w:p>
    <w:p>
      <w:pPr>
        <w:adjustRightInd w:val="0"/>
        <w:snapToGrid w:val="0"/>
        <w:contextualSpacing/>
        <w:jc w:val="left"/>
        <w:rPr>
          <w:rFonts w:hint="eastAsia"/>
          <w:kern w:val="0"/>
        </w:rPr>
      </w:pPr>
      <w:r>
        <w:rPr>
          <w:kern w:val="0"/>
        </w:rPr>
        <w:t>发包人在</w:t>
      </w:r>
      <w:r>
        <w:rPr>
          <w:rFonts w:hint="eastAsia"/>
          <w:kern w:val="0"/>
        </w:rPr>
        <w:t>单体工程、分系统工程和整套启动设备调试阶段</w:t>
      </w:r>
      <w:r>
        <w:rPr>
          <w:kern w:val="0"/>
        </w:rPr>
        <w:t>应提供合格的运行人员</w:t>
      </w:r>
      <w:r>
        <w:rPr>
          <w:rFonts w:hint="eastAsia"/>
          <w:kern w:val="0"/>
        </w:rPr>
        <w:t>，</w:t>
      </w:r>
      <w:r>
        <w:rPr>
          <w:kern w:val="0"/>
        </w:rPr>
        <w:t>并按照调试的时间要求参加调试。</w:t>
      </w:r>
    </w:p>
    <w:p>
      <w:pPr>
        <w:adjustRightInd w:val="0"/>
        <w:snapToGrid w:val="0"/>
        <w:ind w:firstLine="0" w:firstLineChars="0"/>
        <w:contextualSpacing/>
        <w:jc w:val="left"/>
        <w:rPr>
          <w:rFonts w:hint="eastAsia"/>
          <w:b/>
          <w:bCs/>
          <w:kern w:val="0"/>
          <w:sz w:val="28"/>
          <w:szCs w:val="28"/>
        </w:rPr>
      </w:pPr>
      <w:r>
        <w:rPr>
          <w:rFonts w:hint="eastAsia"/>
          <w:b/>
          <w:bCs/>
          <w:kern w:val="0"/>
          <w:sz w:val="28"/>
          <w:szCs w:val="28"/>
        </w:rPr>
        <w:t>2.9 发包人提供的设备和材料： 无 。</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36" w:name="_Toc170377961"/>
      <w:bookmarkStart w:id="637" w:name="_Toc129848667"/>
      <w:bookmarkStart w:id="638" w:name="_Toc2105"/>
      <w:r>
        <w:rPr>
          <w:rFonts w:hint="eastAsia"/>
          <w:b/>
          <w:bCs/>
          <w:sz w:val="32"/>
          <w:szCs w:val="32"/>
        </w:rPr>
        <w:t>3.承包人</w:t>
      </w:r>
      <w:bookmarkEnd w:id="636"/>
      <w:bookmarkEnd w:id="637"/>
      <w:bookmarkEnd w:id="638"/>
    </w:p>
    <w:p>
      <w:pPr>
        <w:adjustRightInd w:val="0"/>
        <w:snapToGrid w:val="0"/>
        <w:ind w:firstLine="0" w:firstLineChars="0"/>
        <w:contextualSpacing/>
        <w:jc w:val="left"/>
        <w:rPr>
          <w:rFonts w:hint="eastAsia"/>
          <w:b/>
          <w:bCs/>
          <w:kern w:val="0"/>
          <w:sz w:val="28"/>
          <w:szCs w:val="28"/>
        </w:rPr>
      </w:pPr>
      <w:r>
        <w:rPr>
          <w:b/>
          <w:bCs/>
          <w:kern w:val="0"/>
          <w:sz w:val="28"/>
          <w:szCs w:val="28"/>
        </w:rPr>
        <w:t>3.2 服务范围</w:t>
      </w:r>
    </w:p>
    <w:p>
      <w:pPr>
        <w:adjustRightInd w:val="0"/>
        <w:snapToGrid w:val="0"/>
        <w:contextualSpacing/>
        <w:jc w:val="left"/>
        <w:rPr>
          <w:rFonts w:hint="eastAsia"/>
          <w:kern w:val="0"/>
        </w:rPr>
      </w:pPr>
      <w:r>
        <w:rPr>
          <w:kern w:val="0"/>
        </w:rPr>
        <w:t>3.2.2具体内容及相关的技术细节：</w:t>
      </w:r>
      <w:r>
        <w:rPr>
          <w:kern w:val="0"/>
          <w:u w:val="single"/>
        </w:rPr>
        <w:t>详见合同附件1《</w:t>
      </w:r>
      <w:r>
        <w:rPr>
          <w:rFonts w:hint="eastAsia"/>
          <w:kern w:val="0"/>
          <w:u w:val="single"/>
        </w:rPr>
        <w:t>技术规范书</w:t>
      </w:r>
      <w:r>
        <w:rPr>
          <w:kern w:val="0"/>
          <w:u w:val="single"/>
        </w:rPr>
        <w:t>》</w:t>
      </w:r>
      <w:r>
        <w:rPr>
          <w:rFonts w:hint="eastAsia"/>
          <w:kern w:val="0"/>
          <w:u w:val="single"/>
        </w:rPr>
        <w:t>中关于合同范围的规定</w:t>
      </w:r>
      <w:r>
        <w:rPr>
          <w:kern w:val="0"/>
        </w:rPr>
        <w:t>。</w:t>
      </w:r>
    </w:p>
    <w:p>
      <w:pPr>
        <w:adjustRightInd w:val="0"/>
        <w:snapToGrid w:val="0"/>
        <w:ind w:firstLine="0" w:firstLineChars="0"/>
        <w:jc w:val="left"/>
        <w:rPr>
          <w:rFonts w:hint="eastAsia"/>
          <w:b/>
          <w:bCs/>
          <w:kern w:val="0"/>
          <w:sz w:val="28"/>
          <w:szCs w:val="28"/>
        </w:rPr>
      </w:pPr>
      <w:r>
        <w:rPr>
          <w:b/>
          <w:bCs/>
          <w:kern w:val="0"/>
          <w:sz w:val="28"/>
          <w:szCs w:val="28"/>
        </w:rPr>
        <w:t>3.3承包人人员</w:t>
      </w:r>
    </w:p>
    <w:p>
      <w:pPr>
        <w:adjustRightInd w:val="0"/>
        <w:snapToGrid w:val="0"/>
        <w:jc w:val="left"/>
        <w:rPr>
          <w:rFonts w:hint="eastAsia"/>
          <w:kern w:val="0"/>
        </w:rPr>
      </w:pPr>
      <w:r>
        <w:rPr>
          <w:kern w:val="0"/>
        </w:rPr>
        <w:t>3.3.1 项目经理</w:t>
      </w:r>
    </w:p>
    <w:p>
      <w:pPr>
        <w:adjustRightInd w:val="0"/>
        <w:snapToGrid w:val="0"/>
        <w:jc w:val="left"/>
        <w:rPr>
          <w:rFonts w:hint="eastAsia"/>
        </w:rPr>
      </w:pPr>
      <w:r>
        <w:rPr>
          <w:rFonts w:hint="eastAsia"/>
          <w:kern w:val="0"/>
        </w:rPr>
        <w:t>项目经理</w:t>
      </w:r>
      <w:r>
        <w:rPr>
          <w:kern w:val="0"/>
        </w:rPr>
        <w:t>应将全部工作时间用于管理、协调、指导项目设计、采购、施工等方面的实施。</w:t>
      </w:r>
      <w:r>
        <w:rPr>
          <w:rFonts w:hint="eastAsia"/>
          <w:kern w:val="0"/>
        </w:rPr>
        <w:t>项目经理应常驻现场，每月在现场时间不得少于</w:t>
      </w:r>
      <w:r>
        <w:rPr>
          <w:kern w:val="0"/>
          <w:u w:val="single"/>
        </w:rPr>
        <w:t xml:space="preserve"> 26 </w:t>
      </w:r>
      <w:r>
        <w:rPr>
          <w:rFonts w:hint="eastAsia"/>
          <w:kern w:val="0"/>
        </w:rPr>
        <w:t>天，无特殊原因未达到上述天数，项目经理应安排其他人员（经发包人书面许可的、具有和项目经理相同资质的人员）履行项目经理职责，否则每少一天应向发包人支付违约金</w:t>
      </w:r>
      <w:r>
        <w:rPr>
          <w:kern w:val="0"/>
          <w:u w:val="single"/>
        </w:rPr>
        <w:t xml:space="preserve"> 1.0 </w:t>
      </w:r>
      <w:r>
        <w:rPr>
          <w:rFonts w:hint="eastAsia"/>
          <w:kern w:val="0"/>
        </w:rPr>
        <w:t>万元，发包人有权从未付工程款中直接扣除；无特殊原因项目经理每月在现场累计少于</w:t>
      </w:r>
      <w:r>
        <w:rPr>
          <w:kern w:val="0"/>
          <w:u w:val="single"/>
        </w:rPr>
        <w:t>2</w:t>
      </w:r>
      <w:r>
        <w:rPr>
          <w:rFonts w:hint="eastAsia"/>
          <w:kern w:val="0"/>
          <w:u w:val="single"/>
        </w:rPr>
        <w:t>6</w:t>
      </w:r>
      <w:r>
        <w:rPr>
          <w:kern w:val="0"/>
        </w:rPr>
        <w:t>天</w:t>
      </w:r>
      <w:r>
        <w:rPr>
          <w:rFonts w:hint="eastAsia"/>
          <w:kern w:val="0"/>
        </w:rPr>
        <w:t>且无法安排其他人员履行项目经理职责的，发包人有权要求承包人更换项目经理。项目经理如需离开现场应向发包人的项目负责人请假，并取得同意后方可离开。</w:t>
      </w:r>
      <w:r>
        <w:rPr>
          <w:rFonts w:hint="eastAsia"/>
        </w:rPr>
        <w:t>如违约金不足以弥补发包方的损失，承包方应就不足的部分予以补足。</w:t>
      </w:r>
    </w:p>
    <w:p>
      <w:pPr>
        <w:adjustRightInd w:val="0"/>
        <w:snapToGrid w:val="0"/>
        <w:jc w:val="left"/>
        <w:rPr>
          <w:rFonts w:hint="eastAsia"/>
          <w:kern w:val="0"/>
        </w:rPr>
      </w:pPr>
      <w:r>
        <w:rPr>
          <w:kern w:val="0"/>
        </w:rPr>
        <w:t>项目经理</w:t>
      </w:r>
      <w:r>
        <w:rPr>
          <w:rFonts w:hint="eastAsia"/>
          <w:kern w:val="0"/>
        </w:rPr>
        <w:t>代表承包人</w:t>
      </w:r>
      <w:r>
        <w:rPr>
          <w:kern w:val="0"/>
        </w:rPr>
        <w:t>接受本合同项下的一切通知、指示、认可、批准、证明、决定及其他往来信息。</w:t>
      </w:r>
    </w:p>
    <w:p>
      <w:pPr>
        <w:adjustRightInd w:val="0"/>
        <w:snapToGrid w:val="0"/>
        <w:ind w:firstLine="0" w:firstLineChars="0"/>
        <w:jc w:val="left"/>
        <w:rPr>
          <w:rFonts w:hint="eastAsia"/>
          <w:b/>
          <w:bCs/>
          <w:kern w:val="0"/>
          <w:sz w:val="28"/>
          <w:szCs w:val="28"/>
        </w:rPr>
      </w:pPr>
      <w:r>
        <w:rPr>
          <w:b/>
          <w:bCs/>
          <w:kern w:val="0"/>
          <w:sz w:val="28"/>
          <w:szCs w:val="28"/>
        </w:rPr>
        <w:t>3.4分包</w:t>
      </w:r>
    </w:p>
    <w:p>
      <w:pPr>
        <w:adjustRightInd w:val="0"/>
        <w:snapToGrid w:val="0"/>
        <w:jc w:val="left"/>
        <w:rPr>
          <w:rFonts w:hint="eastAsia"/>
          <w:kern w:val="0"/>
        </w:rPr>
      </w:pPr>
      <w:r>
        <w:rPr>
          <w:kern w:val="0"/>
        </w:rPr>
        <w:t>3.4.2分包商的选择</w:t>
      </w:r>
    </w:p>
    <w:p>
      <w:pPr>
        <w:adjustRightInd w:val="0"/>
        <w:snapToGrid w:val="0"/>
        <w:jc w:val="left"/>
        <w:rPr>
          <w:rFonts w:hint="eastAsia"/>
          <w:kern w:val="0"/>
        </w:rPr>
      </w:pPr>
      <w:r>
        <w:rPr>
          <w:kern w:val="0"/>
        </w:rPr>
        <w:t>具体</w:t>
      </w:r>
      <w:r>
        <w:rPr>
          <w:rFonts w:hint="eastAsia"/>
          <w:kern w:val="0"/>
        </w:rPr>
        <w:t>见投标人须知前附表1.1.4</w:t>
      </w:r>
    </w:p>
    <w:p>
      <w:pPr>
        <w:adjustRightInd w:val="0"/>
        <w:snapToGrid w:val="0"/>
        <w:ind w:firstLine="0" w:firstLineChars="0"/>
        <w:jc w:val="left"/>
        <w:rPr>
          <w:rFonts w:hint="eastAsia"/>
          <w:b/>
          <w:bCs/>
          <w:kern w:val="0"/>
          <w:sz w:val="32"/>
          <w:szCs w:val="32"/>
        </w:rPr>
      </w:pPr>
      <w:r>
        <w:rPr>
          <w:b/>
          <w:bCs/>
          <w:kern w:val="0"/>
          <w:sz w:val="32"/>
          <w:szCs w:val="32"/>
        </w:rPr>
        <w:t>3.5履约</w:t>
      </w:r>
      <w:r>
        <w:rPr>
          <w:rFonts w:hint="eastAsia"/>
          <w:b/>
          <w:bCs/>
          <w:kern w:val="0"/>
          <w:sz w:val="32"/>
          <w:szCs w:val="32"/>
        </w:rPr>
        <w:t>保函</w:t>
      </w:r>
    </w:p>
    <w:p>
      <w:pPr>
        <w:adjustRightInd w:val="0"/>
        <w:snapToGrid w:val="0"/>
        <w:jc w:val="left"/>
        <w:rPr>
          <w:rFonts w:hint="eastAsia"/>
          <w:kern w:val="0"/>
        </w:rPr>
      </w:pPr>
      <w:r>
        <w:rPr>
          <w:kern w:val="0"/>
        </w:rPr>
        <w:t>3.5.1承包人在</w:t>
      </w:r>
      <w:r>
        <w:rPr>
          <w:rFonts w:hint="eastAsia"/>
          <w:kern w:val="0"/>
        </w:rPr>
        <w:t>提交预付款申请后1</w:t>
      </w:r>
      <w:r>
        <w:rPr>
          <w:kern w:val="0"/>
        </w:rPr>
        <w:t>0</w:t>
      </w:r>
      <w:r>
        <w:rPr>
          <w:rFonts w:hint="eastAsia"/>
          <w:kern w:val="0"/>
        </w:rPr>
        <w:t>日内向发包人提交金额为合同金额</w:t>
      </w:r>
      <w:r>
        <w:rPr>
          <w:kern w:val="0"/>
          <w:u w:val="single"/>
        </w:rPr>
        <w:t>10</w:t>
      </w:r>
      <w:r>
        <w:rPr>
          <w:kern w:val="0"/>
        </w:rPr>
        <w:t>%</w:t>
      </w:r>
      <w:r>
        <w:rPr>
          <w:rFonts w:hint="eastAsia"/>
          <w:kern w:val="0"/>
        </w:rPr>
        <w:t>的</w:t>
      </w:r>
      <w:r>
        <w:rPr>
          <w:kern w:val="0"/>
        </w:rPr>
        <w:t>履约保</w:t>
      </w:r>
      <w:r>
        <w:rPr>
          <w:rFonts w:hint="eastAsia"/>
          <w:kern w:val="0"/>
        </w:rPr>
        <w:t>函</w:t>
      </w:r>
      <w:r>
        <w:rPr>
          <w:kern w:val="0"/>
        </w:rPr>
        <w:t>。</w:t>
      </w:r>
    </w:p>
    <w:p>
      <w:pPr>
        <w:adjustRightInd w:val="0"/>
        <w:snapToGrid w:val="0"/>
        <w:ind w:left="420" w:hanging="420" w:hangingChars="200"/>
        <w:jc w:val="left"/>
        <w:rPr>
          <w:rFonts w:hint="eastAsia"/>
          <w:kern w:val="0"/>
        </w:rPr>
      </w:pPr>
      <w:r>
        <w:rPr>
          <w:kern w:val="0"/>
        </w:rPr>
        <w:t>履约保</w:t>
      </w:r>
      <w:r>
        <w:rPr>
          <w:rFonts w:hint="eastAsia"/>
          <w:kern w:val="0"/>
        </w:rPr>
        <w:t>函</w:t>
      </w:r>
      <w:r>
        <w:rPr>
          <w:kern w:val="0"/>
        </w:rPr>
        <w:t>应由</w:t>
      </w:r>
      <w:r>
        <w:rPr>
          <w:rFonts w:hint="eastAsia"/>
          <w:kern w:val="0"/>
        </w:rPr>
        <w:t>经发包人同意的商业银行</w:t>
      </w:r>
      <w:r>
        <w:rPr>
          <w:kern w:val="0"/>
        </w:rPr>
        <w:t>提供，银行保函</w:t>
      </w:r>
      <w:r>
        <w:rPr>
          <w:rFonts w:hint="eastAsia"/>
          <w:kern w:val="0"/>
        </w:rPr>
        <w:t>可采用银行格式，也可采用附件二</w:t>
      </w:r>
      <w:r>
        <w:rPr>
          <w:kern w:val="0"/>
        </w:rPr>
        <w:t>格式</w:t>
      </w:r>
      <w:r>
        <w:rPr>
          <w:rFonts w:hint="eastAsia"/>
          <w:kern w:val="0"/>
        </w:rPr>
        <w:t>，但</w:t>
      </w:r>
    </w:p>
    <w:p>
      <w:pPr>
        <w:adjustRightInd w:val="0"/>
        <w:snapToGrid w:val="0"/>
        <w:ind w:left="420" w:hanging="420" w:hangingChars="200"/>
        <w:jc w:val="left"/>
        <w:rPr>
          <w:rFonts w:hint="eastAsia"/>
        </w:rPr>
      </w:pPr>
      <w:r>
        <w:rPr>
          <w:rFonts w:hint="eastAsia"/>
          <w:kern w:val="0"/>
        </w:rPr>
        <w:t>都需经发包人认可后再开具</w:t>
      </w:r>
      <w:r>
        <w:rPr>
          <w:kern w:val="0"/>
        </w:rPr>
        <w:t>。</w:t>
      </w:r>
    </w:p>
    <w:p>
      <w:pPr>
        <w:adjustRightInd w:val="0"/>
        <w:snapToGrid w:val="0"/>
        <w:jc w:val="left"/>
        <w:rPr>
          <w:rFonts w:hint="eastAsia"/>
          <w:kern w:val="0"/>
        </w:rPr>
      </w:pPr>
      <w:r>
        <w:rPr>
          <w:rFonts w:hint="eastAsia"/>
          <w:kern w:val="0"/>
        </w:rPr>
        <w:t>承包人未按上述期限提交符合要求的履约保函的，将不支付</w:t>
      </w:r>
      <w:r>
        <w:rPr>
          <w:kern w:val="0"/>
        </w:rPr>
        <w:t>工程预付款，</w:t>
      </w:r>
      <w:r>
        <w:rPr>
          <w:rFonts w:hint="eastAsia"/>
          <w:kern w:val="0"/>
        </w:rPr>
        <w:t>逾期超过20</w:t>
      </w:r>
      <w:r>
        <w:rPr>
          <w:kern w:val="0"/>
        </w:rPr>
        <w:t>天时，发包人有权解除本合同。</w:t>
      </w:r>
      <w:r>
        <w:rPr>
          <w:rFonts w:hint="eastAsia"/>
          <w:kern w:val="0"/>
        </w:rPr>
        <w:t>如因承包人原因导致合同解除的，承包人应向发包人支付相当于合同总价款</w:t>
      </w:r>
      <w:r>
        <w:rPr>
          <w:rFonts w:hint="eastAsia"/>
          <w:kern w:val="0"/>
          <w:u w:val="single"/>
        </w:rPr>
        <w:t>20%</w:t>
      </w:r>
      <w:r>
        <w:rPr>
          <w:rFonts w:hint="eastAsia"/>
          <w:kern w:val="0"/>
        </w:rPr>
        <w:t>的违约金，如违约金不足以弥补发包人的损失，承包人应予以补足。</w:t>
      </w:r>
    </w:p>
    <w:p>
      <w:pPr>
        <w:adjustRightInd w:val="0"/>
        <w:snapToGrid w:val="0"/>
        <w:jc w:val="left"/>
        <w:rPr>
          <w:rFonts w:hint="eastAsia"/>
          <w:kern w:val="0"/>
        </w:rPr>
      </w:pPr>
      <w:r>
        <w:rPr>
          <w:rFonts w:hint="eastAsia"/>
        </w:rPr>
        <w:t>履约保函须保证自发包人与承包人签订的合同生效之日起至</w:t>
      </w:r>
      <w:r>
        <w:rPr>
          <w:rFonts w:hint="eastAsia"/>
          <w:kern w:val="0"/>
        </w:rPr>
        <w:t>全部储能单元工程并网发电且性能试验验收</w:t>
      </w:r>
      <w:r>
        <w:rPr>
          <w:kern w:val="0"/>
        </w:rPr>
        <w:t>合格</w:t>
      </w:r>
      <w:r>
        <w:rPr>
          <w:rFonts w:hint="eastAsia"/>
          <w:kern w:val="0"/>
        </w:rPr>
        <w:t>之日</w:t>
      </w:r>
      <w:r>
        <w:rPr>
          <w:rFonts w:hint="eastAsia"/>
        </w:rPr>
        <w:t>有效；若保函到期10日前未完成</w:t>
      </w:r>
      <w:r>
        <w:rPr>
          <w:rFonts w:hint="eastAsia"/>
          <w:kern w:val="0"/>
        </w:rPr>
        <w:t>全部储能单元工程并网发电且性能试验验收</w:t>
      </w:r>
      <w:r>
        <w:rPr>
          <w:kern w:val="0"/>
        </w:rPr>
        <w:t>合格</w:t>
      </w:r>
      <w:r>
        <w:rPr>
          <w:rFonts w:hint="eastAsia"/>
        </w:rPr>
        <w:t>，承包人须就履约保函办理续保手续。逾期不续保的，每日按【</w:t>
      </w:r>
      <w:r>
        <w:rPr>
          <w:color w:val="FF0000"/>
        </w:rPr>
        <w:t>合同总价款的1%</w:t>
      </w:r>
      <w:r>
        <w:rPr>
          <w:rFonts w:hint="eastAsia"/>
        </w:rPr>
        <w:t>】支付违约金，发包人有权从未付工程款中直接扣除。</w:t>
      </w:r>
    </w:p>
    <w:p>
      <w:pPr>
        <w:adjustRightInd w:val="0"/>
        <w:snapToGrid w:val="0"/>
        <w:jc w:val="left"/>
        <w:rPr>
          <w:rFonts w:hint="eastAsia"/>
          <w:kern w:val="0"/>
        </w:rPr>
      </w:pPr>
      <w:r>
        <w:rPr>
          <w:kern w:val="0"/>
        </w:rPr>
        <w:t>3.5.2履约保函在</w:t>
      </w:r>
      <w:r>
        <w:rPr>
          <w:rFonts w:hint="eastAsia"/>
          <w:kern w:val="0"/>
        </w:rPr>
        <w:t>全部储能单元工程并网发电，性能试验验收</w:t>
      </w:r>
      <w:r>
        <w:rPr>
          <w:kern w:val="0"/>
        </w:rPr>
        <w:t>合格</w:t>
      </w:r>
      <w:r>
        <w:rPr>
          <w:rFonts w:hint="eastAsia"/>
          <w:kern w:val="0"/>
        </w:rPr>
        <w:t>后退还。</w:t>
      </w:r>
    </w:p>
    <w:p>
      <w:pPr>
        <w:adjustRightInd w:val="0"/>
        <w:snapToGrid w:val="0"/>
        <w:jc w:val="left"/>
        <w:rPr>
          <w:rFonts w:hint="eastAsia"/>
          <w:kern w:val="0"/>
        </w:rPr>
      </w:pPr>
      <w:r>
        <w:rPr>
          <w:rFonts w:hint="eastAsia"/>
          <w:kern w:val="0"/>
        </w:rPr>
        <w:t>3.5.3 履约保函退还时间按专用条款3.5.2执行。</w:t>
      </w:r>
    </w:p>
    <w:p>
      <w:pPr>
        <w:adjustRightInd w:val="0"/>
        <w:snapToGrid w:val="0"/>
        <w:ind w:firstLine="0" w:firstLineChars="0"/>
        <w:jc w:val="left"/>
        <w:rPr>
          <w:rFonts w:hint="eastAsia"/>
          <w:b/>
          <w:bCs/>
          <w:kern w:val="0"/>
          <w:sz w:val="32"/>
          <w:szCs w:val="32"/>
        </w:rPr>
      </w:pPr>
      <w:r>
        <w:rPr>
          <w:b/>
          <w:bCs/>
          <w:kern w:val="0"/>
          <w:sz w:val="32"/>
          <w:szCs w:val="32"/>
        </w:rPr>
        <w:t>3.6</w:t>
      </w:r>
      <w:r>
        <w:rPr>
          <w:rFonts w:hint="eastAsia"/>
          <w:b/>
          <w:bCs/>
          <w:kern w:val="0"/>
          <w:sz w:val="32"/>
          <w:szCs w:val="32"/>
        </w:rPr>
        <w:t>安全</w:t>
      </w:r>
    </w:p>
    <w:p>
      <w:pPr>
        <w:adjustRightInd w:val="0"/>
        <w:snapToGrid w:val="0"/>
        <w:ind w:left="420" w:leftChars="200"/>
        <w:jc w:val="left"/>
        <w:rPr>
          <w:rFonts w:hint="eastAsia"/>
          <w:kern w:val="0"/>
        </w:rPr>
      </w:pPr>
      <w:r>
        <w:rPr>
          <w:rFonts w:hint="eastAsia"/>
          <w:kern w:val="0"/>
        </w:rPr>
        <w:t>承包方应当遵守消防及安全生产的管理规定，认真履行《安全生产管理协议》并同意按照甲方的《外委单位安全管理考核实施细则》进行安全生产考核。如果承包方违反《安全生产管理协议》并发生《外委单位安全管理考核实施细则》规定的应承担责任的情形，构成合同违约，应按照《外委单位安全管理考核实施细则》承担相应的违约责任。《安全生产管理协议》和《外委单位安全管理考核实施细则》作为本合同附件，与本合同具有同等效力。</w:t>
      </w:r>
      <w:r>
        <w:rPr>
          <w:kern w:val="0"/>
        </w:rPr>
        <w:t xml:space="preserve"> </w:t>
      </w:r>
    </w:p>
    <w:p>
      <w:pPr>
        <w:adjustRightInd w:val="0"/>
        <w:snapToGrid w:val="0"/>
        <w:ind w:firstLine="0" w:firstLineChars="0"/>
        <w:jc w:val="left"/>
        <w:rPr>
          <w:rFonts w:hint="eastAsia"/>
          <w:b/>
          <w:bCs/>
          <w:kern w:val="0"/>
          <w:sz w:val="32"/>
          <w:szCs w:val="32"/>
        </w:rPr>
      </w:pPr>
      <w:r>
        <w:rPr>
          <w:b/>
          <w:bCs/>
          <w:kern w:val="0"/>
          <w:sz w:val="32"/>
          <w:szCs w:val="32"/>
        </w:rPr>
        <w:t xml:space="preserve">3.14 </w:t>
      </w:r>
      <w:r>
        <w:rPr>
          <w:rFonts w:hint="eastAsia"/>
          <w:b/>
          <w:bCs/>
          <w:kern w:val="0"/>
          <w:sz w:val="32"/>
          <w:szCs w:val="32"/>
        </w:rPr>
        <w:t>不可预见的困难</w:t>
      </w:r>
    </w:p>
    <w:p>
      <w:pPr>
        <w:adjustRightInd w:val="0"/>
        <w:snapToGrid w:val="0"/>
        <w:jc w:val="left"/>
        <w:rPr>
          <w:rFonts w:hint="eastAsia"/>
          <w:kern w:val="0"/>
        </w:rPr>
      </w:pPr>
      <w:r>
        <w:rPr>
          <w:kern w:val="0"/>
        </w:rPr>
        <w:t>有经验的承包人均不可预见的困难包括：</w:t>
      </w:r>
    </w:p>
    <w:p>
      <w:pPr>
        <w:adjustRightInd w:val="0"/>
        <w:snapToGrid w:val="0"/>
        <w:jc w:val="left"/>
        <w:rPr>
          <w:rFonts w:hint="eastAsia"/>
          <w:kern w:val="0"/>
        </w:rPr>
      </w:pPr>
      <w:r>
        <w:rPr>
          <w:kern w:val="0"/>
        </w:rPr>
        <w:t>（1）不可抗力</w:t>
      </w:r>
      <w:r>
        <w:rPr>
          <w:rFonts w:hint="eastAsia"/>
          <w:kern w:val="0"/>
        </w:rPr>
        <w:t>（包含疫情影响）</w:t>
      </w:r>
      <w:r>
        <w:rPr>
          <w:kern w:val="0"/>
        </w:rPr>
        <w:t>；</w:t>
      </w:r>
    </w:p>
    <w:p>
      <w:pPr>
        <w:adjustRightInd w:val="0"/>
        <w:snapToGrid w:val="0"/>
        <w:jc w:val="left"/>
        <w:rPr>
          <w:rFonts w:hint="eastAsia"/>
          <w:kern w:val="0"/>
        </w:rPr>
      </w:pPr>
      <w:r>
        <w:rPr>
          <w:kern w:val="0"/>
        </w:rPr>
        <w:t>（2）法律、政策、规范变化；</w:t>
      </w:r>
    </w:p>
    <w:p>
      <w:pPr>
        <w:adjustRightInd w:val="0"/>
        <w:snapToGrid w:val="0"/>
        <w:jc w:val="left"/>
        <w:rPr>
          <w:rFonts w:hint="eastAsia"/>
          <w:kern w:val="0"/>
        </w:rPr>
      </w:pPr>
      <w:r>
        <w:rPr>
          <w:kern w:val="0"/>
        </w:rPr>
        <w:t xml:space="preserve"> </w:t>
      </w:r>
      <w:r>
        <w:rPr>
          <w:rFonts w:hint="eastAsia"/>
          <w:kern w:val="0"/>
        </w:rPr>
        <w:t>因上述原因导致的工程工期延误，发包人同意工期顺延，并且发包人同意不追究承包人的违约责任。</w:t>
      </w:r>
    </w:p>
    <w:p>
      <w:pPr>
        <w:adjustRightInd w:val="0"/>
        <w:snapToGrid w:val="0"/>
        <w:jc w:val="left"/>
        <w:rPr>
          <w:rFonts w:hint="eastAsia"/>
          <w:kern w:val="0"/>
        </w:rPr>
      </w:pPr>
      <w:r>
        <w:rPr>
          <w:rFonts w:hint="eastAsia"/>
          <w:kern w:val="0"/>
        </w:rPr>
        <w:t>如因政策原因、不可抗力原因导致工程无法按时实现项目并网发电的，发包人应当按照承包人已完成工程对应的合同款项向承包人付款，并在全部具备建设条件的储能单元全部并网发电且性能试验验收合格后向承包人退还履约保函。</w:t>
      </w:r>
    </w:p>
    <w:p>
      <w:pPr>
        <w:adjustRightInd w:val="0"/>
        <w:snapToGrid w:val="0"/>
        <w:ind w:firstLine="0" w:firstLineChars="0"/>
        <w:jc w:val="left"/>
        <w:rPr>
          <w:rFonts w:hint="eastAsia"/>
          <w:b/>
          <w:bCs/>
          <w:kern w:val="0"/>
          <w:sz w:val="32"/>
          <w:szCs w:val="32"/>
        </w:rPr>
      </w:pPr>
      <w:r>
        <w:rPr>
          <w:rFonts w:hint="eastAsia"/>
          <w:b/>
          <w:bCs/>
          <w:kern w:val="0"/>
          <w:sz w:val="32"/>
          <w:szCs w:val="32"/>
        </w:rPr>
        <w:t>3</w:t>
      </w:r>
      <w:r>
        <w:rPr>
          <w:b/>
          <w:bCs/>
          <w:kern w:val="0"/>
          <w:sz w:val="32"/>
          <w:szCs w:val="32"/>
        </w:rPr>
        <w:t>.15资料（补充）</w:t>
      </w:r>
    </w:p>
    <w:p>
      <w:pPr>
        <w:adjustRightInd w:val="0"/>
        <w:snapToGrid w:val="0"/>
        <w:jc w:val="left"/>
        <w:rPr>
          <w:rFonts w:hint="eastAsia"/>
          <w:kern w:val="0"/>
        </w:rPr>
      </w:pPr>
      <w:r>
        <w:rPr>
          <w:kern w:val="0"/>
        </w:rPr>
        <w:t>当</w:t>
      </w:r>
      <w:r>
        <w:rPr>
          <w:rFonts w:hint="eastAsia"/>
          <w:kern w:val="0"/>
        </w:rPr>
        <w:t>发包人提供资料不齐全或者不详尽时，承包人应自行解决，因此产生的费用已包含于其他项目报价中。</w:t>
      </w:r>
    </w:p>
    <w:p>
      <w:pPr>
        <w:adjustRightInd w:val="0"/>
        <w:snapToGrid w:val="0"/>
        <w:ind w:firstLine="0" w:firstLineChars="0"/>
        <w:jc w:val="left"/>
        <w:rPr>
          <w:rFonts w:hint="eastAsia"/>
          <w:b/>
          <w:bCs/>
          <w:kern w:val="0"/>
          <w:sz w:val="32"/>
          <w:szCs w:val="32"/>
        </w:rPr>
      </w:pPr>
      <w:r>
        <w:rPr>
          <w:b/>
          <w:bCs/>
          <w:kern w:val="0"/>
          <w:sz w:val="32"/>
          <w:szCs w:val="32"/>
        </w:rPr>
        <w:t>3.17负责检查、检验</w:t>
      </w:r>
    </w:p>
    <w:p>
      <w:pPr>
        <w:adjustRightInd w:val="0"/>
        <w:snapToGrid w:val="0"/>
        <w:contextualSpacing/>
        <w:rPr>
          <w:rFonts w:hint="eastAsia"/>
        </w:rPr>
      </w:pPr>
      <w:r>
        <w:rPr>
          <w:rFonts w:hint="eastAsia"/>
        </w:rPr>
        <w:t>承包人应负责地方劳动部门、技术监督检验部门、计量管理部门依照有关法律对工程开展的各项检验、检查、注册登记和发证工作。检验、检查的全部费用由承包人承担。承包人负责承包范围内消防工程、起吊设施、计量设备等的报验并取证的全部工作，费用由承包人承担。</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39" w:name="_Toc129848668"/>
      <w:bookmarkStart w:id="640" w:name="_Toc170377962"/>
      <w:bookmarkStart w:id="641" w:name="_Toc19924"/>
      <w:r>
        <w:rPr>
          <w:rFonts w:hint="eastAsia"/>
          <w:b/>
          <w:bCs/>
          <w:sz w:val="32"/>
          <w:szCs w:val="32"/>
        </w:rPr>
        <w:t>4.</w:t>
      </w:r>
      <w:r>
        <w:rPr>
          <w:b/>
          <w:bCs/>
          <w:sz w:val="32"/>
          <w:szCs w:val="32"/>
        </w:rPr>
        <w:t>设计</w:t>
      </w:r>
      <w:bookmarkEnd w:id="639"/>
      <w:bookmarkEnd w:id="640"/>
      <w:bookmarkEnd w:id="641"/>
    </w:p>
    <w:p>
      <w:pPr>
        <w:pStyle w:val="5"/>
      </w:pPr>
      <w:r>
        <w:t>4.2.3 竣工资料编制</w:t>
      </w:r>
    </w:p>
    <w:p>
      <w:pPr>
        <w:pStyle w:val="5"/>
      </w:pPr>
      <w:r>
        <w:rPr>
          <w:rFonts w:hint="eastAsia"/>
        </w:rPr>
        <w:t>承包人应按照合同专用条款的要求，在</w:t>
      </w:r>
      <w:r>
        <w:rPr>
          <w:rFonts w:hint="eastAsia"/>
          <w:u w:val="single"/>
        </w:rPr>
        <w:t>工程完工后</w:t>
      </w:r>
      <w:r>
        <w:rPr>
          <w:u w:val="single"/>
        </w:rPr>
        <w:t>30天内</w:t>
      </w:r>
      <w:r>
        <w:rPr>
          <w:rFonts w:hint="eastAsia"/>
        </w:rPr>
        <w:t>编制本工程的竣工资料（包括竣工图）并提交发包人。</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42" w:name="_Toc170377963"/>
      <w:bookmarkStart w:id="643" w:name="_Toc129848669"/>
      <w:bookmarkStart w:id="644" w:name="_Toc10459"/>
      <w:r>
        <w:rPr>
          <w:rFonts w:hint="eastAsia"/>
          <w:b/>
          <w:bCs/>
          <w:sz w:val="32"/>
          <w:szCs w:val="32"/>
        </w:rPr>
        <w:t>5.</w:t>
      </w:r>
      <w:r>
        <w:rPr>
          <w:b/>
          <w:bCs/>
          <w:sz w:val="32"/>
          <w:szCs w:val="32"/>
        </w:rPr>
        <w:t>设备和材料</w:t>
      </w:r>
      <w:bookmarkEnd w:id="642"/>
      <w:bookmarkEnd w:id="643"/>
      <w:bookmarkEnd w:id="644"/>
    </w:p>
    <w:p>
      <w:pPr>
        <w:adjustRightInd w:val="0"/>
        <w:snapToGrid w:val="0"/>
        <w:ind w:firstLine="0" w:firstLineChars="0"/>
        <w:jc w:val="left"/>
        <w:rPr>
          <w:rFonts w:hint="eastAsia"/>
          <w:b/>
          <w:bCs/>
          <w:kern w:val="0"/>
          <w:sz w:val="32"/>
          <w:szCs w:val="32"/>
        </w:rPr>
      </w:pPr>
      <w:r>
        <w:rPr>
          <w:b/>
          <w:bCs/>
          <w:kern w:val="0"/>
          <w:sz w:val="32"/>
          <w:szCs w:val="32"/>
        </w:rPr>
        <w:t>5.1 采购与管理</w:t>
      </w:r>
    </w:p>
    <w:p>
      <w:pPr>
        <w:adjustRightInd w:val="0"/>
        <w:snapToGrid w:val="0"/>
        <w:jc w:val="left"/>
        <w:rPr>
          <w:rFonts w:hint="eastAsia"/>
          <w:kern w:val="0"/>
        </w:rPr>
      </w:pPr>
      <w:r>
        <w:rPr>
          <w:kern w:val="0"/>
        </w:rPr>
        <w:t>5.1.1承包人采购的设备和材料见</w:t>
      </w:r>
      <w:r>
        <w:rPr>
          <w:kern w:val="0"/>
          <w:u w:val="single"/>
        </w:rPr>
        <w:t>附件1《</w:t>
      </w:r>
      <w:r>
        <w:rPr>
          <w:rFonts w:hint="eastAsia"/>
          <w:kern w:val="0"/>
          <w:u w:val="single"/>
        </w:rPr>
        <w:t>技术规范书》的规定</w:t>
      </w:r>
      <w:r>
        <w:rPr>
          <w:rFonts w:hint="eastAsia"/>
          <w:kern w:val="0"/>
        </w:rPr>
        <w:t>。</w:t>
      </w:r>
    </w:p>
    <w:p>
      <w:pPr>
        <w:adjustRightInd w:val="0"/>
        <w:snapToGrid w:val="0"/>
        <w:ind w:left="10" w:firstLine="409" w:firstLineChars="195"/>
        <w:jc w:val="left"/>
        <w:rPr>
          <w:rFonts w:hint="eastAsia"/>
          <w:kern w:val="0"/>
        </w:rPr>
      </w:pPr>
      <w:r>
        <w:rPr>
          <w:rFonts w:hint="eastAsia"/>
          <w:kern w:val="0"/>
        </w:rPr>
        <w:t>5.1.6承包人采购的所有设备和材料，其参数性能除要满足国家标准和设计标准外，还得满足所在地地方标准</w:t>
      </w:r>
      <w:r>
        <w:rPr>
          <w:kern w:val="0"/>
        </w:rPr>
        <w:t>、</w:t>
      </w:r>
      <w:r>
        <w:rPr>
          <w:rFonts w:hint="eastAsia"/>
          <w:kern w:val="0"/>
        </w:rPr>
        <w:t>电网要求，</w:t>
      </w:r>
      <w:r>
        <w:rPr>
          <w:kern w:val="0"/>
        </w:rPr>
        <w:t>以及</w:t>
      </w:r>
      <w:r>
        <w:rPr>
          <w:rFonts w:hint="eastAsia"/>
          <w:kern w:val="0"/>
        </w:rPr>
        <w:t>接入发包人集控中心的要求，并且需</w:t>
      </w:r>
      <w:r>
        <w:rPr>
          <w:kern w:val="0"/>
        </w:rPr>
        <w:t>通过发包人的验收</w:t>
      </w:r>
      <w:r>
        <w:rPr>
          <w:rFonts w:hint="eastAsia"/>
          <w:kern w:val="0"/>
        </w:rPr>
        <w:t>，</w:t>
      </w:r>
      <w:r>
        <w:rPr>
          <w:kern w:val="0"/>
        </w:rPr>
        <w:t>以证明设备质量及参数性能满足地方及电网要求</w:t>
      </w:r>
      <w:r>
        <w:rPr>
          <w:rFonts w:hint="eastAsia"/>
          <w:kern w:val="0"/>
        </w:rPr>
        <w:t>，</w:t>
      </w:r>
      <w:r>
        <w:rPr>
          <w:kern w:val="0"/>
        </w:rPr>
        <w:t>如不符合以上要求及目标</w:t>
      </w:r>
      <w:r>
        <w:rPr>
          <w:rFonts w:hint="eastAsia"/>
          <w:kern w:val="0"/>
        </w:rPr>
        <w:t>，承包人应及时增加、更改、修复、拆除或重新采购并承担由此发生的费用，因此延误的工期不予顺延。</w:t>
      </w:r>
    </w:p>
    <w:p>
      <w:pPr>
        <w:adjustRightInd w:val="0"/>
        <w:snapToGrid w:val="0"/>
        <w:ind w:firstLine="0" w:firstLineChars="0"/>
        <w:jc w:val="left"/>
        <w:rPr>
          <w:rFonts w:hint="eastAsia"/>
          <w:b/>
          <w:bCs/>
          <w:kern w:val="0"/>
          <w:sz w:val="32"/>
          <w:szCs w:val="32"/>
        </w:rPr>
      </w:pPr>
      <w:r>
        <w:rPr>
          <w:rFonts w:hint="eastAsia"/>
          <w:b/>
          <w:bCs/>
          <w:kern w:val="0"/>
          <w:sz w:val="32"/>
          <w:szCs w:val="32"/>
        </w:rPr>
        <w:t>5</w:t>
      </w:r>
      <w:r>
        <w:rPr>
          <w:b/>
          <w:bCs/>
          <w:kern w:val="0"/>
          <w:sz w:val="32"/>
          <w:szCs w:val="32"/>
        </w:rPr>
        <w:t>.</w:t>
      </w:r>
      <w:r>
        <w:rPr>
          <w:rFonts w:hint="eastAsia"/>
          <w:b/>
          <w:bCs/>
          <w:kern w:val="0"/>
          <w:sz w:val="32"/>
          <w:szCs w:val="32"/>
        </w:rPr>
        <w:t>2</w:t>
      </w:r>
      <w:r>
        <w:rPr>
          <w:b/>
          <w:bCs/>
          <w:kern w:val="0"/>
          <w:sz w:val="32"/>
          <w:szCs w:val="32"/>
        </w:rPr>
        <w:t xml:space="preserve"> 监造</w:t>
      </w:r>
      <w:r>
        <w:rPr>
          <w:rFonts w:hint="eastAsia"/>
          <w:b/>
          <w:bCs/>
          <w:kern w:val="0"/>
          <w:sz w:val="32"/>
          <w:szCs w:val="32"/>
        </w:rPr>
        <w:t>和工厂检验</w:t>
      </w:r>
    </w:p>
    <w:p>
      <w:pPr>
        <w:adjustRightInd w:val="0"/>
        <w:snapToGrid w:val="0"/>
        <w:ind w:left="420" w:leftChars="200" w:firstLine="0" w:firstLineChars="0"/>
        <w:jc w:val="left"/>
        <w:rPr>
          <w:rFonts w:hint="eastAsia"/>
          <w:kern w:val="0"/>
          <w:u w:val="single"/>
        </w:rPr>
      </w:pPr>
      <w:r>
        <w:rPr>
          <w:rFonts w:hint="eastAsia"/>
          <w:kern w:val="0"/>
        </w:rPr>
        <w:t>本项目的主要监造设备、材料范围：</w:t>
      </w:r>
      <w:r>
        <w:rPr>
          <w:rFonts w:hint="eastAsia"/>
          <w:kern w:val="0"/>
          <w:u w:val="single"/>
        </w:rPr>
        <w:t>储能系统、箱变</w:t>
      </w:r>
      <w:r>
        <w:rPr>
          <w:rFonts w:hint="eastAsia"/>
          <w:kern w:val="0"/>
        </w:rPr>
        <w:t>。由承包人负责监造并承担相关的费用（承包人不具备相关的监造资质要求的，须由承包人委托第三方进行监造）。承包人有义务配合发包人参与监造和验收。</w:t>
      </w:r>
    </w:p>
    <w:p>
      <w:pPr>
        <w:adjustRightInd w:val="0"/>
        <w:snapToGrid w:val="0"/>
        <w:ind w:firstLine="0" w:firstLineChars="0"/>
        <w:jc w:val="left"/>
        <w:rPr>
          <w:rFonts w:hint="eastAsia"/>
          <w:b/>
          <w:bCs/>
          <w:kern w:val="0"/>
          <w:sz w:val="28"/>
          <w:szCs w:val="28"/>
        </w:rPr>
      </w:pPr>
      <w:r>
        <w:rPr>
          <w:b/>
          <w:bCs/>
          <w:kern w:val="0"/>
          <w:sz w:val="28"/>
          <w:szCs w:val="28"/>
        </w:rPr>
        <w:t>5.</w:t>
      </w:r>
      <w:r>
        <w:rPr>
          <w:rFonts w:hint="eastAsia"/>
          <w:b/>
          <w:bCs/>
          <w:kern w:val="0"/>
          <w:sz w:val="28"/>
          <w:szCs w:val="28"/>
        </w:rPr>
        <w:t>3</w:t>
      </w:r>
      <w:r>
        <w:rPr>
          <w:b/>
          <w:bCs/>
          <w:kern w:val="0"/>
          <w:sz w:val="28"/>
          <w:szCs w:val="28"/>
        </w:rPr>
        <w:t xml:space="preserve"> 开箱检验</w:t>
      </w:r>
    </w:p>
    <w:p>
      <w:pPr>
        <w:adjustRightInd w:val="0"/>
        <w:snapToGrid w:val="0"/>
        <w:jc w:val="left"/>
        <w:rPr>
          <w:rStyle w:val="17"/>
          <w:rFonts w:hint="eastAsia"/>
        </w:rPr>
      </w:pPr>
      <w:r>
        <w:rPr>
          <w:kern w:val="0"/>
        </w:rPr>
        <w:t>设备开箱资料应提交</w:t>
      </w:r>
      <w:r>
        <w:rPr>
          <w:rFonts w:hint="eastAsia"/>
          <w:kern w:val="0"/>
        </w:rPr>
        <w:t>至少</w:t>
      </w:r>
      <w:r>
        <w:rPr>
          <w:kern w:val="0"/>
          <w:u w:val="single"/>
        </w:rPr>
        <w:t xml:space="preserve"> 两 </w:t>
      </w:r>
      <w:r>
        <w:rPr>
          <w:kern w:val="0"/>
        </w:rPr>
        <w:t>套</w:t>
      </w:r>
      <w:r>
        <w:rPr>
          <w:rFonts w:hint="eastAsia"/>
          <w:kern w:val="0"/>
        </w:rPr>
        <w:t>完整的、</w:t>
      </w:r>
      <w:r>
        <w:rPr>
          <w:kern w:val="0"/>
        </w:rPr>
        <w:t>原始资料给发包人</w:t>
      </w:r>
      <w:r>
        <w:rPr>
          <w:rFonts w:hint="eastAsia"/>
          <w:kern w:val="0"/>
        </w:rPr>
        <w:t>，复印件资料应</w:t>
      </w:r>
      <w:r>
        <w:rPr>
          <w:kern w:val="0"/>
        </w:rPr>
        <w:t>交发包人</w:t>
      </w:r>
      <w:r>
        <w:rPr>
          <w:kern w:val="0"/>
          <w:u w:val="single"/>
        </w:rPr>
        <w:t xml:space="preserve"> 四 </w:t>
      </w:r>
      <w:r>
        <w:rPr>
          <w:kern w:val="0"/>
        </w:rPr>
        <w:t>套。</w:t>
      </w:r>
    </w:p>
    <w:p>
      <w:pPr>
        <w:adjustRightInd w:val="0"/>
        <w:snapToGrid w:val="0"/>
        <w:jc w:val="left"/>
        <w:rPr>
          <w:rStyle w:val="17"/>
          <w:rFonts w:hint="eastAsia"/>
        </w:rPr>
      </w:pPr>
      <w:r>
        <w:rPr>
          <w:kern w:val="0"/>
        </w:rPr>
        <w:t>承包人应提前2个工作日通知发包人共同参与开箱检验，发包人不能</w:t>
      </w:r>
      <w:r>
        <w:rPr>
          <w:rFonts w:hint="eastAsia"/>
          <w:kern w:val="0"/>
        </w:rPr>
        <w:t>按照承包人通知的日期</w:t>
      </w:r>
      <w:r>
        <w:rPr>
          <w:kern w:val="0"/>
        </w:rPr>
        <w:t>参与检验</w:t>
      </w:r>
      <w:r>
        <w:rPr>
          <w:rFonts w:hint="eastAsia"/>
          <w:kern w:val="0"/>
        </w:rPr>
        <w:t>的</w:t>
      </w:r>
      <w:r>
        <w:rPr>
          <w:kern w:val="0"/>
        </w:rPr>
        <w:t>，</w:t>
      </w:r>
      <w:r>
        <w:rPr>
          <w:rFonts w:hint="eastAsia"/>
          <w:kern w:val="0"/>
        </w:rPr>
        <w:t>有权要求延期进行</w:t>
      </w:r>
      <w:r>
        <w:rPr>
          <w:kern w:val="0"/>
        </w:rPr>
        <w:t>开箱检验</w:t>
      </w:r>
      <w:r>
        <w:rPr>
          <w:rFonts w:hint="eastAsia"/>
          <w:kern w:val="0"/>
        </w:rPr>
        <w:t>，延期不得超过</w:t>
      </w:r>
      <w:r>
        <w:rPr>
          <w:kern w:val="0"/>
        </w:rPr>
        <w:t>3个工作日。若发包人未要求延期或者逾期未参加开箱检验的，承包人可自行开箱检验，且视为发包人认可承包人的开箱检验结果。</w:t>
      </w:r>
    </w:p>
    <w:p>
      <w:pPr>
        <w:adjustRightInd w:val="0"/>
        <w:snapToGrid w:val="0"/>
        <w:ind w:left="562" w:hanging="562" w:hangingChars="200"/>
        <w:jc w:val="left"/>
        <w:rPr>
          <w:rFonts w:hint="eastAsia"/>
          <w:b/>
          <w:bCs/>
          <w:kern w:val="0"/>
          <w:sz w:val="28"/>
          <w:szCs w:val="28"/>
        </w:rPr>
      </w:pPr>
      <w:r>
        <w:rPr>
          <w:b/>
          <w:bCs/>
          <w:kern w:val="0"/>
          <w:sz w:val="28"/>
          <w:szCs w:val="28"/>
        </w:rPr>
        <w:t>5.</w:t>
      </w:r>
      <w:r>
        <w:rPr>
          <w:rFonts w:hint="eastAsia"/>
          <w:b/>
          <w:bCs/>
          <w:kern w:val="0"/>
          <w:sz w:val="28"/>
          <w:szCs w:val="28"/>
        </w:rPr>
        <w:t>4</w:t>
      </w:r>
      <w:r>
        <w:rPr>
          <w:b/>
          <w:bCs/>
          <w:kern w:val="0"/>
          <w:sz w:val="28"/>
          <w:szCs w:val="28"/>
        </w:rPr>
        <w:tab/>
      </w:r>
      <w:r>
        <w:rPr>
          <w:rFonts w:hint="eastAsia"/>
          <w:b/>
          <w:bCs/>
          <w:kern w:val="0"/>
          <w:sz w:val="28"/>
          <w:szCs w:val="28"/>
        </w:rPr>
        <w:t>现场试验</w:t>
      </w:r>
      <w:r>
        <w:rPr>
          <w:b/>
          <w:bCs/>
          <w:kern w:val="0"/>
          <w:sz w:val="28"/>
          <w:szCs w:val="28"/>
        </w:rPr>
        <w:t xml:space="preserve"> </w:t>
      </w:r>
    </w:p>
    <w:p>
      <w:pPr>
        <w:adjustRightInd w:val="0"/>
        <w:snapToGrid w:val="0"/>
        <w:jc w:val="left"/>
        <w:rPr>
          <w:rFonts w:hint="eastAsia"/>
          <w:kern w:val="0"/>
        </w:rPr>
      </w:pPr>
      <w:r>
        <w:rPr>
          <w:rFonts w:hint="eastAsia"/>
          <w:kern w:val="0"/>
        </w:rPr>
        <w:t>本工程全部材料、设备和工程的试验、检验项目应符合国家、行业现行的有关规范、标准、规程，以及国家强制性条文条款、设计、厂家所要求的全部检验和试验项目，并由承包人承担相关的费用。</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45" w:name="_Toc129848670"/>
      <w:bookmarkStart w:id="646" w:name="_Toc170377964"/>
      <w:bookmarkStart w:id="647" w:name="_Toc9009"/>
      <w:r>
        <w:rPr>
          <w:rFonts w:hint="eastAsia"/>
          <w:b/>
          <w:bCs/>
          <w:sz w:val="32"/>
          <w:szCs w:val="32"/>
        </w:rPr>
        <w:t>6.</w:t>
      </w:r>
      <w:r>
        <w:rPr>
          <w:b/>
          <w:bCs/>
          <w:sz w:val="32"/>
          <w:szCs w:val="32"/>
        </w:rPr>
        <w:t>施工</w:t>
      </w:r>
      <w:bookmarkEnd w:id="645"/>
      <w:bookmarkEnd w:id="646"/>
      <w:bookmarkEnd w:id="647"/>
    </w:p>
    <w:p>
      <w:pPr>
        <w:adjustRightInd w:val="0"/>
        <w:snapToGrid w:val="0"/>
        <w:ind w:firstLine="0" w:firstLineChars="0"/>
        <w:jc w:val="left"/>
        <w:rPr>
          <w:rFonts w:hint="eastAsia"/>
          <w:b/>
          <w:bCs/>
          <w:kern w:val="0"/>
          <w:sz w:val="28"/>
          <w:szCs w:val="28"/>
        </w:rPr>
      </w:pPr>
      <w:r>
        <w:rPr>
          <w:b/>
          <w:bCs/>
          <w:kern w:val="0"/>
          <w:sz w:val="28"/>
          <w:szCs w:val="28"/>
        </w:rPr>
        <w:t>6.</w:t>
      </w:r>
      <w:r>
        <w:rPr>
          <w:rFonts w:hint="eastAsia"/>
          <w:b/>
          <w:bCs/>
          <w:kern w:val="0"/>
          <w:sz w:val="28"/>
          <w:szCs w:val="28"/>
        </w:rPr>
        <w:t>7</w:t>
      </w:r>
      <w:r>
        <w:rPr>
          <w:b/>
          <w:bCs/>
          <w:kern w:val="0"/>
          <w:sz w:val="28"/>
          <w:szCs w:val="28"/>
        </w:rPr>
        <w:t>施工用电、水和汽</w:t>
      </w:r>
    </w:p>
    <w:p>
      <w:pPr>
        <w:adjustRightInd w:val="0"/>
        <w:snapToGrid w:val="0"/>
        <w:jc w:val="left"/>
        <w:rPr>
          <w:rFonts w:hint="eastAsia"/>
          <w:kern w:val="0"/>
        </w:rPr>
      </w:pPr>
      <w:r>
        <w:rPr>
          <w:kern w:val="0"/>
        </w:rPr>
        <w:t>施工(含生活)用水、</w:t>
      </w:r>
      <w:r>
        <w:rPr>
          <w:rFonts w:hint="eastAsia"/>
          <w:kern w:val="0"/>
        </w:rPr>
        <w:t>用电、用</w:t>
      </w:r>
      <w:r>
        <w:rPr>
          <w:kern w:val="0"/>
        </w:rPr>
        <w:t>汽</w:t>
      </w:r>
      <w:r>
        <w:rPr>
          <w:rFonts w:hint="eastAsia"/>
          <w:kern w:val="0"/>
        </w:rPr>
        <w:t>均由承包人自行解决，合同已包含此部分费用。</w:t>
      </w:r>
    </w:p>
    <w:p>
      <w:pPr>
        <w:adjustRightInd w:val="0"/>
        <w:snapToGrid w:val="0"/>
        <w:ind w:firstLine="0" w:firstLineChars="0"/>
        <w:jc w:val="left"/>
        <w:rPr>
          <w:rFonts w:hint="eastAsia"/>
          <w:b/>
          <w:bCs/>
          <w:kern w:val="0"/>
          <w:sz w:val="28"/>
          <w:szCs w:val="28"/>
        </w:rPr>
      </w:pPr>
      <w:r>
        <w:rPr>
          <w:b/>
          <w:bCs/>
          <w:kern w:val="0"/>
          <w:sz w:val="28"/>
          <w:szCs w:val="28"/>
        </w:rPr>
        <w:t>6.</w:t>
      </w:r>
      <w:r>
        <w:rPr>
          <w:rFonts w:hint="eastAsia"/>
          <w:b/>
          <w:bCs/>
          <w:kern w:val="0"/>
          <w:sz w:val="28"/>
          <w:szCs w:val="28"/>
        </w:rPr>
        <w:t>9</w:t>
      </w:r>
      <w:r>
        <w:rPr>
          <w:b/>
          <w:bCs/>
          <w:kern w:val="0"/>
          <w:sz w:val="28"/>
          <w:szCs w:val="28"/>
        </w:rPr>
        <w:t xml:space="preserve"> </w:t>
      </w:r>
      <w:r>
        <w:rPr>
          <w:rFonts w:hint="eastAsia"/>
          <w:b/>
          <w:bCs/>
          <w:kern w:val="0"/>
          <w:sz w:val="28"/>
          <w:szCs w:val="28"/>
        </w:rPr>
        <w:t>工资支付保证金</w:t>
      </w:r>
    </w:p>
    <w:p>
      <w:pPr>
        <w:adjustRightInd w:val="0"/>
        <w:snapToGrid w:val="0"/>
        <w:jc w:val="left"/>
        <w:rPr>
          <w:rFonts w:hint="eastAsia"/>
          <w:kern w:val="0"/>
        </w:rPr>
      </w:pPr>
      <w:r>
        <w:rPr>
          <w:rFonts w:hint="eastAsia"/>
          <w:kern w:val="0"/>
        </w:rPr>
        <w:t>承包人应当按照工程所在地劳动监察部门的要求，在开工后将工程劳务人员的工资保证金及时支付至劳动监察部门，并将缴费凭证复印件报发包人备案。如果当地的劳动监察部门无监管要求，则发包人需从工程预付款中扣除建安工程费用的</w:t>
      </w:r>
      <w:r>
        <w:rPr>
          <w:kern w:val="0"/>
          <w:u w:val="single"/>
        </w:rPr>
        <w:t xml:space="preserve"> 2% </w:t>
      </w:r>
      <w:r>
        <w:rPr>
          <w:kern w:val="0"/>
        </w:rPr>
        <w:t>作为工资保证金，直至工程全部完工，承包人提交</w:t>
      </w:r>
      <w:r>
        <w:rPr>
          <w:rFonts w:hint="eastAsia"/>
          <w:kern w:val="0"/>
        </w:rPr>
        <w:t>农民工工资结清证明后返回给承包人。如</w:t>
      </w:r>
      <w:r>
        <w:rPr>
          <w:kern w:val="0"/>
        </w:rPr>
        <w:t>当地政府要求由发包人代</w:t>
      </w:r>
      <w:r>
        <w:rPr>
          <w:rFonts w:hint="eastAsia"/>
          <w:kern w:val="0"/>
        </w:rPr>
        <w:t>缴保证金</w:t>
      </w:r>
      <w:r>
        <w:rPr>
          <w:kern w:val="0"/>
        </w:rPr>
        <w:t>的，</w:t>
      </w:r>
      <w:r>
        <w:rPr>
          <w:rFonts w:hint="eastAsia"/>
          <w:kern w:val="0"/>
        </w:rPr>
        <w:t>则</w:t>
      </w:r>
      <w:r>
        <w:rPr>
          <w:kern w:val="0"/>
        </w:rPr>
        <w:t>发包人从承包人的建安工程款中扣除相应金额</w:t>
      </w:r>
      <w:r>
        <w:rPr>
          <w:rFonts w:hint="eastAsia"/>
          <w:kern w:val="0"/>
        </w:rPr>
        <w:t>，</w:t>
      </w:r>
      <w:r>
        <w:rPr>
          <w:kern w:val="0"/>
        </w:rPr>
        <w:t>待当地政府返还相应款项时再返还给承包人。</w:t>
      </w:r>
    </w:p>
    <w:p>
      <w:pPr>
        <w:adjustRightInd w:val="0"/>
        <w:snapToGrid w:val="0"/>
        <w:jc w:val="left"/>
        <w:rPr>
          <w:rFonts w:hint="eastAsia"/>
          <w:kern w:val="0"/>
        </w:rPr>
      </w:pPr>
      <w:r>
        <w:rPr>
          <w:rFonts w:hint="eastAsia"/>
          <w:kern w:val="0"/>
        </w:rPr>
        <w:t>承包人所有劳务人员在从事本工程工作前均应在发包人处实名登记，每笔工程进度款支付前承包人均应提供劳务人员签字（按手印）的工资发放领用表。</w:t>
      </w:r>
    </w:p>
    <w:p>
      <w:pPr>
        <w:adjustRightInd w:val="0"/>
        <w:snapToGrid w:val="0"/>
        <w:ind w:firstLine="0" w:firstLineChars="0"/>
        <w:jc w:val="left"/>
        <w:rPr>
          <w:rFonts w:hint="eastAsia"/>
          <w:b/>
          <w:bCs/>
          <w:kern w:val="0"/>
          <w:sz w:val="28"/>
          <w:szCs w:val="28"/>
        </w:rPr>
      </w:pPr>
      <w:r>
        <w:rPr>
          <w:rFonts w:hint="eastAsia"/>
          <w:b/>
          <w:bCs/>
          <w:kern w:val="0"/>
          <w:sz w:val="28"/>
          <w:szCs w:val="28"/>
        </w:rPr>
        <w:t>6</w:t>
      </w:r>
      <w:r>
        <w:rPr>
          <w:b/>
          <w:bCs/>
          <w:kern w:val="0"/>
          <w:sz w:val="28"/>
          <w:szCs w:val="28"/>
        </w:rPr>
        <w:t>.1</w:t>
      </w:r>
      <w:r>
        <w:rPr>
          <w:rFonts w:hint="eastAsia"/>
          <w:b/>
          <w:bCs/>
          <w:kern w:val="0"/>
          <w:sz w:val="28"/>
          <w:szCs w:val="28"/>
        </w:rPr>
        <w:t>1</w:t>
      </w:r>
      <w:r>
        <w:rPr>
          <w:b/>
          <w:bCs/>
          <w:kern w:val="0"/>
          <w:sz w:val="28"/>
          <w:szCs w:val="28"/>
        </w:rPr>
        <w:t xml:space="preserve"> </w:t>
      </w:r>
      <w:r>
        <w:rPr>
          <w:rFonts w:hint="eastAsia"/>
          <w:b/>
          <w:bCs/>
          <w:kern w:val="0"/>
          <w:sz w:val="28"/>
          <w:szCs w:val="28"/>
        </w:rPr>
        <w:t>农民工工资</w:t>
      </w:r>
    </w:p>
    <w:p>
      <w:pPr>
        <w:adjustRightInd w:val="0"/>
        <w:snapToGrid w:val="0"/>
        <w:jc w:val="left"/>
        <w:rPr>
          <w:rFonts w:hint="eastAsia"/>
          <w:kern w:val="0"/>
        </w:rPr>
      </w:pPr>
      <w:r>
        <w:rPr>
          <w:rFonts w:hint="eastAsia"/>
          <w:kern w:val="0"/>
        </w:rPr>
        <w:t>承包人应与所招用的农民工订立劳动合同并进行实名制登记和管理，承包人应按月发放农民工工资，且必须通过专用账户直接将工资发到农民工本人的银行账户，确保工资发到本人手中。</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48" w:name="_Toc170377965"/>
      <w:bookmarkStart w:id="649" w:name="_Toc129848671"/>
      <w:bookmarkStart w:id="650" w:name="_Toc9501"/>
      <w:r>
        <w:rPr>
          <w:rFonts w:hint="eastAsia"/>
          <w:b/>
          <w:bCs/>
          <w:sz w:val="32"/>
          <w:szCs w:val="32"/>
        </w:rPr>
        <w:t>7.</w:t>
      </w:r>
      <w:r>
        <w:rPr>
          <w:b/>
          <w:bCs/>
          <w:sz w:val="32"/>
          <w:szCs w:val="32"/>
        </w:rPr>
        <w:t>调试与启动</w:t>
      </w:r>
      <w:bookmarkEnd w:id="648"/>
      <w:bookmarkEnd w:id="649"/>
      <w:bookmarkEnd w:id="650"/>
    </w:p>
    <w:p>
      <w:pPr>
        <w:adjustRightInd w:val="0"/>
        <w:snapToGrid w:val="0"/>
        <w:ind w:firstLine="0" w:firstLineChars="0"/>
        <w:jc w:val="left"/>
        <w:rPr>
          <w:rFonts w:hint="eastAsia"/>
          <w:b/>
          <w:bCs/>
          <w:kern w:val="0"/>
          <w:sz w:val="28"/>
          <w:szCs w:val="28"/>
        </w:rPr>
      </w:pPr>
      <w:r>
        <w:rPr>
          <w:b/>
          <w:bCs/>
          <w:kern w:val="0"/>
          <w:sz w:val="28"/>
          <w:szCs w:val="28"/>
        </w:rPr>
        <w:t>7.1 调试及启动方案</w:t>
      </w:r>
    </w:p>
    <w:p>
      <w:pPr>
        <w:adjustRightInd w:val="0"/>
        <w:snapToGrid w:val="0"/>
        <w:jc w:val="left"/>
        <w:rPr>
          <w:rFonts w:hint="eastAsia"/>
          <w:kern w:val="0"/>
        </w:rPr>
      </w:pPr>
      <w:r>
        <w:rPr>
          <w:rFonts w:hint="eastAsia"/>
          <w:kern w:val="0"/>
        </w:rPr>
        <w:t>发包人有关调试及启动的要求应在首次调试开始前</w:t>
      </w:r>
      <w:r>
        <w:rPr>
          <w:kern w:val="0"/>
          <w:u w:val="single"/>
        </w:rPr>
        <w:t xml:space="preserve">  1  </w:t>
      </w:r>
      <w:r>
        <w:rPr>
          <w:rFonts w:hint="eastAsia"/>
          <w:kern w:val="0"/>
        </w:rPr>
        <w:t>个月提交给承包人。</w:t>
      </w:r>
    </w:p>
    <w:p>
      <w:pPr>
        <w:adjustRightInd w:val="0"/>
        <w:snapToGrid w:val="0"/>
        <w:jc w:val="left"/>
        <w:rPr>
          <w:rFonts w:hint="eastAsia"/>
          <w:kern w:val="0"/>
        </w:rPr>
      </w:pPr>
      <w:r>
        <w:rPr>
          <w:kern w:val="0"/>
        </w:rPr>
        <w:t>承包人应在</w:t>
      </w:r>
      <w:r>
        <w:rPr>
          <w:rFonts w:hint="eastAsia"/>
          <w:kern w:val="0"/>
        </w:rPr>
        <w:t>工程</w:t>
      </w:r>
      <w:r>
        <w:rPr>
          <w:kern w:val="0"/>
        </w:rPr>
        <w:t>计划进行启动试运</w:t>
      </w:r>
      <w:r>
        <w:rPr>
          <w:kern w:val="0"/>
          <w:u w:val="single"/>
        </w:rPr>
        <w:t xml:space="preserve"> 15 </w:t>
      </w:r>
      <w:r>
        <w:rPr>
          <w:kern w:val="0"/>
        </w:rPr>
        <w:t>天前向发包人提交启动</w:t>
      </w:r>
      <w:r>
        <w:rPr>
          <w:rFonts w:hint="eastAsia"/>
          <w:kern w:val="0"/>
        </w:rPr>
        <w:t>试运</w:t>
      </w:r>
      <w:r>
        <w:rPr>
          <w:kern w:val="0"/>
        </w:rPr>
        <w:t>方案。</w:t>
      </w:r>
    </w:p>
    <w:p>
      <w:pPr>
        <w:adjustRightInd w:val="0"/>
        <w:snapToGrid w:val="0"/>
        <w:ind w:firstLine="0" w:firstLineChars="0"/>
        <w:jc w:val="left"/>
        <w:rPr>
          <w:rFonts w:hint="eastAsia"/>
          <w:b/>
          <w:bCs/>
          <w:kern w:val="0"/>
          <w:sz w:val="28"/>
          <w:szCs w:val="28"/>
        </w:rPr>
      </w:pPr>
      <w:r>
        <w:rPr>
          <w:b/>
          <w:bCs/>
          <w:kern w:val="0"/>
          <w:sz w:val="28"/>
          <w:szCs w:val="28"/>
        </w:rPr>
        <w:t xml:space="preserve">7.5 </w:t>
      </w:r>
      <w:r>
        <w:rPr>
          <w:rFonts w:hint="eastAsia"/>
          <w:b/>
          <w:bCs/>
          <w:kern w:val="0"/>
          <w:sz w:val="28"/>
          <w:szCs w:val="28"/>
        </w:rPr>
        <w:t>调试与启动</w:t>
      </w:r>
    </w:p>
    <w:p>
      <w:pPr>
        <w:adjustRightInd w:val="0"/>
        <w:snapToGrid w:val="0"/>
        <w:jc w:val="left"/>
        <w:rPr>
          <w:rFonts w:hint="eastAsia"/>
          <w:kern w:val="0"/>
        </w:rPr>
      </w:pPr>
      <w:r>
        <w:rPr>
          <w:kern w:val="0"/>
        </w:rPr>
        <w:t>所有试验、调试、启动与试运由承包人负责，合同价格中已包含此费用。</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51" w:name="_Toc129848672"/>
      <w:bookmarkStart w:id="652" w:name="_Toc170377966"/>
      <w:bookmarkStart w:id="653" w:name="_Toc21245"/>
      <w:r>
        <w:rPr>
          <w:rFonts w:hint="eastAsia"/>
          <w:b/>
          <w:bCs/>
          <w:sz w:val="32"/>
          <w:szCs w:val="32"/>
        </w:rPr>
        <w:t>8.机组</w:t>
      </w:r>
      <w:r>
        <w:rPr>
          <w:b/>
          <w:bCs/>
          <w:sz w:val="32"/>
          <w:szCs w:val="32"/>
        </w:rPr>
        <w:t>移交</w:t>
      </w:r>
      <w:bookmarkEnd w:id="651"/>
      <w:bookmarkEnd w:id="652"/>
      <w:bookmarkEnd w:id="653"/>
    </w:p>
    <w:p>
      <w:pPr>
        <w:adjustRightInd w:val="0"/>
        <w:snapToGrid w:val="0"/>
        <w:ind w:firstLine="0" w:firstLineChars="0"/>
        <w:jc w:val="left"/>
        <w:rPr>
          <w:rFonts w:hint="eastAsia"/>
          <w:b/>
          <w:bCs/>
          <w:kern w:val="0"/>
          <w:sz w:val="28"/>
          <w:szCs w:val="28"/>
        </w:rPr>
      </w:pPr>
      <w:r>
        <w:rPr>
          <w:b/>
          <w:bCs/>
          <w:kern w:val="0"/>
          <w:sz w:val="28"/>
          <w:szCs w:val="28"/>
        </w:rPr>
        <w:t>8.</w:t>
      </w:r>
      <w:r>
        <w:rPr>
          <w:rFonts w:hint="eastAsia"/>
          <w:b/>
          <w:bCs/>
          <w:kern w:val="0"/>
          <w:sz w:val="28"/>
          <w:szCs w:val="28"/>
        </w:rPr>
        <w:t>2完工移交</w:t>
      </w:r>
    </w:p>
    <w:p>
      <w:pPr>
        <w:adjustRightInd w:val="0"/>
        <w:snapToGrid w:val="0"/>
        <w:ind w:firstLine="630" w:firstLineChars="300"/>
        <w:jc w:val="left"/>
        <w:rPr>
          <w:rFonts w:hint="eastAsia"/>
          <w:kern w:val="0"/>
        </w:rPr>
      </w:pPr>
      <w:r>
        <w:rPr>
          <w:kern w:val="0"/>
        </w:rPr>
        <w:t>除执行通用条款外，还应具备的条件：</w:t>
      </w:r>
    </w:p>
    <w:p>
      <w:pPr>
        <w:adjustRightInd w:val="0"/>
        <w:snapToGrid w:val="0"/>
        <w:ind w:left="420" w:leftChars="200" w:firstLine="0" w:firstLineChars="0"/>
        <w:rPr>
          <w:rFonts w:hint="eastAsia"/>
        </w:rPr>
      </w:pPr>
      <w:r>
        <w:t>（1）当本合同工程已按设计和合同约定完成全部工程内容，承包人按照</w:t>
      </w:r>
      <w:r>
        <w:rPr>
          <w:rFonts w:hint="eastAsia"/>
        </w:rPr>
        <w:t>“</w:t>
      </w:r>
      <w:r>
        <w:t>发包人要求</w:t>
      </w:r>
      <w:r>
        <w:rPr>
          <w:rFonts w:hint="eastAsia"/>
        </w:rPr>
        <w:t>”</w:t>
      </w:r>
      <w:r>
        <w:t>中规定</w:t>
      </w:r>
    </w:p>
    <w:p>
      <w:pPr>
        <w:adjustRightInd w:val="0"/>
        <w:snapToGrid w:val="0"/>
        <w:ind w:firstLine="0" w:firstLineChars="0"/>
        <w:rPr>
          <w:rFonts w:hint="eastAsia"/>
        </w:rPr>
      </w:pPr>
      <w:r>
        <w:t>进行合同工程设备的</w:t>
      </w:r>
      <w:r>
        <w:rPr>
          <w:rFonts w:hint="eastAsia"/>
        </w:rPr>
        <w:t>调试</w:t>
      </w:r>
      <w:r>
        <w:t>、试运行，完成各项试验和验收，颁发了项目移交证书、办理完实物移交。</w:t>
      </w:r>
    </w:p>
    <w:p>
      <w:pPr>
        <w:adjustRightInd w:val="0"/>
        <w:snapToGrid w:val="0"/>
        <w:rPr>
          <w:rFonts w:hint="eastAsia"/>
        </w:rPr>
      </w:pPr>
      <w:r>
        <w:t>（2）工程竣工资料整理完毕经发包人验收合格，竣工图纸编制完毕</w:t>
      </w:r>
      <w:r>
        <w:rPr>
          <w:rFonts w:hint="eastAsia"/>
        </w:rPr>
        <w:t>。</w:t>
      </w:r>
    </w:p>
    <w:p>
      <w:pPr>
        <w:adjustRightInd w:val="0"/>
        <w:snapToGrid w:val="0"/>
        <w:rPr>
          <w:rFonts w:hint="eastAsia"/>
        </w:rPr>
      </w:pPr>
      <w:r>
        <w:t>（3）初步验收中提出的缺陷和尾工</w:t>
      </w:r>
      <w:r>
        <w:rPr>
          <w:rFonts w:hint="eastAsia"/>
        </w:rPr>
        <w:t>（甩项）</w:t>
      </w:r>
      <w:r>
        <w:t>已经处理或完成。</w:t>
      </w:r>
    </w:p>
    <w:p>
      <w:pPr>
        <w:adjustRightInd w:val="0"/>
        <w:snapToGrid w:val="0"/>
        <w:rPr>
          <w:rFonts w:hint="eastAsia"/>
        </w:rPr>
      </w:pPr>
      <w:r>
        <w:t>（</w:t>
      </w:r>
      <w:r>
        <w:rPr>
          <w:rFonts w:hint="eastAsia"/>
        </w:rPr>
        <w:t>4</w:t>
      </w:r>
      <w:r>
        <w:t>）签署保修证书。</w:t>
      </w:r>
    </w:p>
    <w:p>
      <w:pPr>
        <w:adjustRightInd w:val="0"/>
        <w:snapToGrid w:val="0"/>
        <w:ind w:left="420" w:leftChars="200" w:firstLine="0" w:firstLineChars="0"/>
        <w:rPr>
          <w:rFonts w:hint="eastAsia"/>
        </w:rPr>
      </w:pPr>
      <w:r>
        <w:t>（</w:t>
      </w:r>
      <w:r>
        <w:rPr>
          <w:rFonts w:hint="eastAsia"/>
        </w:rPr>
        <w:t>5</w:t>
      </w:r>
      <w:r>
        <w:t>）承包人可在认为工程将竣工并做好接收准备的日期前不少于14天，向监理工程师申领该</w:t>
      </w:r>
    </w:p>
    <w:p>
      <w:pPr>
        <w:adjustRightInd w:val="0"/>
        <w:snapToGrid w:val="0"/>
        <w:ind w:firstLine="0" w:firstLineChars="0"/>
        <w:rPr>
          <w:rFonts w:hint="eastAsia"/>
        </w:rPr>
      </w:pPr>
      <w:r>
        <w:t>部分工程</w:t>
      </w:r>
      <w:r>
        <w:rPr>
          <w:rFonts w:hint="eastAsia"/>
        </w:rPr>
        <w:t>“</w:t>
      </w:r>
      <w:r>
        <w:t>竣工验收</w:t>
      </w:r>
      <w:r>
        <w:rPr>
          <w:rFonts w:hint="eastAsia"/>
        </w:rPr>
        <w:t>”</w:t>
      </w:r>
      <w:r>
        <w:t xml:space="preserve"> 手续。承包人可向监理人提出验收申请，由监理人组织初步验收。初步验收合格后具备竣工验收条件时，承包人向发包人提出验收申请，由发包人组织监理人、承包人、分包人等单位在相关单位监督下进行竣工验收。</w:t>
      </w:r>
    </w:p>
    <w:p>
      <w:pPr>
        <w:adjustRightInd w:val="0"/>
        <w:snapToGrid w:val="0"/>
        <w:ind w:firstLine="0" w:firstLineChars="0"/>
        <w:contextualSpacing/>
        <w:jc w:val="left"/>
        <w:rPr>
          <w:rFonts w:hint="eastAsia"/>
          <w:b/>
          <w:bCs/>
          <w:kern w:val="0"/>
          <w:sz w:val="28"/>
          <w:szCs w:val="28"/>
        </w:rPr>
      </w:pPr>
      <w:r>
        <w:rPr>
          <w:b/>
          <w:bCs/>
          <w:kern w:val="0"/>
          <w:sz w:val="28"/>
          <w:szCs w:val="28"/>
        </w:rPr>
        <w:t>8.4 工程消缺及竣工资料</w:t>
      </w:r>
    </w:p>
    <w:p>
      <w:pPr>
        <w:adjustRightInd w:val="0"/>
        <w:snapToGrid w:val="0"/>
        <w:contextualSpacing/>
        <w:jc w:val="left"/>
        <w:rPr>
          <w:rFonts w:hint="eastAsia"/>
          <w:kern w:val="0"/>
        </w:rPr>
      </w:pPr>
      <w:r>
        <w:rPr>
          <w:rFonts w:hint="eastAsia"/>
          <w:kern w:val="0"/>
        </w:rPr>
        <w:t>本工程要求承包人进行有关声像素材的拍摄与初步整理。施工过程中，承包人必须对隐蔽工程、关键工序、重要工序及重要活动按照发包人相关拍摄要求进行过程拍摄，通过录像、图片等形式形成文件资料，并作为竣工验收资料的重要组成部分。</w:t>
      </w:r>
    </w:p>
    <w:p>
      <w:pPr>
        <w:adjustRightInd w:val="0"/>
        <w:snapToGrid w:val="0"/>
        <w:rPr>
          <w:rFonts w:hint="eastAsia"/>
        </w:rPr>
      </w:pPr>
      <w:r>
        <w:rPr>
          <w:rFonts w:hint="eastAsia"/>
        </w:rPr>
        <w:t>工程尾工及消缺项目的完成时期为</w:t>
      </w:r>
      <w:r>
        <w:rPr>
          <w:rFonts w:hint="eastAsia"/>
          <w:u w:val="single"/>
        </w:rPr>
        <w:t>工程并网发电后发包人、承包人、监理人共同协商的合理期限内完成</w:t>
      </w:r>
      <w:r>
        <w:rPr>
          <w:rFonts w:hint="eastAsia"/>
        </w:rPr>
        <w:t>，在规定的时间内未能合格地完成发包人及监理人指示的尾工及缺陷处理项目，承包人应支付违约金，违约金为：</w:t>
      </w:r>
      <w:r>
        <w:rPr>
          <w:u w:val="single"/>
        </w:rPr>
        <w:t>2000元/天</w:t>
      </w:r>
      <w:r>
        <w:rPr>
          <w:rFonts w:hint="eastAsia"/>
        </w:rPr>
        <w:t>；在约定的日期到期后仍未完成，承包人与发包人未就此事项达成协议或承包人拒不接受发包人及监理人的合理指示，</w:t>
      </w:r>
      <w:r>
        <w:rPr>
          <w:rFonts w:hint="eastAsia"/>
          <w:u w:val="single"/>
        </w:rPr>
        <w:t>承包人须无条件同意发包人可安排第三方完成工程尾工与消缺任务，由此为完成工程尾工与消缺任务所发生的一切费用从承包人的工程款中直接扣除</w:t>
      </w:r>
      <w:r>
        <w:rPr>
          <w:rFonts w:hint="eastAsia"/>
        </w:rPr>
        <w:t>。</w:t>
      </w:r>
    </w:p>
    <w:p>
      <w:pPr>
        <w:adjustRightInd w:val="0"/>
        <w:snapToGrid w:val="0"/>
        <w:rPr>
          <w:rFonts w:hint="eastAsia"/>
        </w:rPr>
      </w:pPr>
      <w:r>
        <w:rPr>
          <w:rFonts w:hint="eastAsia"/>
        </w:rPr>
        <w:t>承包人移交工程竣工资料份数</w:t>
      </w:r>
      <w:r>
        <w:rPr>
          <w:u w:val="single"/>
        </w:rPr>
        <w:t xml:space="preserve"> 纸质版一式二份，一正一副</w:t>
      </w:r>
      <w:r>
        <w:t xml:space="preserve"> ，包括</w:t>
      </w:r>
      <w:r>
        <w:rPr>
          <w:rFonts w:hint="eastAsia"/>
          <w:u w:val="single"/>
        </w:rPr>
        <w:t>提供具有检索目录的</w:t>
      </w:r>
      <w:r>
        <w:rPr>
          <w:u w:val="single"/>
        </w:rPr>
        <w:t xml:space="preserve">PDF版电子版一份 </w:t>
      </w:r>
      <w:r>
        <w:rPr>
          <w:rFonts w:hint="eastAsia"/>
        </w:rPr>
        <w:t>；承包人需要移交的竣工工程文件时间为</w:t>
      </w:r>
      <w:r>
        <w:rPr>
          <w:rFonts w:hint="eastAsia"/>
          <w:u w:val="single"/>
        </w:rPr>
        <w:t>工程完工后</w:t>
      </w:r>
      <w:r>
        <w:rPr>
          <w:u w:val="single"/>
        </w:rPr>
        <w:t>30天内</w:t>
      </w:r>
      <w:r>
        <w:rPr>
          <w:rFonts w:hint="eastAsia"/>
        </w:rPr>
        <w:t>。承包人未在合理的规定时间内完成工程竣工资料的移交，承包人需向发包人交纳违约金为：</w:t>
      </w:r>
      <w:r>
        <w:rPr>
          <w:u w:val="single"/>
        </w:rPr>
        <w:t>2000元/天</w:t>
      </w:r>
      <w:r>
        <w:rPr>
          <w:rFonts w:hint="eastAsia"/>
        </w:rPr>
        <w:t>。</w:t>
      </w:r>
    </w:p>
    <w:p>
      <w:pPr>
        <w:keepNext/>
        <w:keepLines/>
        <w:widowControl/>
        <w:tabs>
          <w:tab w:val="left" w:pos="964"/>
        </w:tabs>
        <w:adjustRightInd w:val="0"/>
        <w:snapToGrid w:val="0"/>
        <w:ind w:left="420" w:leftChars="200" w:firstLine="0" w:firstLineChars="0"/>
        <w:contextualSpacing/>
        <w:jc w:val="left"/>
        <w:outlineLvl w:val="1"/>
        <w:rPr>
          <w:rFonts w:hint="eastAsia"/>
          <w:b/>
          <w:bCs/>
          <w:sz w:val="32"/>
          <w:szCs w:val="32"/>
        </w:rPr>
      </w:pPr>
      <w:bookmarkStart w:id="654" w:name="_Toc170377967"/>
      <w:bookmarkStart w:id="655" w:name="_Toc129848673"/>
      <w:bookmarkStart w:id="656" w:name="_Toc23331"/>
      <w:r>
        <w:rPr>
          <w:rFonts w:hint="eastAsia"/>
          <w:b/>
          <w:bCs/>
          <w:sz w:val="32"/>
          <w:szCs w:val="32"/>
        </w:rPr>
        <w:t>9.</w:t>
      </w:r>
      <w:r>
        <w:rPr>
          <w:b/>
          <w:bCs/>
          <w:sz w:val="32"/>
          <w:szCs w:val="32"/>
        </w:rPr>
        <w:t>性能验收试验</w:t>
      </w:r>
      <w:bookmarkEnd w:id="654"/>
      <w:bookmarkEnd w:id="655"/>
      <w:bookmarkEnd w:id="656"/>
    </w:p>
    <w:p>
      <w:pPr>
        <w:adjustRightInd w:val="0"/>
        <w:snapToGrid w:val="0"/>
        <w:ind w:firstLine="562"/>
        <w:jc w:val="left"/>
        <w:rPr>
          <w:rFonts w:hint="eastAsia"/>
          <w:b/>
          <w:bCs/>
          <w:kern w:val="0"/>
          <w:sz w:val="28"/>
          <w:szCs w:val="28"/>
        </w:rPr>
      </w:pPr>
      <w:r>
        <w:rPr>
          <w:rFonts w:hint="eastAsia"/>
          <w:b/>
          <w:bCs/>
          <w:kern w:val="0"/>
          <w:sz w:val="28"/>
          <w:szCs w:val="28"/>
        </w:rPr>
        <w:t>9.1</w:t>
      </w:r>
      <w:r>
        <w:rPr>
          <w:rFonts w:hint="eastAsia"/>
          <w:b/>
          <w:bCs/>
          <w:kern w:val="0"/>
          <w:sz w:val="28"/>
          <w:szCs w:val="28"/>
        </w:rPr>
        <w:tab/>
      </w:r>
      <w:r>
        <w:rPr>
          <w:rFonts w:hint="eastAsia"/>
          <w:b/>
          <w:bCs/>
          <w:kern w:val="0"/>
          <w:sz w:val="28"/>
          <w:szCs w:val="28"/>
        </w:rPr>
        <w:t>试验程序</w:t>
      </w:r>
    </w:p>
    <w:p>
      <w:pPr>
        <w:adjustRightInd w:val="0"/>
        <w:snapToGrid w:val="0"/>
        <w:jc w:val="left"/>
        <w:rPr>
          <w:rFonts w:hint="eastAsia"/>
          <w:kern w:val="0"/>
        </w:rPr>
      </w:pPr>
      <w:r>
        <w:rPr>
          <w:rFonts w:hint="eastAsia"/>
          <w:kern w:val="0"/>
        </w:rPr>
        <w:t>承包人与发包人共同负责按承包人投标承诺的性能指标进行性能验收检测。</w:t>
      </w:r>
    </w:p>
    <w:p>
      <w:pPr>
        <w:adjustRightInd w:val="0"/>
        <w:snapToGrid w:val="0"/>
        <w:jc w:val="left"/>
        <w:rPr>
          <w:rFonts w:hint="eastAsia"/>
          <w:kern w:val="0"/>
        </w:rPr>
      </w:pPr>
      <w:r>
        <w:rPr>
          <w:rFonts w:hint="eastAsia"/>
          <w:kern w:val="0"/>
        </w:rPr>
        <w:t>在任何性能验收检测开始日前，承包人应与发包人共同协商性能验收检测的方案、名称、开始日及日程安排。</w:t>
      </w:r>
    </w:p>
    <w:p>
      <w:pPr>
        <w:adjustRightInd w:val="0"/>
        <w:snapToGrid w:val="0"/>
        <w:jc w:val="left"/>
        <w:rPr>
          <w:rFonts w:hint="eastAsia"/>
          <w:kern w:val="0"/>
        </w:rPr>
      </w:pPr>
      <w:r>
        <w:rPr>
          <w:rFonts w:hint="eastAsia"/>
          <w:kern w:val="0"/>
        </w:rPr>
        <w:t>工程投入试生产运行后，合同工程设备达到设计额定负荷且已稳定运行一个月，承包人为性能试验需要的测量工具、核算方法、编制的《性能考核实施细则》等已通过监理人审核、发包人批准后，承包人可向发包人提出申请进行性能试验。试验应按照《电力储能用锂离子电池》（</w:t>
      </w:r>
      <w:r>
        <w:rPr>
          <w:kern w:val="0"/>
        </w:rPr>
        <w:t>GB/T 36276-2018</w:t>
      </w:r>
      <w:r>
        <w:rPr>
          <w:rFonts w:hint="eastAsia"/>
          <w:kern w:val="0"/>
        </w:rPr>
        <w:t>）及合同约定的技术标准进行，考核由发包人组织、承包人配合并负责技术指导。详见“发包人要求”中的规定。</w:t>
      </w:r>
    </w:p>
    <w:p>
      <w:pPr>
        <w:adjustRightInd w:val="0"/>
        <w:snapToGrid w:val="0"/>
        <w:jc w:val="left"/>
        <w:rPr>
          <w:rFonts w:hint="eastAsia"/>
          <w:kern w:val="0"/>
        </w:rPr>
      </w:pPr>
      <w:r>
        <w:rPr>
          <w:rFonts w:hint="eastAsia"/>
          <w:kern w:val="0"/>
        </w:rPr>
        <w:t>承包人应提供竣工后试验所需要的所有其他设备、仪器，以及有资格和经验的工作人员；承包人应在发包人在场的情况下，进行竣工后试验。发包人应提前21天将竣工后试验的期通知承包人。因承包人原因造成某项竣工后试验未能通过的，承包人应按照合同的约定进行赔偿，或者承包人提出修复建议，按照发包人指示的合理期限内改正，并承担合同约定的相应责任。</w:t>
      </w:r>
    </w:p>
    <w:p>
      <w:pPr>
        <w:adjustRightInd w:val="0"/>
        <w:snapToGrid w:val="0"/>
        <w:jc w:val="left"/>
        <w:rPr>
          <w:rFonts w:hint="eastAsia"/>
          <w:kern w:val="0"/>
        </w:rPr>
      </w:pPr>
      <w:r>
        <w:rPr>
          <w:rFonts w:hint="eastAsia"/>
          <w:kern w:val="0"/>
        </w:rPr>
        <w:t>承包人有权委派其代表参加所有性能验收检测并监督所有据以确定性能保证指标是否达到本合同规定的测试数据的采集工作。如果承包人在原定的性能验收检测开始日仍未委托代表参加发包人的性能验收检测的，发包人可自行完成本合同所述的性能验收检测，该等性能验收检测的结果应作为认定是否达到本合同项下性能保证指标的依据。</w:t>
      </w:r>
    </w:p>
    <w:p>
      <w:pPr>
        <w:adjustRightInd w:val="0"/>
        <w:snapToGrid w:val="0"/>
        <w:jc w:val="left"/>
        <w:rPr>
          <w:rFonts w:hint="eastAsia"/>
          <w:kern w:val="0"/>
        </w:rPr>
      </w:pPr>
      <w:r>
        <w:rPr>
          <w:rFonts w:hint="eastAsia"/>
          <w:kern w:val="0"/>
        </w:rPr>
        <w:t>如果在完成性能验收检测后，未达到性能保证指标，则承包人应在一个月内予以纠正，并配合发包人重复进行性能验收检测直至达到性能标准。</w:t>
      </w:r>
    </w:p>
    <w:p>
      <w:pPr>
        <w:adjustRightInd w:val="0"/>
        <w:snapToGrid w:val="0"/>
        <w:jc w:val="left"/>
        <w:rPr>
          <w:rFonts w:hint="eastAsia"/>
          <w:kern w:val="0"/>
        </w:rPr>
      </w:pPr>
      <w:r>
        <w:rPr>
          <w:rFonts w:hint="eastAsia"/>
          <w:kern w:val="0"/>
        </w:rPr>
        <w:t>如果工程或某部分工程未能通过性能试验，承包人应自费修补其缺陷，由发包人按相同条款和条件重新组织进行此项未通过的试验和任何相关工程的性能试验，发生的所有费用由承包人承担。</w:t>
      </w:r>
    </w:p>
    <w:p>
      <w:pPr>
        <w:adjustRightInd w:val="0"/>
        <w:snapToGrid w:val="0"/>
        <w:ind w:firstLine="562"/>
        <w:jc w:val="left"/>
        <w:rPr>
          <w:rFonts w:hint="eastAsia"/>
          <w:kern w:val="0"/>
        </w:rPr>
      </w:pPr>
      <w:r>
        <w:rPr>
          <w:rFonts w:hint="eastAsia"/>
          <w:b/>
          <w:bCs/>
          <w:kern w:val="0"/>
          <w:sz w:val="28"/>
          <w:szCs w:val="28"/>
        </w:rPr>
        <w:t>9.2 性能保证</w:t>
      </w:r>
      <w:r>
        <w:rPr>
          <w:rFonts w:hint="eastAsia"/>
          <w:kern w:val="0"/>
        </w:rPr>
        <w:t xml:space="preserve">      </w:t>
      </w:r>
    </w:p>
    <w:p>
      <w:pPr>
        <w:adjustRightInd w:val="0"/>
        <w:snapToGrid w:val="0"/>
        <w:jc w:val="left"/>
        <w:rPr>
          <w:rFonts w:hint="eastAsia"/>
          <w:kern w:val="0"/>
        </w:rPr>
      </w:pPr>
      <w:r>
        <w:rPr>
          <w:rFonts w:hint="eastAsia"/>
          <w:kern w:val="0"/>
        </w:rPr>
        <w:t>承包人保证，性能验收最终期限所述的期限届满前已通过的性能验收检测中，应能够达到承诺的全部性能保证指标（以下简称“性能保证指标”）。承包人同意，如果工程的性能保证指标未能达到承诺的要求，其将按“发包人要求”的规定向发包人支付相应的违约赔偿金（以下简称“性能保证违约金”）。</w:t>
      </w:r>
    </w:p>
    <w:p>
      <w:pPr>
        <w:adjustRightInd w:val="0"/>
        <w:snapToGrid w:val="0"/>
        <w:jc w:val="left"/>
        <w:rPr>
          <w:rFonts w:hint="eastAsia"/>
          <w:kern w:val="0"/>
        </w:rPr>
      </w:pPr>
      <w:r>
        <w:rPr>
          <w:rFonts w:hint="eastAsia"/>
          <w:kern w:val="0"/>
        </w:rPr>
        <w:t>发包人按照发包人要求的约定，安全稳定运行一个月后进行性能验收检测，具体性能检测及考核详见招标文件“发包人要求”。</w:t>
      </w:r>
    </w:p>
    <w:p>
      <w:pPr>
        <w:adjustRightInd w:val="0"/>
        <w:snapToGrid w:val="0"/>
        <w:ind w:firstLine="562"/>
        <w:jc w:val="left"/>
        <w:rPr>
          <w:rFonts w:hint="eastAsia"/>
          <w:b/>
          <w:bCs/>
          <w:kern w:val="0"/>
          <w:sz w:val="28"/>
          <w:szCs w:val="28"/>
        </w:rPr>
      </w:pPr>
      <w:r>
        <w:rPr>
          <w:b/>
          <w:bCs/>
          <w:kern w:val="0"/>
          <w:sz w:val="28"/>
          <w:szCs w:val="28"/>
        </w:rPr>
        <w:t xml:space="preserve">9.4 </w:t>
      </w:r>
      <w:r>
        <w:rPr>
          <w:rFonts w:hint="eastAsia"/>
          <w:b/>
          <w:bCs/>
          <w:kern w:val="0"/>
          <w:sz w:val="28"/>
          <w:szCs w:val="28"/>
        </w:rPr>
        <w:t>性能验收</w:t>
      </w:r>
    </w:p>
    <w:p>
      <w:pPr>
        <w:adjustRightInd w:val="0"/>
        <w:snapToGrid w:val="0"/>
        <w:jc w:val="left"/>
        <w:rPr>
          <w:rFonts w:hint="eastAsia"/>
          <w:kern w:val="0"/>
        </w:rPr>
      </w:pPr>
      <w:r>
        <w:rPr>
          <w:rFonts w:hint="eastAsia"/>
          <w:kern w:val="0"/>
        </w:rPr>
        <w:t>如果发包人与承包人已完成该项目的性能验收检测，并证明该项目在性能验收检测中实际测得的性能指标达到承诺的性能保证指标，则该项目应被视为已达到性能验收要求。</w:t>
      </w:r>
    </w:p>
    <w:p>
      <w:pPr>
        <w:adjustRightInd w:val="0"/>
        <w:snapToGrid w:val="0"/>
        <w:jc w:val="left"/>
        <w:rPr>
          <w:rFonts w:hint="eastAsia"/>
          <w:kern w:val="0"/>
        </w:rPr>
      </w:pPr>
      <w:r>
        <w:rPr>
          <w:rFonts w:hint="eastAsia"/>
          <w:kern w:val="0"/>
        </w:rPr>
        <w:t>若在任何一次性能验收检测中，一项或一项以上性能保证指标未能达到承诺的标准，承包人根据现场存在的问题进行消缺，并在一个月内重新进行性能验收检测，以使该项目达到承诺的性能标准。</w:t>
      </w:r>
    </w:p>
    <w:p>
      <w:pPr>
        <w:adjustRightInd w:val="0"/>
        <w:snapToGrid w:val="0"/>
        <w:jc w:val="left"/>
        <w:rPr>
          <w:rFonts w:hint="eastAsia"/>
          <w:kern w:val="0"/>
        </w:rPr>
      </w:pPr>
      <w:r>
        <w:rPr>
          <w:kern w:val="0"/>
        </w:rPr>
        <w:t>9.4.1</w:t>
      </w:r>
      <w:r>
        <w:rPr>
          <w:rFonts w:hint="eastAsia"/>
          <w:kern w:val="0"/>
        </w:rPr>
        <w:t>性能验收的确立</w:t>
      </w:r>
    </w:p>
    <w:p>
      <w:pPr>
        <w:adjustRightInd w:val="0"/>
        <w:snapToGrid w:val="0"/>
        <w:jc w:val="left"/>
        <w:rPr>
          <w:rFonts w:hint="eastAsia"/>
          <w:kern w:val="0"/>
        </w:rPr>
      </w:pPr>
      <w:r>
        <w:rPr>
          <w:rFonts w:hint="eastAsia"/>
          <w:kern w:val="0"/>
        </w:rPr>
        <w:t>当发包人确认项目已达到本合同所述的性能验收要求时，应向承包人发出性能验收报告（简称“性能验收报告”），以使承包人能够决定该项目是否达到性能验收的要求。</w:t>
      </w:r>
    </w:p>
    <w:p>
      <w:pPr>
        <w:adjustRightInd w:val="0"/>
        <w:snapToGrid w:val="0"/>
        <w:jc w:val="left"/>
        <w:rPr>
          <w:rFonts w:hint="eastAsia"/>
          <w:kern w:val="0"/>
        </w:rPr>
      </w:pPr>
      <w:r>
        <w:rPr>
          <w:rFonts w:hint="eastAsia"/>
          <w:kern w:val="0"/>
        </w:rPr>
        <w:t>9.4.</w:t>
      </w:r>
      <w:r>
        <w:rPr>
          <w:kern w:val="0"/>
        </w:rPr>
        <w:t>2</w:t>
      </w:r>
      <w:r>
        <w:rPr>
          <w:rFonts w:hint="eastAsia"/>
          <w:kern w:val="0"/>
        </w:rPr>
        <w:t xml:space="preserve"> 视为通过性能验收</w:t>
      </w:r>
    </w:p>
    <w:p>
      <w:pPr>
        <w:adjustRightInd w:val="0"/>
        <w:snapToGrid w:val="0"/>
        <w:jc w:val="left"/>
        <w:rPr>
          <w:rFonts w:hint="eastAsia"/>
          <w:kern w:val="0"/>
        </w:rPr>
      </w:pPr>
      <w:r>
        <w:rPr>
          <w:rFonts w:hint="eastAsia"/>
          <w:kern w:val="0"/>
        </w:rPr>
        <w:t>如果性能验收检测表明项目未达到性能保证指标，发包人同意承包人选择支付性能保证违约金，则承包人可通过支付专用条款所述的性能保证违约金，以替代其达到性能保证指标的责任。承包人在支付此类性能保证违约金后，将无须承担达到性能保证指标的义务。但本条规定不解除承包人在性能验收合格后应履行的在本合同中的其它义务。</w:t>
      </w:r>
    </w:p>
    <w:p>
      <w:pPr>
        <w:adjustRightInd w:val="0"/>
        <w:snapToGrid w:val="0"/>
        <w:jc w:val="left"/>
        <w:rPr>
          <w:rFonts w:hint="eastAsia"/>
          <w:kern w:val="0"/>
        </w:rPr>
      </w:pPr>
      <w:r>
        <w:rPr>
          <w:rFonts w:hint="eastAsia"/>
          <w:kern w:val="0"/>
        </w:rPr>
        <w:t>9.4.</w:t>
      </w:r>
      <w:r>
        <w:rPr>
          <w:kern w:val="0"/>
        </w:rPr>
        <w:t>3</w:t>
      </w:r>
      <w:r>
        <w:rPr>
          <w:rFonts w:hint="eastAsia"/>
          <w:kern w:val="0"/>
        </w:rPr>
        <w:t xml:space="preserve"> 性能验收日期</w:t>
      </w:r>
    </w:p>
    <w:p>
      <w:pPr>
        <w:adjustRightInd w:val="0"/>
        <w:snapToGrid w:val="0"/>
        <w:jc w:val="left"/>
        <w:rPr>
          <w:rFonts w:hint="eastAsia"/>
          <w:kern w:val="0"/>
        </w:rPr>
      </w:pPr>
      <w:r>
        <w:rPr>
          <w:rFonts w:hint="eastAsia"/>
          <w:kern w:val="0"/>
        </w:rPr>
        <w:t>如果发包人根据性能验收报告向承包人签发性能验收证书，那么该项目达到性能验收要求的日期应为该性能验收报告所依据的性能验收检测通过之日。</w:t>
      </w:r>
    </w:p>
    <w:p>
      <w:pPr>
        <w:adjustRightInd w:val="0"/>
        <w:snapToGrid w:val="0"/>
        <w:jc w:val="left"/>
        <w:rPr>
          <w:rFonts w:hint="eastAsia"/>
          <w:kern w:val="0"/>
        </w:rPr>
      </w:pPr>
      <w:r>
        <w:rPr>
          <w:rFonts w:hint="eastAsia"/>
          <w:kern w:val="0"/>
        </w:rPr>
        <w:t>9.4.</w:t>
      </w:r>
      <w:r>
        <w:rPr>
          <w:kern w:val="0"/>
        </w:rPr>
        <w:t>4</w:t>
      </w:r>
      <w:r>
        <w:rPr>
          <w:rFonts w:hint="eastAsia"/>
          <w:kern w:val="0"/>
        </w:rPr>
        <w:t xml:space="preserve"> 性能验收最终期限</w:t>
      </w:r>
    </w:p>
    <w:p>
      <w:pPr>
        <w:adjustRightInd w:val="0"/>
        <w:snapToGrid w:val="0"/>
        <w:jc w:val="left"/>
        <w:rPr>
          <w:rFonts w:hint="eastAsia"/>
          <w:kern w:val="0"/>
        </w:rPr>
      </w:pPr>
      <w:r>
        <w:rPr>
          <w:rFonts w:hint="eastAsia"/>
          <w:kern w:val="0"/>
        </w:rPr>
        <w:t>在项目计划完工日后的第180天（以下简称“性能验收最终期限”），承包人仍未能使该项目达到所承诺的性能保证指标，则承包人无权进行任何重复的性能验收检测，发包人可聘用其他承包人来完成该工作，由此引起的任何额外费用均应由承包人承担。</w:t>
      </w:r>
    </w:p>
    <w:p>
      <w:pPr>
        <w:adjustRightInd w:val="0"/>
        <w:snapToGrid w:val="0"/>
        <w:jc w:val="left"/>
        <w:rPr>
          <w:rFonts w:hint="eastAsia"/>
          <w:kern w:val="0"/>
        </w:rPr>
      </w:pPr>
      <w:r>
        <w:rPr>
          <w:rFonts w:hint="eastAsia"/>
          <w:kern w:val="0"/>
        </w:rPr>
        <w:t>9.4.</w:t>
      </w:r>
      <w:r>
        <w:rPr>
          <w:kern w:val="0"/>
        </w:rPr>
        <w:t>5</w:t>
      </w:r>
      <w:r>
        <w:rPr>
          <w:rFonts w:hint="eastAsia"/>
          <w:kern w:val="0"/>
        </w:rPr>
        <w:t xml:space="preserve"> 未能通过性能试验</w:t>
      </w:r>
    </w:p>
    <w:p>
      <w:pPr>
        <w:adjustRightInd w:val="0"/>
        <w:snapToGrid w:val="0"/>
        <w:jc w:val="left"/>
        <w:rPr>
          <w:rFonts w:hint="eastAsia"/>
          <w:kern w:val="0"/>
        </w:rPr>
      </w:pPr>
      <w:r>
        <w:rPr>
          <w:rFonts w:hint="eastAsia"/>
          <w:kern w:val="0"/>
        </w:rPr>
        <w:t>性能试验指标不能达到规定的保证值，且承包人认为已经无法经济地提高设备性能，则承包人应就规定的保证值与试验所达到的实际性能值之差向发包人按约定标准支付违约金。</w:t>
      </w:r>
    </w:p>
    <w:p>
      <w:pPr>
        <w:adjustRightInd w:val="0"/>
        <w:snapToGrid w:val="0"/>
        <w:jc w:val="left"/>
        <w:rPr>
          <w:rFonts w:hint="eastAsia"/>
          <w:kern w:val="0"/>
        </w:rPr>
      </w:pPr>
      <w:r>
        <w:rPr>
          <w:rFonts w:hint="eastAsia"/>
          <w:kern w:val="0"/>
        </w:rPr>
        <w:t>如果承包人已接受发包人的上述赔偿要求，则应被视为已通过了这些试验。承包人提交违约金后，仍有义务向发包人提供技术帮助，采取各种措施以使设备达到各项经济指标。</w:t>
      </w:r>
    </w:p>
    <w:p>
      <w:pPr>
        <w:adjustRightInd w:val="0"/>
        <w:snapToGrid w:val="0"/>
        <w:jc w:val="left"/>
        <w:rPr>
          <w:rFonts w:hint="eastAsia"/>
          <w:kern w:val="0"/>
        </w:rPr>
      </w:pPr>
      <w:r>
        <w:rPr>
          <w:rFonts w:hint="eastAsia"/>
          <w:kern w:val="0"/>
        </w:rPr>
        <w:t>如果工程或某部分工程未通过某项性能试验，而承包人建议工程或该部分工程进行调整或修整，发包人代表可指示承包人，到发包人方便时才能给予工程或分项工程的进入权。此时，承包人应在等待发包人代表关于发包人方便时间的通知的合理期限内，进行调整或修正，并继续负责履行该项试验。</w:t>
      </w:r>
    </w:p>
    <w:p>
      <w:pPr>
        <w:adjustRightInd w:val="0"/>
        <w:snapToGrid w:val="0"/>
        <w:jc w:val="left"/>
        <w:rPr>
          <w:rFonts w:hint="eastAsia"/>
          <w:kern w:val="0"/>
        </w:rPr>
      </w:pPr>
      <w:r>
        <w:rPr>
          <w:rFonts w:hint="eastAsia"/>
          <w:kern w:val="0"/>
        </w:rPr>
        <w:t>如调整或修整的工程已经签发保修证书，则该部分工程的保修期限应予延长，保修期限应从该调整或修整的工程性能试验合格时开始。</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57" w:name="_Toc129848674"/>
      <w:bookmarkStart w:id="658" w:name="_Toc170377968"/>
      <w:bookmarkStart w:id="659" w:name="_Toc18256"/>
      <w:r>
        <w:rPr>
          <w:rFonts w:hint="eastAsia"/>
          <w:b/>
          <w:bCs/>
          <w:sz w:val="32"/>
          <w:szCs w:val="32"/>
        </w:rPr>
        <w:t>10.</w:t>
      </w:r>
      <w:r>
        <w:rPr>
          <w:b/>
          <w:bCs/>
          <w:sz w:val="32"/>
          <w:szCs w:val="32"/>
        </w:rPr>
        <w:t>开工、完工和终止</w:t>
      </w:r>
      <w:bookmarkEnd w:id="657"/>
      <w:bookmarkEnd w:id="658"/>
      <w:bookmarkEnd w:id="659"/>
    </w:p>
    <w:p>
      <w:pPr>
        <w:adjustRightInd w:val="0"/>
        <w:snapToGrid w:val="0"/>
        <w:ind w:firstLine="0" w:firstLineChars="0"/>
        <w:jc w:val="left"/>
        <w:rPr>
          <w:rFonts w:hint="eastAsia"/>
          <w:b/>
          <w:bCs/>
          <w:kern w:val="0"/>
          <w:sz w:val="28"/>
          <w:szCs w:val="28"/>
        </w:rPr>
      </w:pPr>
      <w:r>
        <w:rPr>
          <w:b/>
          <w:bCs/>
          <w:kern w:val="0"/>
          <w:sz w:val="28"/>
          <w:szCs w:val="28"/>
        </w:rPr>
        <w:t>10.1 开工</w:t>
      </w:r>
      <w:r>
        <w:rPr>
          <w:rFonts w:hint="eastAsia"/>
          <w:b/>
          <w:bCs/>
          <w:kern w:val="0"/>
          <w:sz w:val="28"/>
          <w:szCs w:val="28"/>
        </w:rPr>
        <w:t>日期</w:t>
      </w:r>
    </w:p>
    <w:p>
      <w:pPr>
        <w:adjustRightInd w:val="0"/>
        <w:snapToGrid w:val="0"/>
        <w:jc w:val="left"/>
        <w:rPr>
          <w:rFonts w:hint="eastAsia"/>
          <w:kern w:val="0"/>
        </w:rPr>
      </w:pPr>
      <w:r>
        <w:rPr>
          <w:rFonts w:hint="eastAsia"/>
          <w:kern w:val="0"/>
        </w:rPr>
        <w:t>双方约定：承包人应在合同签订后</w:t>
      </w:r>
      <w:r>
        <w:rPr>
          <w:kern w:val="0"/>
        </w:rPr>
        <w:t>30</w:t>
      </w:r>
      <w:r>
        <w:rPr>
          <w:rFonts w:hint="eastAsia"/>
          <w:kern w:val="0"/>
        </w:rPr>
        <w:t>天内开工，</w:t>
      </w:r>
      <w:r>
        <w:rPr>
          <w:rFonts w:hint="eastAsia"/>
          <w:szCs w:val="21"/>
        </w:rPr>
        <w:t>具体开工时间以发包人通知日期为准，</w:t>
      </w:r>
      <w:r>
        <w:rPr>
          <w:rFonts w:hint="eastAsia"/>
          <w:kern w:val="0"/>
        </w:rPr>
        <w:t>但因不可抗力、发包人等原因导致延迟开工的</w:t>
      </w:r>
      <w:r>
        <w:rPr>
          <w:kern w:val="0"/>
        </w:rPr>
        <w:t>，承包人不负责赔偿发包人的相关损失，但承包人将采取加快进度措施</w:t>
      </w:r>
      <w:r>
        <w:rPr>
          <w:rFonts w:hint="eastAsia"/>
          <w:kern w:val="0"/>
        </w:rPr>
        <w:t>。</w:t>
      </w:r>
    </w:p>
    <w:p>
      <w:pPr>
        <w:adjustRightInd w:val="0"/>
        <w:snapToGrid w:val="0"/>
        <w:ind w:firstLine="0" w:firstLineChars="0"/>
        <w:jc w:val="left"/>
        <w:rPr>
          <w:rFonts w:hint="eastAsia"/>
          <w:b/>
          <w:bCs/>
          <w:kern w:val="0"/>
          <w:sz w:val="28"/>
          <w:szCs w:val="28"/>
        </w:rPr>
      </w:pPr>
      <w:r>
        <w:rPr>
          <w:b/>
          <w:bCs/>
          <w:kern w:val="0"/>
          <w:sz w:val="28"/>
          <w:szCs w:val="28"/>
        </w:rPr>
        <w:t>10.6 逾期</w:t>
      </w:r>
      <w:r>
        <w:rPr>
          <w:rFonts w:hint="eastAsia"/>
          <w:b/>
          <w:bCs/>
          <w:kern w:val="0"/>
          <w:sz w:val="28"/>
          <w:szCs w:val="28"/>
        </w:rPr>
        <w:t>并网</w:t>
      </w:r>
      <w:r>
        <w:rPr>
          <w:b/>
          <w:bCs/>
          <w:kern w:val="0"/>
          <w:sz w:val="28"/>
          <w:szCs w:val="28"/>
        </w:rPr>
        <w:t>违约金</w:t>
      </w:r>
    </w:p>
    <w:p>
      <w:pPr>
        <w:adjustRightInd w:val="0"/>
        <w:snapToGrid w:val="0"/>
        <w:jc w:val="left"/>
        <w:rPr>
          <w:rFonts w:hint="eastAsia"/>
          <w:kern w:val="0"/>
        </w:rPr>
      </w:pPr>
      <w:r>
        <w:rPr>
          <w:kern w:val="0"/>
        </w:rPr>
        <w:t>（1）</w:t>
      </w:r>
      <w:r>
        <w:rPr>
          <w:rFonts w:hint="eastAsia"/>
          <w:kern w:val="0"/>
        </w:rPr>
        <w:t>如果因发包人原因造成工程未按计划开工的，则发包人应按照对应延期天数延长工程工期，但最长不超过一个月，由此造成的逾期并网不考核。</w:t>
      </w:r>
    </w:p>
    <w:p>
      <w:pPr>
        <w:adjustRightInd w:val="0"/>
        <w:snapToGrid w:val="0"/>
        <w:jc w:val="left"/>
        <w:rPr>
          <w:rFonts w:hint="eastAsia"/>
          <w:kern w:val="0"/>
        </w:rPr>
      </w:pPr>
      <w:r>
        <w:rPr>
          <w:rFonts w:hint="eastAsia"/>
          <w:kern w:val="0"/>
        </w:rPr>
        <w:t>（2）</w:t>
      </w:r>
      <w:r>
        <w:rPr>
          <w:kern w:val="0"/>
        </w:rPr>
        <w:t>除发包人</w:t>
      </w:r>
      <w:r>
        <w:rPr>
          <w:rFonts w:hint="eastAsia"/>
          <w:kern w:val="0"/>
        </w:rPr>
        <w:t>原因（不含上一条）和</w:t>
      </w:r>
      <w:r>
        <w:rPr>
          <w:kern w:val="0"/>
        </w:rPr>
        <w:t>不可抗</w:t>
      </w:r>
      <w:r>
        <w:rPr>
          <w:rFonts w:hint="eastAsia"/>
          <w:kern w:val="0"/>
        </w:rPr>
        <w:t>力的原因造成逾期并网不考核违约金外工程</w:t>
      </w:r>
      <w:r>
        <w:rPr>
          <w:kern w:val="0"/>
        </w:rPr>
        <w:t>未能在</w:t>
      </w:r>
      <w:r>
        <w:rPr>
          <w:rFonts w:hint="eastAsia"/>
          <w:kern w:val="0"/>
        </w:rPr>
        <w:t xml:space="preserve">  年  月  日</w:t>
      </w:r>
      <w:r>
        <w:rPr>
          <w:rFonts w:hint="eastAsia"/>
          <w:kern w:val="0"/>
          <w:u w:val="single"/>
        </w:rPr>
        <w:t>（或接入工程具备并网条件前）</w:t>
      </w:r>
      <w:r>
        <w:rPr>
          <w:kern w:val="0"/>
        </w:rPr>
        <w:t>之前具备并网条件</w:t>
      </w:r>
      <w:r>
        <w:rPr>
          <w:rFonts w:hint="eastAsia"/>
          <w:kern w:val="0"/>
        </w:rPr>
        <w:t>的，每</w:t>
      </w:r>
      <w:r>
        <w:rPr>
          <w:kern w:val="0"/>
        </w:rPr>
        <w:t>延迟一天，</w:t>
      </w:r>
      <w:r>
        <w:rPr>
          <w:rFonts w:hint="eastAsia"/>
          <w:kern w:val="0"/>
        </w:rPr>
        <w:t>承包人应向发包人支付2万元</w:t>
      </w:r>
      <w:r>
        <w:rPr>
          <w:kern w:val="0"/>
        </w:rPr>
        <w:t>的违约金。</w:t>
      </w:r>
    </w:p>
    <w:p>
      <w:pPr>
        <w:adjustRightInd w:val="0"/>
        <w:snapToGrid w:val="0"/>
        <w:contextualSpacing/>
        <w:jc w:val="left"/>
        <w:rPr>
          <w:rFonts w:hint="eastAsia"/>
          <w:kern w:val="0"/>
        </w:rPr>
      </w:pPr>
      <w:r>
        <w:rPr>
          <w:kern w:val="0"/>
        </w:rPr>
        <w:t>（3）</w:t>
      </w:r>
      <w:r>
        <w:rPr>
          <w:rFonts w:hint="eastAsia"/>
          <w:kern w:val="0"/>
        </w:rPr>
        <w:t>如果承包人单方面原因导致</w:t>
      </w:r>
      <w:r>
        <w:rPr>
          <w:kern w:val="0"/>
        </w:rPr>
        <w:t>工期延误超过</w:t>
      </w:r>
      <w:r>
        <w:rPr>
          <w:kern w:val="0"/>
          <w:u w:val="single"/>
        </w:rPr>
        <w:t>60</w:t>
      </w:r>
      <w:r>
        <w:rPr>
          <w:kern w:val="0"/>
        </w:rPr>
        <w:t>天时，则构成承包人严重违约。在此情况下，发包人除要求承包人按</w:t>
      </w:r>
      <w:r>
        <w:rPr>
          <w:rFonts w:hint="eastAsia"/>
          <w:kern w:val="0"/>
        </w:rPr>
        <w:t>时</w:t>
      </w:r>
      <w:r>
        <w:rPr>
          <w:kern w:val="0"/>
        </w:rPr>
        <w:t>支付</w:t>
      </w:r>
      <w:r>
        <w:rPr>
          <w:rFonts w:hint="eastAsia"/>
          <w:kern w:val="0"/>
        </w:rPr>
        <w:t>以上第（2）条的</w:t>
      </w:r>
      <w:r>
        <w:rPr>
          <w:kern w:val="0"/>
        </w:rPr>
        <w:t>工期延误违约金和赔偿相关损失（包括发包人的电量损失、可能发生的预期电价损失等）外，有权采取</w:t>
      </w:r>
      <w:r>
        <w:rPr>
          <w:rFonts w:hint="eastAsia"/>
          <w:kern w:val="0"/>
        </w:rPr>
        <w:t>包括</w:t>
      </w:r>
      <w:r>
        <w:rPr>
          <w:kern w:val="0"/>
        </w:rPr>
        <w:t>解除合同在内</w:t>
      </w:r>
      <w:r>
        <w:rPr>
          <w:rFonts w:hint="eastAsia"/>
          <w:kern w:val="0"/>
        </w:rPr>
        <w:t>的</w:t>
      </w:r>
      <w:r>
        <w:rPr>
          <w:kern w:val="0"/>
        </w:rPr>
        <w:t>一切必要措施以减少损失，其一切后果</w:t>
      </w:r>
      <w:r>
        <w:rPr>
          <w:rFonts w:hint="eastAsia"/>
          <w:kern w:val="0"/>
        </w:rPr>
        <w:t>及</w:t>
      </w:r>
      <w:r>
        <w:rPr>
          <w:kern w:val="0"/>
        </w:rPr>
        <w:t>费用均由承包人承担。</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60" w:name="_Toc170377969"/>
      <w:bookmarkStart w:id="661" w:name="_Toc129848675"/>
      <w:bookmarkStart w:id="662" w:name="_Toc1822"/>
      <w:r>
        <w:rPr>
          <w:rFonts w:hint="eastAsia"/>
          <w:b/>
          <w:bCs/>
          <w:sz w:val="32"/>
          <w:szCs w:val="32"/>
        </w:rPr>
        <w:t>11.</w:t>
      </w:r>
      <w:r>
        <w:rPr>
          <w:b/>
          <w:bCs/>
          <w:sz w:val="32"/>
          <w:szCs w:val="32"/>
        </w:rPr>
        <w:t>责任限额</w:t>
      </w:r>
      <w:bookmarkEnd w:id="660"/>
      <w:bookmarkEnd w:id="661"/>
      <w:bookmarkEnd w:id="662"/>
    </w:p>
    <w:p>
      <w:pPr>
        <w:adjustRightInd w:val="0"/>
        <w:snapToGrid w:val="0"/>
        <w:ind w:firstLine="0" w:firstLineChars="0"/>
        <w:contextualSpacing/>
        <w:jc w:val="left"/>
        <w:rPr>
          <w:rFonts w:hint="eastAsia"/>
          <w:kern w:val="0"/>
        </w:rPr>
      </w:pPr>
      <w:r>
        <w:t>在任何情况下，承包人为每单元</w:t>
      </w:r>
      <w:r>
        <w:rPr>
          <w:rFonts w:hint="eastAsia"/>
        </w:rPr>
        <w:t>设备</w:t>
      </w:r>
      <w:r>
        <w:t>在本合同项下对发包人所</w:t>
      </w:r>
      <w:r>
        <w:rPr>
          <w:rFonts w:hint="eastAsia"/>
        </w:rPr>
        <w:t>付</w:t>
      </w:r>
      <w:r>
        <w:t>的所有性能保证违约金、逾期</w:t>
      </w:r>
      <w:r>
        <w:rPr>
          <w:rFonts w:hint="eastAsia"/>
        </w:rPr>
        <w:t>发电</w:t>
      </w:r>
      <w:r>
        <w:t>违约金</w:t>
      </w:r>
      <w:r>
        <w:rPr>
          <w:rFonts w:hint="eastAsia"/>
        </w:rPr>
        <w:t>的</w:t>
      </w:r>
      <w:r>
        <w:t>总额累计不应超过合同总价</w:t>
      </w:r>
      <w:r>
        <w:rPr>
          <w:rFonts w:hint="eastAsia"/>
        </w:rPr>
        <w:t>的20%，</w:t>
      </w:r>
      <w:r>
        <w:rPr>
          <w:rFonts w:hint="eastAsia"/>
          <w:color w:val="FF0000"/>
        </w:rPr>
        <w:t>但违约金不足以弥补发包人损失的，发包人有权就损失不足部分继续追偿。</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63" w:name="_Toc170377970"/>
      <w:bookmarkStart w:id="664" w:name="_Toc129848676"/>
      <w:bookmarkStart w:id="665" w:name="_Toc17448"/>
      <w:r>
        <w:rPr>
          <w:rFonts w:hint="eastAsia"/>
          <w:b/>
          <w:bCs/>
          <w:sz w:val="32"/>
          <w:szCs w:val="32"/>
        </w:rPr>
        <w:t>12.变更和调整</w:t>
      </w:r>
      <w:bookmarkEnd w:id="663"/>
      <w:bookmarkEnd w:id="664"/>
      <w:bookmarkEnd w:id="665"/>
    </w:p>
    <w:p>
      <w:pPr>
        <w:adjustRightInd w:val="0"/>
        <w:snapToGrid w:val="0"/>
        <w:ind w:left="843" w:hanging="843" w:hangingChars="300"/>
        <w:rPr>
          <w:rFonts w:hint="eastAsia"/>
          <w:b/>
          <w:bCs/>
          <w:sz w:val="28"/>
          <w:szCs w:val="28"/>
        </w:rPr>
      </w:pPr>
      <w:r>
        <w:rPr>
          <w:b/>
          <w:bCs/>
          <w:sz w:val="28"/>
          <w:szCs w:val="28"/>
        </w:rPr>
        <w:t xml:space="preserve">12.4 </w:t>
      </w:r>
      <w:r>
        <w:rPr>
          <w:rFonts w:hint="eastAsia"/>
          <w:b/>
          <w:bCs/>
          <w:sz w:val="28"/>
          <w:szCs w:val="28"/>
        </w:rPr>
        <w:t>工期和价格变化</w:t>
      </w:r>
    </w:p>
    <w:p>
      <w:pPr>
        <w:contextualSpacing/>
        <w:jc w:val="left"/>
        <w:rPr>
          <w:rFonts w:hint="eastAsia"/>
          <w:kern w:val="0"/>
          <w:szCs w:val="21"/>
        </w:rPr>
      </w:pPr>
      <w:r>
        <w:rPr>
          <w:rFonts w:hint="eastAsia"/>
          <w:kern w:val="0"/>
          <w:szCs w:val="21"/>
        </w:rPr>
        <w:t>12.4 工期和价格变化</w:t>
      </w:r>
    </w:p>
    <w:p>
      <w:pPr>
        <w:contextualSpacing/>
        <w:jc w:val="left"/>
        <w:rPr>
          <w:rFonts w:hint="eastAsia"/>
          <w:kern w:val="0"/>
          <w:szCs w:val="21"/>
        </w:rPr>
      </w:pPr>
      <w:r>
        <w:rPr>
          <w:rFonts w:hint="eastAsia"/>
          <w:kern w:val="0"/>
          <w:szCs w:val="21"/>
        </w:rPr>
        <w:t>12.4.3 工程结算</w:t>
      </w:r>
    </w:p>
    <w:p>
      <w:pPr>
        <w:contextualSpacing/>
        <w:jc w:val="left"/>
        <w:rPr>
          <w:rFonts w:hint="eastAsia"/>
          <w:kern w:val="0"/>
          <w:szCs w:val="21"/>
        </w:rPr>
      </w:pPr>
      <w:r>
        <w:rPr>
          <w:rFonts w:hint="eastAsia"/>
          <w:kern w:val="0"/>
          <w:szCs w:val="21"/>
        </w:rPr>
        <w:t>如因承包人原因，最后一个发电单元试运行完成后 12 个月内仍未完成工程结算，或者承包人不按约定提交结算补充资料或不参加结算谈判，且在发包人发正式公函催促 28日 内仍未回应的，发包人可以依据监理人和发包人资料进行单方面结算，并报审计单位审计后做最终工程结算，承包人应予承认和认可。</w:t>
      </w:r>
    </w:p>
    <w:p>
      <w:pPr>
        <w:contextualSpacing/>
        <w:jc w:val="left"/>
        <w:rPr>
          <w:rFonts w:hint="eastAsia"/>
          <w:kern w:val="0"/>
          <w:szCs w:val="21"/>
        </w:rPr>
      </w:pPr>
      <w:r>
        <w:rPr>
          <w:rFonts w:hint="eastAsia"/>
          <w:kern w:val="0"/>
          <w:szCs w:val="21"/>
        </w:rPr>
        <w:t>按发包人企业管理制度，工程结算价需经发包人上级单位的审核、批准，以及第三方审计机构审查、核算。</w:t>
      </w:r>
    </w:p>
    <w:p>
      <w:pPr>
        <w:contextualSpacing/>
        <w:jc w:val="left"/>
        <w:rPr>
          <w:rFonts w:hint="eastAsia"/>
          <w:kern w:val="0"/>
          <w:szCs w:val="21"/>
        </w:rPr>
      </w:pPr>
      <w:r>
        <w:rPr>
          <w:rFonts w:hint="eastAsia"/>
          <w:kern w:val="0"/>
          <w:szCs w:val="21"/>
        </w:rPr>
        <w:t>工程结算原则：</w:t>
      </w:r>
    </w:p>
    <w:p>
      <w:pPr>
        <w:contextualSpacing/>
        <w:jc w:val="left"/>
        <w:rPr>
          <w:rFonts w:hint="eastAsia"/>
          <w:kern w:val="0"/>
          <w:szCs w:val="21"/>
        </w:rPr>
      </w:pPr>
      <w:r>
        <w:rPr>
          <w:rFonts w:hint="eastAsia"/>
          <w:kern w:val="0"/>
          <w:szCs w:val="21"/>
        </w:rPr>
        <w:t>（1）除发生以下第（2）条“可以调整合同价格的约定”外，本合同总价固定不变，即不得调整合同价格的约定如下：</w:t>
      </w:r>
    </w:p>
    <w:p>
      <w:pPr>
        <w:contextualSpacing/>
        <w:jc w:val="left"/>
        <w:rPr>
          <w:rFonts w:hint="eastAsia"/>
          <w:kern w:val="0"/>
          <w:szCs w:val="21"/>
        </w:rPr>
      </w:pPr>
      <w:r>
        <w:rPr>
          <w:rFonts w:hint="eastAsia"/>
          <w:kern w:val="0"/>
          <w:szCs w:val="21"/>
        </w:rPr>
        <w:t>1）因承包人原因造成的错项、漏项发包人不予增加。</w:t>
      </w:r>
    </w:p>
    <w:p>
      <w:pPr>
        <w:contextualSpacing/>
        <w:jc w:val="left"/>
        <w:rPr>
          <w:rFonts w:hint="eastAsia"/>
          <w:kern w:val="0"/>
          <w:szCs w:val="21"/>
        </w:rPr>
      </w:pPr>
      <w:r>
        <w:rPr>
          <w:rFonts w:hint="eastAsia"/>
          <w:kern w:val="0"/>
          <w:szCs w:val="21"/>
        </w:rPr>
        <w:t>2）组成合同价格的设备及安装工程费、技术服务费、其他费用（暂列金额除外）不调整。</w:t>
      </w:r>
    </w:p>
    <w:p>
      <w:pPr>
        <w:contextualSpacing/>
        <w:jc w:val="left"/>
        <w:rPr>
          <w:rFonts w:hint="eastAsia"/>
          <w:kern w:val="0"/>
          <w:szCs w:val="21"/>
        </w:rPr>
      </w:pPr>
      <w:r>
        <w:rPr>
          <w:rFonts w:hint="eastAsia"/>
          <w:kern w:val="0"/>
          <w:szCs w:val="21"/>
        </w:rPr>
        <w:t>3）市场价格波动引起的人工、材料、机械、设备价差不调整。</w:t>
      </w:r>
    </w:p>
    <w:p>
      <w:pPr>
        <w:contextualSpacing/>
        <w:jc w:val="left"/>
        <w:rPr>
          <w:rFonts w:hint="eastAsia"/>
          <w:kern w:val="0"/>
          <w:szCs w:val="21"/>
        </w:rPr>
      </w:pPr>
      <w:r>
        <w:rPr>
          <w:rFonts w:hint="eastAsia"/>
          <w:kern w:val="0"/>
          <w:szCs w:val="21"/>
        </w:rPr>
        <w:t>4）因承包人原因导致的变更，发包人不予调整。</w:t>
      </w:r>
    </w:p>
    <w:p>
      <w:pPr>
        <w:contextualSpacing/>
        <w:jc w:val="left"/>
        <w:rPr>
          <w:rFonts w:hint="eastAsia"/>
          <w:kern w:val="0"/>
          <w:szCs w:val="21"/>
        </w:rPr>
      </w:pPr>
      <w:r>
        <w:rPr>
          <w:rFonts w:hint="eastAsia"/>
          <w:kern w:val="0"/>
          <w:szCs w:val="21"/>
        </w:rPr>
        <w:t>（2）可以调整合同价格的约定：</w:t>
      </w:r>
    </w:p>
    <w:p>
      <w:pPr>
        <w:contextualSpacing/>
        <w:jc w:val="left"/>
        <w:rPr>
          <w:rFonts w:hint="eastAsia"/>
          <w:kern w:val="0"/>
          <w:szCs w:val="21"/>
        </w:rPr>
      </w:pPr>
      <w:r>
        <w:rPr>
          <w:rFonts w:hint="eastAsia"/>
          <w:kern w:val="0"/>
          <w:szCs w:val="21"/>
        </w:rPr>
        <w:t>1）发包人变更设计</w:t>
      </w:r>
    </w:p>
    <w:p>
      <w:pPr>
        <w:contextualSpacing/>
        <w:jc w:val="left"/>
        <w:rPr>
          <w:rFonts w:hint="eastAsia"/>
          <w:kern w:val="0"/>
          <w:szCs w:val="21"/>
        </w:rPr>
      </w:pPr>
      <w:r>
        <w:rPr>
          <w:rFonts w:hint="eastAsia"/>
          <w:kern w:val="0"/>
          <w:szCs w:val="21"/>
        </w:rPr>
        <w:t>发包人变更设计是指由发包人出具，对设计的建筑、设备扩大或减少使用功能，提高或降低设备工艺水平或使用标准而进行的修改，以及增加或减少建筑物、构筑物、整套设备、装置及生产工艺。</w:t>
      </w:r>
    </w:p>
    <w:p>
      <w:pPr>
        <w:contextualSpacing/>
        <w:jc w:val="left"/>
        <w:rPr>
          <w:rFonts w:hint="eastAsia"/>
          <w:kern w:val="0"/>
          <w:szCs w:val="21"/>
        </w:rPr>
      </w:pPr>
      <w:r>
        <w:rPr>
          <w:rFonts w:hint="eastAsia"/>
          <w:kern w:val="0"/>
          <w:szCs w:val="21"/>
        </w:rPr>
        <w:t>2）发包人委托</w:t>
      </w:r>
    </w:p>
    <w:p>
      <w:pPr>
        <w:contextualSpacing/>
        <w:jc w:val="left"/>
        <w:rPr>
          <w:rFonts w:hint="eastAsia"/>
          <w:kern w:val="0"/>
          <w:szCs w:val="21"/>
        </w:rPr>
      </w:pPr>
      <w:r>
        <w:rPr>
          <w:rFonts w:hint="eastAsia"/>
          <w:kern w:val="0"/>
          <w:szCs w:val="21"/>
        </w:rPr>
        <w:t>发包人委托是指发包人根据工程需要在承包人合同范围外单独实施的委托项目。</w:t>
      </w:r>
    </w:p>
    <w:p>
      <w:pPr>
        <w:contextualSpacing/>
        <w:jc w:val="left"/>
        <w:rPr>
          <w:rFonts w:hint="eastAsia"/>
          <w:kern w:val="0"/>
          <w:szCs w:val="21"/>
        </w:rPr>
      </w:pPr>
      <w:r>
        <w:rPr>
          <w:rFonts w:hint="eastAsia"/>
          <w:kern w:val="0"/>
          <w:szCs w:val="21"/>
        </w:rPr>
        <w:t>3）由于发包人原因引起的工程量差</w:t>
      </w:r>
    </w:p>
    <w:p>
      <w:pPr>
        <w:contextualSpacing/>
        <w:jc w:val="left"/>
        <w:rPr>
          <w:rFonts w:hint="eastAsia"/>
          <w:kern w:val="0"/>
          <w:szCs w:val="21"/>
        </w:rPr>
      </w:pPr>
      <w:r>
        <w:rPr>
          <w:rFonts w:hint="eastAsia"/>
          <w:kern w:val="0"/>
          <w:szCs w:val="21"/>
        </w:rPr>
        <w:t>土建工程的量差按正式最终版施工图工程量调整，量差不超过正负5%（含）的不予调整。</w:t>
      </w:r>
    </w:p>
    <w:p>
      <w:pPr>
        <w:contextualSpacing/>
        <w:jc w:val="left"/>
        <w:rPr>
          <w:rFonts w:hint="eastAsia"/>
          <w:kern w:val="0"/>
          <w:szCs w:val="21"/>
        </w:rPr>
      </w:pPr>
      <w:r>
        <w:rPr>
          <w:rFonts w:hint="eastAsia"/>
          <w:kern w:val="0"/>
          <w:szCs w:val="21"/>
        </w:rPr>
        <w:t xml:space="preserve">（3）可以调整合同价格的作价原则： </w:t>
      </w:r>
    </w:p>
    <w:p>
      <w:pPr>
        <w:contextualSpacing/>
        <w:jc w:val="left"/>
        <w:rPr>
          <w:rFonts w:hint="eastAsia"/>
          <w:kern w:val="0"/>
          <w:szCs w:val="21"/>
        </w:rPr>
      </w:pPr>
      <w:r>
        <w:rPr>
          <w:rFonts w:hint="eastAsia"/>
          <w:kern w:val="0"/>
          <w:szCs w:val="21"/>
        </w:rPr>
        <w:t>1）作价原则：</w:t>
      </w:r>
    </w:p>
    <w:p>
      <w:pPr>
        <w:contextualSpacing/>
        <w:jc w:val="left"/>
        <w:rPr>
          <w:rFonts w:hint="eastAsia"/>
          <w:kern w:val="0"/>
          <w:szCs w:val="21"/>
        </w:rPr>
      </w:pPr>
      <w:r>
        <w:rPr>
          <w:rFonts w:hint="eastAsia"/>
          <w:kern w:val="0"/>
          <w:szCs w:val="21"/>
        </w:rPr>
        <w:t>①合同中已有适用于变更工程的综合单价，按合同已有的价格变更合同综合单价；</w:t>
      </w:r>
    </w:p>
    <w:p>
      <w:pPr>
        <w:contextualSpacing/>
        <w:jc w:val="left"/>
        <w:rPr>
          <w:rFonts w:hint="eastAsia"/>
          <w:kern w:val="0"/>
          <w:szCs w:val="21"/>
        </w:rPr>
      </w:pPr>
      <w:r>
        <w:rPr>
          <w:rFonts w:hint="eastAsia"/>
          <w:kern w:val="0"/>
          <w:szCs w:val="21"/>
        </w:rPr>
        <w:t>②合同中没有适用但有类似于变更工程的综合单价，可在合理范围内参照类似合同综合单价变更合同价款；</w:t>
      </w:r>
    </w:p>
    <w:p>
      <w:pPr>
        <w:ind w:firstLine="480"/>
        <w:contextualSpacing/>
        <w:jc w:val="left"/>
        <w:rPr>
          <w:rFonts w:hint="eastAsia"/>
          <w:sz w:val="24"/>
          <w:szCs w:val="24"/>
        </w:rPr>
      </w:pPr>
      <w:r>
        <w:rPr>
          <w:sz w:val="24"/>
          <w:szCs w:val="24"/>
        </w:rPr>
        <w:t>③合同中没有适用或类似于变更工程的单价，经双方协商一致进行变更。</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66" w:name="_Toc170377971"/>
      <w:bookmarkStart w:id="667" w:name="_Toc129848677"/>
      <w:bookmarkStart w:id="668" w:name="_Toc15194"/>
      <w:r>
        <w:rPr>
          <w:rFonts w:hint="eastAsia"/>
          <w:b/>
          <w:bCs/>
          <w:sz w:val="32"/>
          <w:szCs w:val="32"/>
        </w:rPr>
        <w:t>13.</w:t>
      </w:r>
      <w:r>
        <w:rPr>
          <w:b/>
          <w:bCs/>
          <w:sz w:val="32"/>
          <w:szCs w:val="32"/>
        </w:rPr>
        <w:t>合同价格和付款</w:t>
      </w:r>
      <w:bookmarkEnd w:id="666"/>
      <w:bookmarkEnd w:id="667"/>
      <w:bookmarkEnd w:id="668"/>
    </w:p>
    <w:p>
      <w:pPr>
        <w:adjustRightInd w:val="0"/>
        <w:snapToGrid w:val="0"/>
        <w:ind w:firstLine="0" w:firstLineChars="0"/>
        <w:jc w:val="left"/>
        <w:rPr>
          <w:rFonts w:hint="eastAsia"/>
          <w:b/>
          <w:bCs/>
          <w:kern w:val="0"/>
          <w:sz w:val="28"/>
          <w:szCs w:val="28"/>
        </w:rPr>
      </w:pPr>
      <w:r>
        <w:rPr>
          <w:b/>
          <w:bCs/>
          <w:kern w:val="0"/>
          <w:sz w:val="28"/>
          <w:szCs w:val="28"/>
        </w:rPr>
        <w:t>13.1 合同价格</w:t>
      </w:r>
    </w:p>
    <w:p>
      <w:pPr>
        <w:adjustRightInd w:val="0"/>
        <w:snapToGrid w:val="0"/>
        <w:jc w:val="left"/>
        <w:rPr>
          <w:rFonts w:hint="eastAsia"/>
          <w:kern w:val="0"/>
        </w:rPr>
      </w:pPr>
      <w:r>
        <w:rPr>
          <w:kern w:val="0"/>
        </w:rPr>
        <w:t>（1）本工程的合同总价为</w:t>
      </w:r>
      <w:r>
        <w:rPr>
          <w:rFonts w:hint="eastAsia"/>
          <w:color w:val="FF0000"/>
          <w:kern w:val="0"/>
          <w:u w:val="single"/>
        </w:rPr>
        <w:t xml:space="preserve">￥14352000.00 </w:t>
      </w:r>
      <w:r>
        <w:rPr>
          <w:kern w:val="0"/>
        </w:rPr>
        <w:t>元</w:t>
      </w:r>
      <w:r>
        <w:rPr>
          <w:rFonts w:hint="eastAsia"/>
          <w:kern w:val="0"/>
        </w:rPr>
        <w:t>（含税</w:t>
      </w:r>
      <w:r>
        <w:rPr>
          <w:kern w:val="0"/>
        </w:rPr>
        <w:t>价</w:t>
      </w:r>
      <w:r>
        <w:rPr>
          <w:rFonts w:hint="eastAsia"/>
          <w:kern w:val="0"/>
        </w:rPr>
        <w:t>），</w:t>
      </w:r>
      <w:r>
        <w:rPr>
          <w:rFonts w:hint="eastAsia"/>
          <w:color w:val="FF0000"/>
          <w:kern w:val="0"/>
          <w:u w:val="single"/>
        </w:rPr>
        <w:t xml:space="preserve">￥12946897.08 </w:t>
      </w:r>
      <w:r>
        <w:rPr>
          <w:kern w:val="0"/>
        </w:rPr>
        <w:t>元</w:t>
      </w:r>
      <w:r>
        <w:rPr>
          <w:rFonts w:hint="eastAsia"/>
          <w:kern w:val="0"/>
        </w:rPr>
        <w:t>（不含税</w:t>
      </w:r>
      <w:r>
        <w:rPr>
          <w:kern w:val="0"/>
        </w:rPr>
        <w:t>价</w:t>
      </w:r>
      <w:r>
        <w:rPr>
          <w:rFonts w:hint="eastAsia"/>
          <w:kern w:val="0"/>
        </w:rPr>
        <w:t>）。</w:t>
      </w:r>
    </w:p>
    <w:p>
      <w:pPr>
        <w:adjustRightInd w:val="0"/>
        <w:snapToGrid w:val="0"/>
        <w:jc w:val="left"/>
        <w:rPr>
          <w:rFonts w:hint="eastAsia"/>
          <w:kern w:val="0"/>
        </w:rPr>
      </w:pPr>
      <w:r>
        <w:rPr>
          <w:rFonts w:hint="eastAsia"/>
          <w:kern w:val="0"/>
        </w:rPr>
        <w:t>本合同采用固定总价，</w:t>
      </w:r>
      <w:r>
        <w:rPr>
          <w:kern w:val="0"/>
        </w:rPr>
        <w:t>合同总价包括但不仅限于</w:t>
      </w:r>
      <w:r>
        <w:rPr>
          <w:rFonts w:hint="eastAsia"/>
          <w:kern w:val="0"/>
        </w:rPr>
        <w:t>本合同</w:t>
      </w:r>
      <w:r>
        <w:rPr>
          <w:kern w:val="0"/>
        </w:rPr>
        <w:t>工程</w:t>
      </w:r>
      <w:r>
        <w:rPr>
          <w:rFonts w:hint="eastAsia"/>
          <w:kern w:val="0"/>
        </w:rPr>
        <w:t>范围内</w:t>
      </w:r>
      <w:r>
        <w:rPr>
          <w:kern w:val="0"/>
        </w:rPr>
        <w:t>所需设备费（包括备品备件、专用工具）、材料费、技术服务费、保险费、建筑工程费、安装工程费、特殊措施费、调试试运行费</w:t>
      </w:r>
      <w:r>
        <w:rPr>
          <w:rFonts w:hint="eastAsia"/>
          <w:kern w:val="0"/>
        </w:rPr>
        <w:t>及办理工程相关合规性手续涉及费用</w:t>
      </w:r>
      <w:r>
        <w:rPr>
          <w:kern w:val="0"/>
        </w:rPr>
        <w:t>等所有为完成本工程及质量保修，承包人所可能发生的全部费用，以及合同工程范围中</w:t>
      </w:r>
      <w:r>
        <w:rPr>
          <w:rFonts w:hint="eastAsia"/>
          <w:kern w:val="0"/>
        </w:rPr>
        <w:t>承包人应负责的其它费用</w:t>
      </w:r>
      <w:r>
        <w:rPr>
          <w:kern w:val="0"/>
        </w:rPr>
        <w:t>。</w:t>
      </w:r>
    </w:p>
    <w:p>
      <w:pPr>
        <w:adjustRightInd w:val="0"/>
        <w:snapToGrid w:val="0"/>
        <w:jc w:val="left"/>
        <w:rPr>
          <w:rFonts w:hint="eastAsia"/>
          <w:kern w:val="0"/>
        </w:rPr>
      </w:pPr>
      <w:r>
        <w:rPr>
          <w:kern w:val="0"/>
        </w:rPr>
        <w:t>合同价格的调整见</w:t>
      </w:r>
      <w:r>
        <w:rPr>
          <w:kern w:val="0"/>
          <w:u w:val="single"/>
        </w:rPr>
        <w:t>专用条款</w:t>
      </w:r>
      <w:r>
        <w:rPr>
          <w:rFonts w:hint="eastAsia"/>
          <w:kern w:val="0"/>
          <w:u w:val="single"/>
        </w:rPr>
        <w:t>1</w:t>
      </w:r>
      <w:r>
        <w:rPr>
          <w:kern w:val="0"/>
          <w:u w:val="single"/>
        </w:rPr>
        <w:t>2.4.</w:t>
      </w:r>
      <w:r>
        <w:rPr>
          <w:rFonts w:hint="eastAsia"/>
          <w:kern w:val="0"/>
          <w:u w:val="single"/>
        </w:rPr>
        <w:t>2</w:t>
      </w:r>
      <w:r>
        <w:rPr>
          <w:kern w:val="0"/>
          <w:u w:val="single"/>
        </w:rPr>
        <w:t>条规定</w:t>
      </w:r>
      <w:r>
        <w:rPr>
          <w:kern w:val="0"/>
        </w:rPr>
        <w:t>。</w:t>
      </w:r>
    </w:p>
    <w:p>
      <w:pPr>
        <w:adjustRightInd w:val="0"/>
        <w:snapToGrid w:val="0"/>
        <w:jc w:val="left"/>
        <w:rPr>
          <w:rFonts w:hint="eastAsia"/>
          <w:kern w:val="0"/>
        </w:rPr>
      </w:pPr>
      <w:r>
        <w:rPr>
          <w:kern w:val="0"/>
        </w:rPr>
        <w:t>其中：</w:t>
      </w:r>
    </w:p>
    <w:p>
      <w:pPr>
        <w:adjustRightInd w:val="0"/>
        <w:snapToGrid w:val="0"/>
        <w:ind w:left="409" w:leftChars="195" w:firstLine="0" w:firstLineChars="0"/>
        <w:jc w:val="left"/>
        <w:rPr>
          <w:rFonts w:hint="eastAsia"/>
          <w:kern w:val="0"/>
          <w:u w:val="single"/>
        </w:rPr>
      </w:pPr>
      <w:r>
        <w:rPr>
          <w:rFonts w:hint="eastAsia"/>
          <w:kern w:val="0"/>
        </w:rPr>
        <w:t>1</w:t>
      </w:r>
      <w:r>
        <w:rPr>
          <w:kern w:val="0"/>
        </w:rPr>
        <w:t>）设备</w:t>
      </w:r>
      <w:r>
        <w:rPr>
          <w:rFonts w:hint="eastAsia"/>
          <w:kern w:val="0"/>
        </w:rPr>
        <w:t>、材料</w:t>
      </w:r>
      <w:r>
        <w:rPr>
          <w:kern w:val="0"/>
        </w:rPr>
        <w:t>价格为</w:t>
      </w:r>
      <w:r>
        <w:rPr>
          <w:rFonts w:hint="eastAsia"/>
          <w:color w:val="FF0000"/>
          <w:kern w:val="0"/>
          <w:u w:val="single"/>
        </w:rPr>
        <w:t>￥9417513.60</w:t>
      </w:r>
      <w:r>
        <w:rPr>
          <w:kern w:val="0"/>
        </w:rPr>
        <w:t>元，税率</w:t>
      </w:r>
      <w:r>
        <w:rPr>
          <w:rFonts w:hint="eastAsia"/>
          <w:kern w:val="0"/>
          <w:u w:val="single"/>
        </w:rPr>
        <w:t xml:space="preserve"> </w:t>
      </w:r>
      <w:r>
        <w:rPr>
          <w:kern w:val="0"/>
          <w:u w:val="single"/>
        </w:rPr>
        <w:t xml:space="preserve"> </w:t>
      </w:r>
      <w:r>
        <w:rPr>
          <w:rFonts w:hint="eastAsia"/>
          <w:color w:val="FF0000"/>
          <w:kern w:val="0"/>
          <w:u w:val="single"/>
        </w:rPr>
        <w:t>13%</w:t>
      </w:r>
      <w:r>
        <w:rPr>
          <w:color w:val="FF0000"/>
          <w:kern w:val="0"/>
          <w:u w:val="single"/>
        </w:rPr>
        <w:t xml:space="preserve"> </w:t>
      </w:r>
      <w:r>
        <w:rPr>
          <w:kern w:val="0"/>
          <w:u w:val="single"/>
        </w:rPr>
        <w:t xml:space="preserve">   </w:t>
      </w:r>
      <w:r>
        <w:rPr>
          <w:kern w:val="0"/>
        </w:rPr>
        <w:t>。</w:t>
      </w:r>
    </w:p>
    <w:p>
      <w:pPr>
        <w:adjustRightInd w:val="0"/>
        <w:snapToGrid w:val="0"/>
        <w:jc w:val="left"/>
        <w:rPr>
          <w:rFonts w:hint="eastAsia"/>
          <w:kern w:val="0"/>
        </w:rPr>
      </w:pPr>
      <w:r>
        <w:rPr>
          <w:rFonts w:hint="eastAsia"/>
          <w:kern w:val="0"/>
        </w:rPr>
        <w:t>2</w:t>
      </w:r>
      <w:r>
        <w:rPr>
          <w:kern w:val="0"/>
        </w:rPr>
        <w:t>）</w:t>
      </w:r>
      <w:r>
        <w:rPr>
          <w:rFonts w:hint="eastAsia"/>
          <w:kern w:val="0"/>
        </w:rPr>
        <w:t>建安费</w:t>
      </w:r>
      <w:r>
        <w:rPr>
          <w:kern w:val="0"/>
        </w:rPr>
        <w:t>价格</w:t>
      </w:r>
      <w:r>
        <w:rPr>
          <w:rFonts w:hint="eastAsia"/>
          <w:kern w:val="0"/>
        </w:rPr>
        <w:t>为</w:t>
      </w:r>
      <w:r>
        <w:rPr>
          <w:rFonts w:hint="eastAsia"/>
          <w:color w:val="FF0000"/>
          <w:kern w:val="0"/>
          <w:u w:val="single"/>
        </w:rPr>
        <w:t>￥</w:t>
      </w:r>
      <w:r>
        <w:rPr>
          <w:rFonts w:hint="eastAsia"/>
          <w:color w:val="FF0000"/>
          <w:kern w:val="0"/>
          <w:sz w:val="22"/>
          <w:u w:val="single"/>
        </w:rPr>
        <w:t>1131486.40</w:t>
      </w:r>
      <w:r>
        <w:rPr>
          <w:kern w:val="0"/>
        </w:rPr>
        <w:t>元</w:t>
      </w:r>
      <w:r>
        <w:rPr>
          <w:rFonts w:hint="eastAsia"/>
          <w:kern w:val="0"/>
        </w:rPr>
        <w:t>，税率</w:t>
      </w:r>
      <w:r>
        <w:rPr>
          <w:rFonts w:hint="eastAsia"/>
          <w:kern w:val="0"/>
          <w:u w:val="single"/>
        </w:rPr>
        <w:t xml:space="preserve"> </w:t>
      </w:r>
      <w:r>
        <w:rPr>
          <w:kern w:val="0"/>
          <w:u w:val="single"/>
        </w:rPr>
        <w:t xml:space="preserve"> </w:t>
      </w:r>
      <w:r>
        <w:rPr>
          <w:color w:val="FF0000"/>
          <w:kern w:val="0"/>
          <w:u w:val="single"/>
        </w:rPr>
        <w:t xml:space="preserve"> </w:t>
      </w:r>
      <w:r>
        <w:rPr>
          <w:rFonts w:hint="eastAsia"/>
          <w:color w:val="FF0000"/>
          <w:kern w:val="0"/>
          <w:u w:val="single"/>
        </w:rPr>
        <w:t>9%</w:t>
      </w:r>
      <w:r>
        <w:rPr>
          <w:color w:val="FF0000"/>
          <w:kern w:val="0"/>
          <w:u w:val="single"/>
        </w:rPr>
        <w:t xml:space="preserve"> </w:t>
      </w:r>
      <w:r>
        <w:rPr>
          <w:kern w:val="0"/>
          <w:u w:val="single"/>
        </w:rPr>
        <w:t xml:space="preserve">  </w:t>
      </w:r>
      <w:r>
        <w:rPr>
          <w:kern w:val="0"/>
        </w:rPr>
        <w:t>。</w:t>
      </w:r>
    </w:p>
    <w:p>
      <w:pPr>
        <w:adjustRightInd w:val="0"/>
        <w:snapToGrid w:val="0"/>
        <w:ind w:firstLine="840" w:firstLineChars="400"/>
        <w:jc w:val="left"/>
        <w:rPr>
          <w:rFonts w:hint="eastAsia"/>
          <w:kern w:val="0"/>
        </w:rPr>
      </w:pPr>
      <w:r>
        <w:rPr>
          <w:rFonts w:hint="eastAsia"/>
          <w:kern w:val="0"/>
        </w:rPr>
        <w:t>本工程的安全生产措施费用</w:t>
      </w:r>
      <w:r>
        <w:rPr>
          <w:kern w:val="0"/>
        </w:rPr>
        <w:t>(</w:t>
      </w:r>
      <w:r>
        <w:rPr>
          <w:rFonts w:hint="eastAsia"/>
          <w:kern w:val="0"/>
        </w:rPr>
        <w:t>不低于建安工程造价</w:t>
      </w:r>
      <w:r>
        <w:rPr>
          <w:kern w:val="0"/>
        </w:rPr>
        <w:t>2%)</w:t>
      </w:r>
      <w:r>
        <w:rPr>
          <w:rFonts w:hint="eastAsia"/>
          <w:color w:val="FF0000"/>
          <w:kern w:val="0"/>
          <w:u w:val="single"/>
        </w:rPr>
        <w:t>￥2.26万</w:t>
      </w:r>
      <w:r>
        <w:rPr>
          <w:rFonts w:hint="eastAsia"/>
          <w:kern w:val="0"/>
        </w:rPr>
        <w:t>元</w:t>
      </w:r>
      <w:r>
        <w:rPr>
          <w:kern w:val="0"/>
        </w:rPr>
        <w:t>。</w:t>
      </w:r>
    </w:p>
    <w:p>
      <w:pPr>
        <w:adjustRightInd w:val="0"/>
        <w:snapToGrid w:val="0"/>
        <w:jc w:val="left"/>
        <w:rPr>
          <w:rFonts w:hint="eastAsia"/>
          <w:kern w:val="0"/>
        </w:rPr>
      </w:pPr>
      <w:r>
        <w:rPr>
          <w:rFonts w:hint="eastAsia"/>
          <w:kern w:val="0"/>
        </w:rPr>
        <w:t>3</w:t>
      </w:r>
      <w:r>
        <w:rPr>
          <w:kern w:val="0"/>
        </w:rPr>
        <w:t>）技术服务</w:t>
      </w:r>
      <w:r>
        <w:rPr>
          <w:rFonts w:hint="eastAsia"/>
          <w:kern w:val="0"/>
        </w:rPr>
        <w:t>及</w:t>
      </w:r>
      <w:r>
        <w:rPr>
          <w:kern w:val="0"/>
        </w:rPr>
        <w:t>其它价格</w:t>
      </w:r>
      <w:r>
        <w:rPr>
          <w:rFonts w:hint="eastAsia"/>
          <w:kern w:val="0"/>
        </w:rPr>
        <w:t>为</w:t>
      </w:r>
      <w:r>
        <w:rPr>
          <w:rFonts w:hint="eastAsia"/>
          <w:color w:val="FF0000"/>
          <w:kern w:val="0"/>
          <w:u w:val="single"/>
        </w:rPr>
        <w:t>￥</w:t>
      </w:r>
      <w:r>
        <w:rPr>
          <w:rFonts w:hint="eastAsia"/>
          <w:color w:val="FF0000"/>
          <w:kern w:val="0"/>
          <w:sz w:val="22"/>
          <w:u w:val="single"/>
        </w:rPr>
        <w:t>3303000.00</w:t>
      </w:r>
      <w:r>
        <w:rPr>
          <w:kern w:val="0"/>
        </w:rPr>
        <w:t>元，税率</w:t>
      </w:r>
      <w:r>
        <w:rPr>
          <w:rFonts w:hint="eastAsia"/>
          <w:kern w:val="0"/>
          <w:u w:val="single"/>
        </w:rPr>
        <w:t xml:space="preserve"> </w:t>
      </w:r>
      <w:r>
        <w:rPr>
          <w:kern w:val="0"/>
          <w:u w:val="single"/>
        </w:rPr>
        <w:t xml:space="preserve"> </w:t>
      </w:r>
      <w:r>
        <w:rPr>
          <w:rFonts w:hint="eastAsia"/>
          <w:color w:val="FF0000"/>
          <w:kern w:val="0"/>
          <w:u w:val="single"/>
        </w:rPr>
        <w:t>6%</w:t>
      </w:r>
      <w:r>
        <w:rPr>
          <w:color w:val="FF0000"/>
          <w:kern w:val="0"/>
          <w:u w:val="single"/>
        </w:rPr>
        <w:t xml:space="preserve"> </w:t>
      </w:r>
      <w:r>
        <w:rPr>
          <w:kern w:val="0"/>
          <w:u w:val="single"/>
        </w:rPr>
        <w:t xml:space="preserve">  </w:t>
      </w:r>
      <w:r>
        <w:rPr>
          <w:kern w:val="0"/>
        </w:rPr>
        <w:t xml:space="preserve"> </w:t>
      </w:r>
      <w:r>
        <w:rPr>
          <w:rFonts w:hint="eastAsia"/>
          <w:kern w:val="0"/>
        </w:rPr>
        <w:t>。</w:t>
      </w:r>
    </w:p>
    <w:p>
      <w:pPr>
        <w:adjustRightInd w:val="0"/>
        <w:snapToGrid w:val="0"/>
        <w:jc w:val="left"/>
        <w:rPr>
          <w:rFonts w:hint="eastAsia"/>
          <w:kern w:val="0"/>
        </w:rPr>
      </w:pPr>
      <w:r>
        <w:rPr>
          <w:kern w:val="0"/>
        </w:rPr>
        <w:t>（2）发包人支付承包人的货币种类为人民币。付款方式：</w:t>
      </w:r>
      <w:r>
        <w:rPr>
          <w:color w:val="FF0000"/>
          <w:kern w:val="0"/>
        </w:rPr>
        <w:t>电汇</w:t>
      </w:r>
      <w:r>
        <w:rPr>
          <w:kern w:val="0"/>
        </w:rPr>
        <w:t>或</w:t>
      </w:r>
      <w:r>
        <w:rPr>
          <w:rFonts w:hint="eastAsia"/>
          <w:kern w:val="0"/>
        </w:rPr>
        <w:t>银行承兑</w:t>
      </w:r>
      <w:r>
        <w:rPr>
          <w:kern w:val="0"/>
        </w:rPr>
        <w:t>汇票。</w:t>
      </w:r>
    </w:p>
    <w:p>
      <w:pPr>
        <w:pStyle w:val="4"/>
        <w:rPr>
          <w:rFonts w:hint="eastAsia"/>
        </w:rPr>
      </w:pPr>
      <w:bookmarkStart w:id="669" w:name="_Toc170377972"/>
      <w:bookmarkStart w:id="670" w:name="_Toc8130"/>
      <w:bookmarkStart w:id="671" w:name="_Toc129848604"/>
      <w:r>
        <w:rPr>
          <w:rFonts w:hint="eastAsia"/>
        </w:rPr>
        <w:t>13.2预付款</w:t>
      </w:r>
      <w:bookmarkEnd w:id="669"/>
      <w:bookmarkEnd w:id="670"/>
    </w:p>
    <w:p>
      <w:pPr>
        <w:numPr>
          <w:ilvl w:val="255"/>
          <w:numId w:val="0"/>
        </w:numPr>
        <w:snapToGrid w:val="0"/>
        <w:rPr>
          <w:rFonts w:hint="eastAsia"/>
          <w:szCs w:val="21"/>
        </w:rPr>
      </w:pPr>
      <w:r>
        <w:rPr>
          <w:rFonts w:hint="eastAsia"/>
          <w:szCs w:val="21"/>
          <w:lang w:bidi="ar"/>
        </w:rPr>
        <w:t>如下条件全部达成且经发包人审核确认无误后，发包人向承包人支付合同总价的【30】%作为预付款</w:t>
      </w:r>
      <w:r>
        <w:rPr>
          <w:rFonts w:hint="eastAsia"/>
          <w:color w:val="FF0000"/>
          <w:szCs w:val="21"/>
          <w:lang w:bidi="ar"/>
        </w:rPr>
        <w:t>（即人民币：￥4305600.00元，大写：人民币肆佰叁拾万伍仟陆佰元整）</w:t>
      </w:r>
      <w:r>
        <w:rPr>
          <w:rFonts w:hint="eastAsia"/>
          <w:szCs w:val="21"/>
          <w:lang w:bidi="ar"/>
        </w:rPr>
        <w:t xml:space="preserve">； </w:t>
      </w:r>
    </w:p>
    <w:p>
      <w:pPr>
        <w:numPr>
          <w:ilvl w:val="0"/>
          <w:numId w:val="2"/>
        </w:numPr>
        <w:snapToGrid w:val="0"/>
        <w:rPr>
          <w:rFonts w:hint="eastAsia"/>
          <w:szCs w:val="21"/>
        </w:rPr>
      </w:pPr>
      <w:r>
        <w:rPr>
          <w:rFonts w:hint="eastAsia"/>
          <w:szCs w:val="21"/>
          <w:lang w:bidi="ar"/>
        </w:rPr>
        <w:t>合同经双方签署生效</w:t>
      </w:r>
      <w:r>
        <w:rPr>
          <w:rFonts w:hint="eastAsia"/>
          <w:color w:val="FF0000"/>
          <w:szCs w:val="21"/>
          <w:lang w:bidi="ar"/>
        </w:rPr>
        <w:t>且承包人</w:t>
      </w:r>
      <w:r>
        <w:rPr>
          <w:rFonts w:hint="eastAsia"/>
          <w:color w:val="FF0000"/>
          <w:kern w:val="0"/>
        </w:rPr>
        <w:t>提交符合要求的履约保函</w:t>
      </w:r>
      <w:r>
        <w:rPr>
          <w:rFonts w:hint="eastAsia"/>
          <w:szCs w:val="21"/>
          <w:lang w:bidi="ar"/>
        </w:rPr>
        <w:t>；</w:t>
      </w:r>
    </w:p>
    <w:p>
      <w:pPr>
        <w:numPr>
          <w:ilvl w:val="255"/>
          <w:numId w:val="0"/>
        </w:numPr>
        <w:snapToGrid w:val="0"/>
        <w:ind w:firstLine="420" w:firstLineChars="200"/>
        <w:rPr>
          <w:rFonts w:hint="eastAsia"/>
          <w:szCs w:val="21"/>
        </w:rPr>
      </w:pPr>
      <w:r>
        <w:rPr>
          <w:rFonts w:hint="eastAsia"/>
          <w:szCs w:val="21"/>
          <w:lang w:bidi="ar"/>
        </w:rPr>
        <w:t>（2）承包人向发包人开具等额合法有效的收据。</w:t>
      </w:r>
    </w:p>
    <w:p>
      <w:pPr>
        <w:pStyle w:val="4"/>
        <w:rPr>
          <w:rFonts w:hint="eastAsia"/>
        </w:rPr>
      </w:pPr>
      <w:bookmarkStart w:id="672" w:name="_Toc170377973"/>
      <w:bookmarkStart w:id="673" w:name="_Toc21952"/>
      <w:r>
        <w:t>13.3 进度付款／里程碑进度付款</w:t>
      </w:r>
      <w:bookmarkEnd w:id="671"/>
      <w:bookmarkEnd w:id="672"/>
      <w:bookmarkEnd w:id="673"/>
    </w:p>
    <w:p>
      <w:pPr>
        <w:pStyle w:val="5"/>
        <w:numPr>
          <w:ilvl w:val="255"/>
          <w:numId w:val="0"/>
        </w:numPr>
      </w:pPr>
      <w:r>
        <w:rPr>
          <w:rFonts w:hint="eastAsia"/>
          <w:szCs w:val="21"/>
        </w:rPr>
        <w:t xml:space="preserve">    </w:t>
      </w:r>
      <w:r>
        <w:rPr>
          <w:rFonts w:hint="eastAsia"/>
        </w:rPr>
        <w:t>（1）储能主设备到场经发包人/监理人验收合格后10个工作日内，</w:t>
      </w:r>
      <w:r>
        <w:rPr>
          <w:szCs w:val="21"/>
        </w:rPr>
        <w:t>发包人向承包人支付签约合同金额</w:t>
      </w:r>
      <w:r>
        <w:rPr>
          <w:rFonts w:hint="eastAsia"/>
          <w:szCs w:val="21"/>
        </w:rPr>
        <w:t>的3</w:t>
      </w:r>
      <w:r>
        <w:rPr>
          <w:szCs w:val="21"/>
        </w:rPr>
        <w:t>0%</w:t>
      </w:r>
      <w:r>
        <w:rPr>
          <w:rFonts w:hint="eastAsia"/>
          <w:szCs w:val="21"/>
        </w:rPr>
        <w:t>。</w:t>
      </w:r>
    </w:p>
    <w:p>
      <w:pPr>
        <w:numPr>
          <w:ilvl w:val="0"/>
          <w:numId w:val="2"/>
        </w:numPr>
        <w:snapToGrid w:val="0"/>
        <w:rPr>
          <w:rFonts w:hint="eastAsia"/>
          <w:szCs w:val="21"/>
        </w:rPr>
      </w:pPr>
      <w:r>
        <w:rPr>
          <w:rFonts w:hint="eastAsia"/>
          <w:szCs w:val="21"/>
        </w:rPr>
        <w:t>储能主设备（发电设备及汇流变电设备、冷却及通风系统、消防部分、电线电缆）安装完成经发包人/监理人确认后后10个工作</w:t>
      </w:r>
      <w:r>
        <w:rPr>
          <w:szCs w:val="21"/>
        </w:rPr>
        <w:t>日内，发包人向承包人支付</w:t>
      </w:r>
      <w:r>
        <w:rPr>
          <w:rFonts w:hint="eastAsia"/>
          <w:szCs w:val="21"/>
        </w:rPr>
        <w:t>至</w:t>
      </w:r>
      <w:r>
        <w:rPr>
          <w:szCs w:val="21"/>
        </w:rPr>
        <w:t>签约合同金额</w:t>
      </w:r>
      <w:r>
        <w:rPr>
          <w:rFonts w:hint="eastAsia"/>
          <w:szCs w:val="21"/>
        </w:rPr>
        <w:t>的8</w:t>
      </w:r>
      <w:r>
        <w:rPr>
          <w:szCs w:val="21"/>
        </w:rPr>
        <w:t>0%</w:t>
      </w:r>
      <w:r>
        <w:rPr>
          <w:rFonts w:hint="eastAsia"/>
          <w:szCs w:val="21"/>
        </w:rPr>
        <w:t>。</w:t>
      </w:r>
    </w:p>
    <w:p>
      <w:pPr>
        <w:numPr>
          <w:ilvl w:val="0"/>
          <w:numId w:val="2"/>
        </w:numPr>
        <w:snapToGrid w:val="0"/>
        <w:rPr>
          <w:rFonts w:hint="eastAsia"/>
          <w:szCs w:val="21"/>
        </w:rPr>
      </w:pPr>
      <w:r>
        <w:rPr>
          <w:szCs w:val="21"/>
        </w:rPr>
        <w:t>工程完工并经竣工验收合格后，承包人编写竣工报告和竣工结算报告递交发包人，发包人聘请第三方审计单位进行竣工结算审计；竣工结算审计完毕后</w:t>
      </w:r>
      <w:r>
        <w:rPr>
          <w:rFonts w:hint="eastAsia"/>
          <w:szCs w:val="21"/>
        </w:rPr>
        <w:t>10个工作</w:t>
      </w:r>
      <w:r>
        <w:rPr>
          <w:szCs w:val="21"/>
        </w:rPr>
        <w:t>日内，支付至结算合同价格的97%。</w:t>
      </w:r>
    </w:p>
    <w:p>
      <w:pPr>
        <w:snapToGrid w:val="0"/>
        <w:rPr>
          <w:rFonts w:hint="eastAsia"/>
          <w:szCs w:val="21"/>
        </w:rPr>
      </w:pPr>
      <w:r>
        <w:rPr>
          <w:rFonts w:hint="eastAsia"/>
          <w:szCs w:val="21"/>
        </w:rPr>
        <w:t>上述每笔款项的支付以承包人向发包人提供相应的金额的收据及增值税专用发票为前提（质保金的支付遵照本款约定），（1）付款时需提供预付款相应的金额的增值税专用发票。</w:t>
      </w:r>
    </w:p>
    <w:p>
      <w:pPr>
        <w:snapToGrid w:val="0"/>
        <w:rPr>
          <w:rFonts w:hint="eastAsia"/>
          <w:szCs w:val="21"/>
        </w:rPr>
      </w:pPr>
      <w:r>
        <w:rPr>
          <w:rFonts w:hint="eastAsia"/>
          <w:szCs w:val="21"/>
        </w:rPr>
        <w:t>质量保证金金额为：结算合同总价款的</w:t>
      </w:r>
      <w:r>
        <w:rPr>
          <w:szCs w:val="21"/>
          <w:u w:val="single"/>
        </w:rPr>
        <w:t>3%</w:t>
      </w:r>
      <w:r>
        <w:rPr>
          <w:rFonts w:hint="eastAsia"/>
          <w:szCs w:val="21"/>
        </w:rPr>
        <w:t>。</w:t>
      </w:r>
    </w:p>
    <w:p>
      <w:pPr>
        <w:snapToGrid w:val="0"/>
        <w:rPr>
          <w:rFonts w:hint="eastAsia"/>
          <w:szCs w:val="21"/>
        </w:rPr>
      </w:pPr>
      <w:r>
        <w:rPr>
          <w:rFonts w:hint="eastAsia"/>
          <w:szCs w:val="21"/>
        </w:rPr>
        <w:t>质量保证金按以下方式扣留：</w:t>
      </w:r>
    </w:p>
    <w:p>
      <w:pPr>
        <w:snapToGrid w:val="0"/>
        <w:jc w:val="left"/>
        <w:rPr>
          <w:rFonts w:hint="eastAsia"/>
          <w:szCs w:val="21"/>
        </w:rPr>
      </w:pPr>
      <w:r>
        <w:rPr>
          <w:rFonts w:hint="eastAsia"/>
          <w:szCs w:val="21"/>
        </w:rPr>
        <w:t>质保期结束后，如无质量问题发包人向承包人支付结算合同价格</w:t>
      </w:r>
      <w:r>
        <w:rPr>
          <w:szCs w:val="21"/>
        </w:rPr>
        <w:t>3%的质保金。</w:t>
      </w:r>
    </w:p>
    <w:p>
      <w:pPr>
        <w:adjustRightInd w:val="0"/>
        <w:snapToGrid w:val="0"/>
        <w:jc w:val="left"/>
        <w:rPr>
          <w:rFonts w:hint="eastAsia"/>
          <w:kern w:val="0"/>
        </w:rPr>
      </w:pPr>
      <w:r>
        <w:rPr>
          <w:kern w:val="0"/>
        </w:rPr>
        <w:t>工程从</w:t>
      </w:r>
      <w:r>
        <w:rPr>
          <w:rFonts w:hint="eastAsia"/>
          <w:kern w:val="0"/>
        </w:rPr>
        <w:t>全部工程完工且验收合格之日（</w:t>
      </w:r>
      <w:r>
        <w:rPr>
          <w:kern w:val="0"/>
        </w:rPr>
        <w:t>达到完工规定，</w:t>
      </w:r>
      <w:r>
        <w:rPr>
          <w:rFonts w:hint="eastAsia"/>
          <w:kern w:val="0"/>
        </w:rPr>
        <w:t>发包人签发工程移交证书之日</w:t>
      </w:r>
      <w:r>
        <w:rPr>
          <w:kern w:val="0"/>
        </w:rPr>
        <w:t>）开始计算质量保证期，</w:t>
      </w:r>
      <w:r>
        <w:rPr>
          <w:rFonts w:hint="eastAsia"/>
          <w:kern w:val="0"/>
        </w:rPr>
        <w:t>质保期为2年。质量保证期满后，经发包人确认无工程质量等问题，则发包人返还承包人的质量保证金。</w:t>
      </w:r>
    </w:p>
    <w:p>
      <w:pPr>
        <w:adjustRightInd w:val="0"/>
        <w:snapToGrid w:val="0"/>
        <w:ind w:firstLine="0" w:firstLineChars="0"/>
        <w:contextualSpacing/>
        <w:jc w:val="left"/>
        <w:rPr>
          <w:rFonts w:hint="eastAsia"/>
          <w:b/>
          <w:bCs/>
          <w:kern w:val="0"/>
          <w:sz w:val="28"/>
          <w:szCs w:val="28"/>
        </w:rPr>
      </w:pPr>
      <w:r>
        <w:rPr>
          <w:rFonts w:hint="eastAsia"/>
          <w:b/>
          <w:bCs/>
          <w:kern w:val="0"/>
          <w:sz w:val="28"/>
          <w:szCs w:val="28"/>
        </w:rPr>
        <w:t>1</w:t>
      </w:r>
      <w:r>
        <w:rPr>
          <w:b/>
          <w:bCs/>
          <w:kern w:val="0"/>
          <w:sz w:val="28"/>
          <w:szCs w:val="28"/>
        </w:rPr>
        <w:t>3.</w:t>
      </w:r>
      <w:r>
        <w:rPr>
          <w:rFonts w:hint="eastAsia"/>
          <w:b/>
          <w:bCs/>
          <w:kern w:val="0"/>
          <w:sz w:val="28"/>
          <w:szCs w:val="28"/>
        </w:rPr>
        <w:t>7</w:t>
      </w:r>
      <w:r>
        <w:rPr>
          <w:b/>
          <w:bCs/>
          <w:kern w:val="0"/>
          <w:sz w:val="28"/>
          <w:szCs w:val="28"/>
        </w:rPr>
        <w:t xml:space="preserve"> 竣工报表</w:t>
      </w:r>
    </w:p>
    <w:p>
      <w:pPr>
        <w:adjustRightInd w:val="0"/>
        <w:snapToGrid w:val="0"/>
        <w:jc w:val="left"/>
        <w:rPr>
          <w:rFonts w:hint="eastAsia"/>
          <w:kern w:val="0"/>
        </w:rPr>
      </w:pPr>
      <w:r>
        <w:rPr>
          <w:kern w:val="0"/>
        </w:rPr>
        <w:t>13.</w:t>
      </w:r>
      <w:r>
        <w:rPr>
          <w:rFonts w:hint="eastAsia"/>
          <w:kern w:val="0"/>
        </w:rPr>
        <w:t>7</w:t>
      </w:r>
      <w:r>
        <w:rPr>
          <w:kern w:val="0"/>
        </w:rPr>
        <w:t>.1 竣工结算申请</w:t>
      </w:r>
    </w:p>
    <w:p>
      <w:pPr>
        <w:adjustRightInd w:val="0"/>
        <w:snapToGrid w:val="0"/>
        <w:jc w:val="left"/>
        <w:rPr>
          <w:rFonts w:hint="eastAsia"/>
          <w:kern w:val="0"/>
        </w:rPr>
      </w:pPr>
      <w:r>
        <w:rPr>
          <w:kern w:val="0"/>
        </w:rPr>
        <w:t>承包人提交竣工结算申请的时间：</w:t>
      </w:r>
      <w:r>
        <w:rPr>
          <w:rFonts w:hint="eastAsia"/>
          <w:color w:val="FF0000"/>
          <w:kern w:val="0"/>
        </w:rPr>
        <w:t>竣工验收合格，</w:t>
      </w:r>
      <w:r>
        <w:rPr>
          <w:kern w:val="0"/>
        </w:rPr>
        <w:t>承包人应在电站完成240小时连续无故障试运行移交生产后100天之内向监理工程师提交本工程竣工结算书及证明文件。如遇特殊情况，双方可协商延长竣工结算资料提交时间，如有延期，延长的时间以双方书面认可为准。</w:t>
      </w:r>
    </w:p>
    <w:p>
      <w:pPr>
        <w:adjustRightInd w:val="0"/>
        <w:snapToGrid w:val="0"/>
        <w:jc w:val="left"/>
        <w:rPr>
          <w:rFonts w:hint="eastAsia"/>
          <w:kern w:val="0"/>
        </w:rPr>
      </w:pPr>
      <w:r>
        <w:rPr>
          <w:kern w:val="0"/>
        </w:rPr>
        <w:t>竣工结算申请的资料清单和份数：5份。</w:t>
      </w:r>
    </w:p>
    <w:p>
      <w:pPr>
        <w:adjustRightInd w:val="0"/>
        <w:snapToGrid w:val="0"/>
        <w:jc w:val="left"/>
        <w:rPr>
          <w:rFonts w:hint="eastAsia"/>
          <w:kern w:val="0"/>
        </w:rPr>
      </w:pPr>
      <w:r>
        <w:rPr>
          <w:kern w:val="0"/>
        </w:rPr>
        <w:t>竣工结算申请单的内容应包括：承包人应在电站完成240小时连续无故障试运行移交生产后100天之内向监理工程师提交本工程竣工结算书及证明文件。承包人应将发包人代表已确认应付承包人的索赔、变更费用与奖励款项和承包人已确认应支付发包人的索赔、变更费用与违约扣款款项列入竣工结算书。竣工结算资料一式5份，可编辑电子版一份（U盘格式，可读写），详细列出按合同完成的所有工作的最终价值。</w:t>
      </w:r>
    </w:p>
    <w:p>
      <w:pPr>
        <w:adjustRightInd w:val="0"/>
        <w:snapToGrid w:val="0"/>
        <w:jc w:val="left"/>
        <w:rPr>
          <w:rFonts w:hint="eastAsia"/>
          <w:kern w:val="0"/>
        </w:rPr>
      </w:pPr>
      <w:r>
        <w:rPr>
          <w:kern w:val="0"/>
        </w:rPr>
        <w:t>13.</w:t>
      </w:r>
      <w:r>
        <w:rPr>
          <w:rFonts w:hint="eastAsia"/>
          <w:kern w:val="0"/>
        </w:rPr>
        <w:t>7</w:t>
      </w:r>
      <w:r>
        <w:rPr>
          <w:kern w:val="0"/>
        </w:rPr>
        <w:t>.2 竣工结算审核</w:t>
      </w:r>
    </w:p>
    <w:p>
      <w:pPr>
        <w:adjustRightInd w:val="0"/>
        <w:snapToGrid w:val="0"/>
        <w:jc w:val="left"/>
        <w:rPr>
          <w:rFonts w:hint="eastAsia"/>
          <w:kern w:val="0"/>
        </w:rPr>
      </w:pPr>
      <w:r>
        <w:rPr>
          <w:kern w:val="0"/>
        </w:rPr>
        <w:t>发包人审批竣工付款申请单的期限：30天（如承包人对申请资料有修正和补充或双方对审批资料存在异议进行协商，则顺延审批时间，付款申请单需在竣工结算书审核完成后提交）。</w:t>
      </w:r>
    </w:p>
    <w:p>
      <w:pPr>
        <w:adjustRightInd w:val="0"/>
        <w:snapToGrid w:val="0"/>
        <w:jc w:val="left"/>
        <w:rPr>
          <w:rFonts w:hint="eastAsia"/>
          <w:kern w:val="0"/>
        </w:rPr>
      </w:pPr>
      <w:r>
        <w:rPr>
          <w:kern w:val="0"/>
        </w:rPr>
        <w:t>发包人完成竣工付款的期限：30天。</w:t>
      </w:r>
    </w:p>
    <w:p>
      <w:pPr>
        <w:adjustRightInd w:val="0"/>
        <w:snapToGrid w:val="0"/>
        <w:jc w:val="left"/>
        <w:rPr>
          <w:rFonts w:hint="eastAsia"/>
          <w:kern w:val="0"/>
        </w:rPr>
      </w:pPr>
      <w:r>
        <w:rPr>
          <w:kern w:val="0"/>
        </w:rPr>
        <w:t>关于竣工付款证书异议部分复核的方式和程序：按通用条款执行。</w:t>
      </w:r>
    </w:p>
    <w:p>
      <w:pPr>
        <w:adjustRightInd w:val="0"/>
        <w:snapToGrid w:val="0"/>
        <w:jc w:val="left"/>
        <w:rPr>
          <w:rFonts w:hint="eastAsia"/>
          <w:kern w:val="0"/>
        </w:rPr>
      </w:pPr>
      <w:r>
        <w:rPr>
          <w:kern w:val="0"/>
        </w:rPr>
        <w:t>发包人应在收到承包人提交完整合格的竣工结算书及证明文件后60天内（不含承包人修正和提供补充资料的时间以及双方因竣工结算未能达成一致造成反复协商延长的时间），根据监理工程师的审核意见确认竣工结算书或提出竣工结算书的审查修改意见；发包人有权聘请工程造价咨询单位对承包人提交的竣工结算书进行审核并提出修改意见；承包人在接到发包人的修改意见后7天内，不确认也不提出异议的，视为认可发包人的修改意见，竣工结算办理完毕。</w:t>
      </w:r>
    </w:p>
    <w:p>
      <w:pPr>
        <w:adjustRightInd w:val="0"/>
        <w:snapToGrid w:val="0"/>
        <w:jc w:val="left"/>
        <w:rPr>
          <w:rFonts w:hint="eastAsia"/>
        </w:rPr>
      </w:pPr>
      <w:r>
        <w:rPr>
          <w:kern w:val="0"/>
        </w:rPr>
        <w:t>承包人未在合同约定的时间内提交竣工结算文件，经发包人催告后14天内未提交或没有明确答复，发包人有权根据已有资料编制竣工结算文件，作为办理竣工结算和支付结算款的依据，承包人应予以认可。</w:t>
      </w:r>
    </w:p>
    <w:p>
      <w:pPr>
        <w:adjustRightInd w:val="0"/>
        <w:snapToGrid w:val="0"/>
        <w:ind w:firstLine="0" w:firstLineChars="0"/>
        <w:contextualSpacing/>
        <w:jc w:val="left"/>
        <w:rPr>
          <w:rFonts w:hint="eastAsia"/>
          <w:b/>
          <w:bCs/>
          <w:kern w:val="0"/>
          <w:sz w:val="28"/>
          <w:szCs w:val="28"/>
        </w:rPr>
      </w:pPr>
      <w:r>
        <w:rPr>
          <w:b/>
          <w:bCs/>
          <w:kern w:val="0"/>
          <w:sz w:val="28"/>
          <w:szCs w:val="28"/>
        </w:rPr>
        <w:t>13.1</w:t>
      </w:r>
      <w:r>
        <w:rPr>
          <w:rFonts w:hint="eastAsia"/>
          <w:b/>
          <w:bCs/>
          <w:kern w:val="0"/>
          <w:sz w:val="28"/>
          <w:szCs w:val="28"/>
        </w:rPr>
        <w:t>3涉税事项</w:t>
      </w:r>
    </w:p>
    <w:p>
      <w:pPr>
        <w:adjustRightInd w:val="0"/>
        <w:snapToGrid w:val="0"/>
        <w:ind w:left="630" w:leftChars="200" w:hanging="210" w:hangingChars="100"/>
        <w:contextualSpacing/>
        <w:jc w:val="left"/>
        <w:rPr>
          <w:rFonts w:hint="eastAsia"/>
          <w:kern w:val="0"/>
        </w:rPr>
      </w:pPr>
      <w:r>
        <w:rPr>
          <w:kern w:val="0"/>
        </w:rPr>
        <w:t>13.1</w:t>
      </w:r>
      <w:r>
        <w:rPr>
          <w:rFonts w:hint="eastAsia"/>
          <w:kern w:val="0"/>
        </w:rPr>
        <w:t>3</w:t>
      </w:r>
      <w:r>
        <w:rPr>
          <w:kern w:val="0"/>
        </w:rPr>
        <w:t>.1</w:t>
      </w:r>
      <w:r>
        <w:rPr>
          <w:rFonts w:hint="eastAsia"/>
          <w:kern w:val="0"/>
        </w:rPr>
        <w:t>设备和材料需开具</w:t>
      </w:r>
      <w:r>
        <w:rPr>
          <w:kern w:val="0"/>
          <w:u w:val="single"/>
        </w:rPr>
        <w:t>13%</w:t>
      </w:r>
      <w:r>
        <w:rPr>
          <w:rFonts w:hint="eastAsia"/>
          <w:kern w:val="0"/>
        </w:rPr>
        <w:t>增值税专用发票，其他费用类需开具</w:t>
      </w:r>
      <w:r>
        <w:rPr>
          <w:kern w:val="0"/>
          <w:u w:val="single"/>
        </w:rPr>
        <w:t>6%</w:t>
      </w:r>
      <w:r>
        <w:rPr>
          <w:rFonts w:hint="eastAsia"/>
          <w:kern w:val="0"/>
        </w:rPr>
        <w:t>增值征税专用发票，</w:t>
      </w:r>
    </w:p>
    <w:p>
      <w:pPr>
        <w:adjustRightInd w:val="0"/>
        <w:snapToGrid w:val="0"/>
        <w:ind w:firstLine="0" w:firstLineChars="0"/>
        <w:contextualSpacing/>
        <w:jc w:val="left"/>
        <w:rPr>
          <w:rFonts w:hint="eastAsia"/>
          <w:kern w:val="0"/>
        </w:rPr>
      </w:pPr>
      <w:r>
        <w:rPr>
          <w:rFonts w:hint="eastAsia"/>
          <w:kern w:val="0"/>
        </w:rPr>
        <w:t>建安工程需开具</w:t>
      </w:r>
      <w:r>
        <w:rPr>
          <w:rFonts w:hint="eastAsia"/>
          <w:kern w:val="0"/>
          <w:u w:val="single"/>
        </w:rPr>
        <w:t>9</w:t>
      </w:r>
      <w:r>
        <w:rPr>
          <w:kern w:val="0"/>
          <w:u w:val="single"/>
        </w:rPr>
        <w:t>%</w:t>
      </w:r>
      <w:r>
        <w:rPr>
          <w:kern w:val="0"/>
        </w:rPr>
        <w:t>增值税专用发票</w:t>
      </w:r>
      <w:r>
        <w:rPr>
          <w:rFonts w:hint="eastAsia"/>
          <w:kern w:val="0"/>
        </w:rPr>
        <w:t>。</w:t>
      </w:r>
    </w:p>
    <w:p>
      <w:pPr>
        <w:adjustRightInd w:val="0"/>
        <w:snapToGrid w:val="0"/>
        <w:contextualSpacing/>
        <w:jc w:val="left"/>
        <w:rPr>
          <w:rFonts w:hint="eastAsia"/>
          <w:kern w:val="0"/>
        </w:rPr>
      </w:pPr>
      <w:r>
        <w:rPr>
          <w:kern w:val="0"/>
        </w:rPr>
        <w:t>由于国家税</w:t>
      </w:r>
      <w:r>
        <w:rPr>
          <w:rFonts w:hint="eastAsia"/>
          <w:kern w:val="0"/>
        </w:rPr>
        <w:t>率</w:t>
      </w:r>
      <w:r>
        <w:rPr>
          <w:kern w:val="0"/>
        </w:rPr>
        <w:t>调整，本合同</w:t>
      </w:r>
      <w:r>
        <w:rPr>
          <w:rFonts w:hint="eastAsia"/>
          <w:kern w:val="0"/>
        </w:rPr>
        <w:t>价格</w:t>
      </w:r>
      <w:r>
        <w:rPr>
          <w:kern w:val="0"/>
        </w:rPr>
        <w:t>随之调整。</w:t>
      </w:r>
      <w:r>
        <w:rPr>
          <w:rFonts w:hint="eastAsia"/>
          <w:kern w:val="0"/>
        </w:rPr>
        <w:t>当合同约定的税率与国家税法规定及税务机关认定的税率不一致时，以国家税法规定及税务机关认定的税率为准进行调整，调整时以不含税价为基准，执行国家法规规定及税务机关规定的税率。</w:t>
      </w:r>
    </w:p>
    <w:p>
      <w:pPr>
        <w:autoSpaceDE w:val="0"/>
        <w:autoSpaceDN w:val="0"/>
        <w:adjustRightInd w:val="0"/>
        <w:snapToGrid w:val="0"/>
        <w:ind w:left="630" w:leftChars="200" w:hanging="210" w:hangingChars="100"/>
        <w:rPr>
          <w:rFonts w:hint="eastAsia"/>
        </w:rPr>
      </w:pPr>
      <w:r>
        <w:t>13.1</w:t>
      </w:r>
      <w:r>
        <w:rPr>
          <w:rFonts w:hint="eastAsia"/>
        </w:rPr>
        <w:t>3</w:t>
      </w:r>
      <w:r>
        <w:t>.2</w:t>
      </w:r>
      <w:r>
        <w:rPr>
          <w:rFonts w:hint="eastAsia"/>
        </w:rPr>
        <w:t xml:space="preserve"> 每次付款前，均需要承包人提供合规的</w:t>
      </w:r>
      <w:r>
        <w:rPr>
          <w:rFonts w:hint="eastAsia" w:cs="仿宋_GB2312"/>
          <w:szCs w:val="21"/>
        </w:rPr>
        <w:t>增值税专用</w:t>
      </w:r>
      <w:r>
        <w:rPr>
          <w:rFonts w:hint="eastAsia"/>
        </w:rPr>
        <w:t>发票。承包人不及时提供合规发票</w:t>
      </w:r>
    </w:p>
    <w:p>
      <w:pPr>
        <w:autoSpaceDE w:val="0"/>
        <w:autoSpaceDN w:val="0"/>
        <w:adjustRightInd w:val="0"/>
        <w:snapToGrid w:val="0"/>
        <w:ind w:firstLine="0" w:firstLineChars="0"/>
        <w:rPr>
          <w:rFonts w:hint="eastAsia"/>
        </w:rPr>
      </w:pPr>
      <w:r>
        <w:rPr>
          <w:rFonts w:hint="eastAsia"/>
        </w:rPr>
        <w:t>的行为，将导致发包人有权拒绝继续付款而不承担任何责任。承包人应当按照发包人的要求开具财务收据。</w:t>
      </w:r>
    </w:p>
    <w:p>
      <w:pPr>
        <w:autoSpaceDE w:val="0"/>
        <w:autoSpaceDN w:val="0"/>
        <w:adjustRightInd w:val="0"/>
        <w:snapToGrid w:val="0"/>
        <w:ind w:left="562" w:hanging="562" w:hangingChars="200"/>
        <w:rPr>
          <w:rFonts w:hint="eastAsia"/>
        </w:rPr>
      </w:pPr>
      <w:r>
        <w:rPr>
          <w:rFonts w:hint="eastAsia"/>
          <w:b/>
          <w:bCs/>
          <w:sz w:val="28"/>
          <w:szCs w:val="28"/>
        </w:rPr>
        <w:t>1</w:t>
      </w:r>
      <w:r>
        <w:rPr>
          <w:b/>
          <w:bCs/>
          <w:sz w:val="28"/>
          <w:szCs w:val="28"/>
        </w:rPr>
        <w:t>3.1</w:t>
      </w:r>
      <w:r>
        <w:rPr>
          <w:rFonts w:hint="eastAsia"/>
          <w:b/>
          <w:bCs/>
          <w:sz w:val="28"/>
          <w:szCs w:val="28"/>
        </w:rPr>
        <w:t>4 安全生产费用的使用</w:t>
      </w:r>
    </w:p>
    <w:p>
      <w:pPr>
        <w:autoSpaceDE w:val="0"/>
        <w:autoSpaceDN w:val="0"/>
        <w:adjustRightInd w:val="0"/>
        <w:snapToGrid w:val="0"/>
        <w:rPr>
          <w:rFonts w:hint="eastAsia"/>
        </w:rPr>
      </w:pPr>
      <w:r>
        <w:rPr>
          <w:rFonts w:hint="eastAsia"/>
        </w:rPr>
        <w:t>13.14.1该费用由发包人专项支付。预付款为不少于合同列支额的50%，与建安工程预付款一并支付。</w:t>
      </w:r>
    </w:p>
    <w:p>
      <w:pPr>
        <w:autoSpaceDE w:val="0"/>
        <w:autoSpaceDN w:val="0"/>
        <w:adjustRightInd w:val="0"/>
        <w:snapToGrid w:val="0"/>
        <w:rPr>
          <w:rFonts w:hint="eastAsia"/>
        </w:rPr>
      </w:pPr>
      <w:r>
        <w:rPr>
          <w:rFonts w:hint="eastAsia"/>
        </w:rPr>
        <w:t>13.14.2经发包人及现场监理考核，施工现场安全生产及管理符合合同约定和监理人的指令，承包人可按阶段申请支付下一阶段的安全生产费，直至该项目完工，发包人100%支付合同中列支的剩余安全生产费，不得扣除。</w:t>
      </w:r>
    </w:p>
    <w:p>
      <w:pPr>
        <w:autoSpaceDE w:val="0"/>
        <w:autoSpaceDN w:val="0"/>
        <w:adjustRightInd w:val="0"/>
        <w:snapToGrid w:val="0"/>
        <w:rPr>
          <w:rFonts w:hint="eastAsia"/>
        </w:rPr>
      </w:pPr>
      <w:r>
        <w:rPr>
          <w:rFonts w:hint="eastAsia"/>
        </w:rPr>
        <w:t>13.14.3经发包人及现场监理考核，若承包人施工现场存在安全生产及管理不符合合同约定和监理人的指令，每发现一次，经考核后仍不整改的，承包人向发包人支付安全生产费总额的5%作为违约金，累计违约金不超过安全生产费总额的50%；而且承包人施工现场应无条件按合同约定和监理人的指令进行整改，直至满足安全生产及管理的要求。</w:t>
      </w:r>
    </w:p>
    <w:p>
      <w:pPr>
        <w:pStyle w:val="4"/>
        <w:numPr>
          <w:ilvl w:val="0"/>
          <w:numId w:val="3"/>
        </w:numPr>
        <w:rPr>
          <w:rFonts w:hint="eastAsia"/>
          <w:sz w:val="32"/>
        </w:rPr>
      </w:pPr>
      <w:bookmarkStart w:id="674" w:name="_Toc129848678"/>
      <w:bookmarkStart w:id="675" w:name="_Toc170377974"/>
      <w:bookmarkStart w:id="676" w:name="_Toc1687"/>
      <w:r>
        <w:rPr>
          <w:rFonts w:hint="eastAsia"/>
          <w:sz w:val="32"/>
        </w:rPr>
        <w:t>质量保证</w:t>
      </w:r>
      <w:bookmarkEnd w:id="674"/>
      <w:bookmarkEnd w:id="675"/>
      <w:bookmarkEnd w:id="676"/>
    </w:p>
    <w:p>
      <w:pPr>
        <w:pStyle w:val="4"/>
        <w:rPr>
          <w:rFonts w:hint="eastAsia"/>
        </w:rPr>
      </w:pPr>
      <w:bookmarkStart w:id="677" w:name="_Toc170377975"/>
      <w:bookmarkStart w:id="678" w:name="_Toc17995"/>
      <w:r>
        <w:t>14.1 质量保证期和保修期</w:t>
      </w:r>
      <w:bookmarkEnd w:id="677"/>
      <w:bookmarkEnd w:id="678"/>
    </w:p>
    <w:p>
      <w:pPr>
        <w:adjustRightInd w:val="0"/>
        <w:snapToGrid w:val="0"/>
        <w:jc w:val="left"/>
        <w:rPr>
          <w:rFonts w:hint="eastAsia"/>
          <w:kern w:val="0"/>
        </w:rPr>
      </w:pPr>
      <w:r>
        <w:rPr>
          <w:kern w:val="0"/>
        </w:rPr>
        <w:t>工程施工从</w:t>
      </w:r>
      <w:r>
        <w:rPr>
          <w:rFonts w:hint="eastAsia"/>
          <w:kern w:val="0"/>
        </w:rPr>
        <w:t>全部工程完工之日（</w:t>
      </w:r>
      <w:r>
        <w:rPr>
          <w:kern w:val="0"/>
        </w:rPr>
        <w:t>达到完工规定，</w:t>
      </w:r>
      <w:r>
        <w:rPr>
          <w:rFonts w:hint="eastAsia"/>
          <w:kern w:val="0"/>
        </w:rPr>
        <w:t>发包人签发工程移交证书之日</w:t>
      </w:r>
      <w:r>
        <w:rPr>
          <w:kern w:val="0"/>
        </w:rPr>
        <w:t>）开始计算质量保证期，</w:t>
      </w:r>
      <w:r>
        <w:rPr>
          <w:rFonts w:hint="eastAsia"/>
          <w:kern w:val="0"/>
        </w:rPr>
        <w:t>质保期为2年。</w:t>
      </w:r>
    </w:p>
    <w:p>
      <w:pPr>
        <w:adjustRightInd w:val="0"/>
        <w:snapToGrid w:val="0"/>
        <w:jc w:val="left"/>
        <w:rPr>
          <w:rFonts w:hint="eastAsia"/>
        </w:rPr>
      </w:pPr>
      <w:r>
        <w:rPr>
          <w:rFonts w:hint="eastAsia"/>
          <w:kern w:val="0"/>
        </w:rPr>
        <w:t>电池质量保证期为五年，质保期内由承包人提供保修承诺函并负责免费维护和更换。</w:t>
      </w:r>
    </w:p>
    <w:p>
      <w:pPr>
        <w:pStyle w:val="4"/>
        <w:rPr>
          <w:rFonts w:hint="eastAsia"/>
        </w:rPr>
      </w:pPr>
      <w:bookmarkStart w:id="679" w:name="_Toc170377976"/>
      <w:bookmarkStart w:id="680" w:name="_Toc28792"/>
      <w:r>
        <w:t>14.2 质量保证承诺</w:t>
      </w:r>
      <w:bookmarkEnd w:id="679"/>
      <w:bookmarkEnd w:id="680"/>
    </w:p>
    <w:p>
      <w:pPr>
        <w:adjustRightInd w:val="0"/>
        <w:snapToGrid w:val="0"/>
        <w:contextualSpacing/>
        <w:jc w:val="left"/>
        <w:rPr>
          <w:rFonts w:hint="eastAsia"/>
          <w:kern w:val="0"/>
        </w:rPr>
      </w:pPr>
      <w:r>
        <w:rPr>
          <w:rFonts w:hint="eastAsia"/>
          <w:kern w:val="0"/>
        </w:rPr>
        <w:t>14.2.3本工程质量目标</w:t>
      </w:r>
    </w:p>
    <w:p>
      <w:pPr>
        <w:numPr>
          <w:ilvl w:val="0"/>
          <w:numId w:val="4"/>
        </w:numPr>
        <w:adjustRightInd w:val="0"/>
        <w:snapToGrid w:val="0"/>
        <w:ind w:left="210" w:leftChars="100" w:firstLine="210" w:firstLineChars="100"/>
        <w:contextualSpacing/>
        <w:jc w:val="left"/>
        <w:rPr>
          <w:rFonts w:hint="eastAsia"/>
          <w:lang w:val="zh-CN"/>
        </w:rPr>
      </w:pPr>
      <w:r>
        <w:rPr>
          <w:lang w:val="zh-CN"/>
        </w:rPr>
        <w:t>质量管理体系完善、管理责任明确，工程建设常见质量通病控制得力，工艺质量符合验收</w:t>
      </w:r>
    </w:p>
    <w:p>
      <w:pPr>
        <w:adjustRightInd w:val="0"/>
        <w:snapToGrid w:val="0"/>
        <w:ind w:firstLine="0" w:firstLineChars="0"/>
        <w:contextualSpacing/>
        <w:jc w:val="left"/>
        <w:rPr>
          <w:rFonts w:hint="eastAsia"/>
          <w:kern w:val="0"/>
        </w:rPr>
      </w:pPr>
      <w:r>
        <w:rPr>
          <w:lang w:val="zh-CN"/>
        </w:rPr>
        <w:t>规范要求。</w:t>
      </w:r>
    </w:p>
    <w:p>
      <w:pPr>
        <w:adjustRightInd w:val="0"/>
        <w:snapToGrid w:val="0"/>
        <w:contextualSpacing/>
        <w:rPr>
          <w:rFonts w:hint="eastAsia"/>
          <w:lang w:val="zh-CN"/>
        </w:rPr>
      </w:pPr>
      <w:r>
        <w:rPr>
          <w:rFonts w:hint="eastAsia"/>
          <w:lang w:val="zh-CN"/>
        </w:rPr>
        <w:t>（</w:t>
      </w:r>
      <w:r>
        <w:rPr>
          <w:lang w:val="zh-CN"/>
        </w:rPr>
        <w:t>2）建筑分项、分部工程合格率100%；建筑工程单位工程合格率100%</w:t>
      </w:r>
      <w:r>
        <w:rPr>
          <w:rFonts w:hint="eastAsia"/>
          <w:lang w:val="zh-CN"/>
        </w:rPr>
        <w:t>。</w:t>
      </w:r>
    </w:p>
    <w:p>
      <w:pPr>
        <w:adjustRightInd w:val="0"/>
        <w:snapToGrid w:val="0"/>
        <w:contextualSpacing/>
        <w:rPr>
          <w:rFonts w:hint="eastAsia"/>
          <w:lang w:val="zh-CN"/>
        </w:rPr>
      </w:pPr>
      <w:r>
        <w:rPr>
          <w:rFonts w:hint="eastAsia"/>
          <w:lang w:val="zh-CN"/>
        </w:rPr>
        <w:t>（</w:t>
      </w:r>
      <w:r>
        <w:rPr>
          <w:lang w:val="zh-CN"/>
        </w:rPr>
        <w:t>3）安装分项、分部工程合格率100%；安装工程单位工程合格率100%，质量评定为优良。</w:t>
      </w:r>
    </w:p>
    <w:p>
      <w:pPr>
        <w:adjustRightInd w:val="0"/>
        <w:snapToGrid w:val="0"/>
        <w:contextualSpacing/>
        <w:rPr>
          <w:rFonts w:hint="eastAsia"/>
          <w:lang w:val="zh-CN"/>
        </w:rPr>
      </w:pPr>
      <w:r>
        <w:rPr>
          <w:rFonts w:hint="eastAsia"/>
          <w:lang w:val="zh-CN"/>
        </w:rPr>
        <w:t>（</w:t>
      </w:r>
      <w:r>
        <w:rPr>
          <w:lang w:val="zh-CN"/>
        </w:rPr>
        <w:t>4）设备性能考核指标全部满足技术规范书要求。</w:t>
      </w:r>
    </w:p>
    <w:p>
      <w:pPr>
        <w:adjustRightInd w:val="0"/>
        <w:snapToGrid w:val="0"/>
        <w:contextualSpacing/>
        <w:rPr>
          <w:rFonts w:hint="eastAsia"/>
          <w:lang w:val="zh-CN"/>
        </w:rPr>
      </w:pPr>
      <w:r>
        <w:rPr>
          <w:rFonts w:hint="eastAsia"/>
          <w:lang w:val="zh-CN"/>
        </w:rPr>
        <w:t>（</w:t>
      </w:r>
      <w:r>
        <w:rPr>
          <w:lang w:val="zh-CN"/>
        </w:rPr>
        <w:t>5）不发生一般质量事故。</w:t>
      </w:r>
    </w:p>
    <w:p>
      <w:pPr>
        <w:adjustRightInd w:val="0"/>
        <w:snapToGrid w:val="0"/>
        <w:contextualSpacing/>
        <w:rPr>
          <w:rFonts w:hint="eastAsia"/>
          <w:lang w:val="zh-CN"/>
        </w:rPr>
      </w:pPr>
      <w:r>
        <w:rPr>
          <w:rFonts w:hint="eastAsia"/>
          <w:lang w:val="zh-CN"/>
        </w:rPr>
        <w:t>（</w:t>
      </w:r>
      <w:r>
        <w:rPr>
          <w:lang w:val="zh-CN"/>
        </w:rPr>
        <w:t>6）</w:t>
      </w:r>
      <w:r>
        <w:rPr>
          <w:rFonts w:hint="eastAsia"/>
          <w:lang w:val="zh-CN"/>
        </w:rPr>
        <w:t>工程无永久性质量缺陷。</w:t>
      </w:r>
    </w:p>
    <w:p>
      <w:pPr>
        <w:adjustRightInd w:val="0"/>
        <w:snapToGrid w:val="0"/>
        <w:contextualSpacing/>
        <w:rPr>
          <w:rFonts w:hint="eastAsia"/>
        </w:rPr>
      </w:pPr>
      <w:r>
        <w:rPr>
          <w:rFonts w:hint="eastAsia"/>
          <w:kern w:val="0"/>
        </w:rPr>
        <w:t>14.2.4</w:t>
      </w:r>
      <w:r>
        <w:t>工程质量验收标准及质量评价标准</w:t>
      </w:r>
    </w:p>
    <w:p>
      <w:pPr>
        <w:adjustRightInd w:val="0"/>
        <w:snapToGrid w:val="0"/>
        <w:contextualSpacing/>
        <w:rPr>
          <w:rFonts w:hint="eastAsia"/>
        </w:rPr>
      </w:pPr>
      <w:r>
        <w:rPr>
          <w:rFonts w:hint="eastAsia"/>
        </w:rPr>
        <w:t>（</w:t>
      </w:r>
      <w:r>
        <w:t>1）与本工程有关的国家及行业现行有效的规范、标准和规程</w:t>
      </w:r>
      <w:r>
        <w:rPr>
          <w:rFonts w:hint="eastAsia"/>
        </w:rPr>
        <w:t>（以其最新版本为准）</w:t>
      </w:r>
      <w:r>
        <w:t>。设计院和制造厂技术文件上的质量要求适用于本标段工程。主要的质量</w:t>
      </w:r>
      <w:r>
        <w:rPr>
          <w:rFonts w:hint="eastAsia"/>
        </w:rPr>
        <w:t>验收评定标准有：</w:t>
      </w:r>
      <w:r>
        <w:t>DL/T5210.1-20</w:t>
      </w:r>
      <w:r>
        <w:rPr>
          <w:rFonts w:hint="eastAsia"/>
        </w:rPr>
        <w:t>21</w:t>
      </w:r>
      <w:r>
        <w:t>《电力建设施工质量验收规程</w:t>
      </w:r>
      <w:r>
        <w:rPr>
          <w:rFonts w:hint="eastAsia"/>
        </w:rPr>
        <w:t>第1部分：土建工程</w:t>
      </w:r>
      <w:r>
        <w:t>》；DL/T 5161.1～5161.17—2018《电气装置安装工程质量检验及评定规程》</w:t>
      </w:r>
      <w:r>
        <w:rPr>
          <w:rFonts w:hint="eastAsia"/>
        </w:rPr>
        <w:t xml:space="preserve">；《电力建设施工技术规范》DL5190系列 </w:t>
      </w:r>
      <w:r>
        <w:t>。</w:t>
      </w:r>
    </w:p>
    <w:p>
      <w:pPr>
        <w:adjustRightInd w:val="0"/>
        <w:snapToGrid w:val="0"/>
        <w:contextualSpacing/>
        <w:rPr>
          <w:rFonts w:hint="eastAsia"/>
        </w:rPr>
      </w:pPr>
      <w:r>
        <w:rPr>
          <w:rFonts w:hint="eastAsia"/>
        </w:rPr>
        <w:t>（</w:t>
      </w:r>
      <w:r>
        <w:t>2）执行国家的《工程建设标准强制性条文》（房屋建筑工程2013版、电力建设工程2011版），《电力工程建设标准强制性条文》（2012版）。</w:t>
      </w:r>
    </w:p>
    <w:p>
      <w:pPr>
        <w:adjustRightInd w:val="0"/>
        <w:snapToGrid w:val="0"/>
        <w:contextualSpacing/>
        <w:rPr>
          <w:rFonts w:hint="eastAsia"/>
        </w:rPr>
      </w:pPr>
      <w:r>
        <w:rPr>
          <w:rFonts w:hint="eastAsia"/>
        </w:rPr>
        <w:t>（</w:t>
      </w:r>
      <w:r>
        <w:t>3）执行</w:t>
      </w:r>
      <w:r>
        <w:rPr>
          <w:rFonts w:hint="eastAsia"/>
        </w:rPr>
        <w:t>《国家电网公司关于印发十八项电网重大反事故措施（修订版）的通知）》国家电网设备〔2018〕979号文、《防止电力生产事故的二十五项重点要求》国能安全〔2014〕161号文。</w:t>
      </w:r>
    </w:p>
    <w:p>
      <w:pPr>
        <w:adjustRightInd w:val="0"/>
        <w:snapToGrid w:val="0"/>
        <w:contextualSpacing/>
        <w:rPr>
          <w:rFonts w:hint="eastAsia"/>
        </w:rPr>
      </w:pPr>
      <w:r>
        <w:rPr>
          <w:rFonts w:hint="eastAsia"/>
        </w:rPr>
        <w:t>（</w:t>
      </w:r>
      <w:r>
        <w:t>4）</w:t>
      </w:r>
      <w:r>
        <w:rPr>
          <w:rFonts w:hint="eastAsia"/>
        </w:rPr>
        <w:t>设备、材料采购合同中明确的技术规范、标准及设备供应商提供的图纸、资料中的标准和规定。</w:t>
      </w:r>
    </w:p>
    <w:p>
      <w:pPr>
        <w:adjustRightInd w:val="0"/>
        <w:snapToGrid w:val="0"/>
        <w:contextualSpacing/>
        <w:rPr>
          <w:rFonts w:hint="eastAsia"/>
        </w:rPr>
      </w:pPr>
      <w:r>
        <w:rPr>
          <w:rFonts w:hint="eastAsia"/>
        </w:rPr>
        <w:t>（</w:t>
      </w:r>
      <w:r>
        <w:t>5）对于国家、行业无相关质量验</w:t>
      </w:r>
      <w:r>
        <w:rPr>
          <w:rFonts w:hint="eastAsia"/>
        </w:rPr>
        <w:t>收</w:t>
      </w:r>
      <w:r>
        <w:t>标准的，可执行设计院、制造厂或发包人和承包人双方议定的补充标准。</w:t>
      </w:r>
    </w:p>
    <w:p>
      <w:pPr>
        <w:adjustRightInd w:val="0"/>
        <w:snapToGrid w:val="0"/>
        <w:contextualSpacing/>
        <w:rPr>
          <w:rFonts w:hint="eastAsia"/>
          <w:lang w:val="zh-CN"/>
        </w:rPr>
      </w:pPr>
      <w:r>
        <w:rPr>
          <w:rFonts w:hint="eastAsia"/>
        </w:rPr>
        <w:t>（6）执行招标文件第五章“发包人要求”中列出的各项规范和标准。</w:t>
      </w:r>
    </w:p>
    <w:p>
      <w:pPr>
        <w:adjustRightInd w:val="0"/>
        <w:snapToGrid w:val="0"/>
        <w:contextualSpacing/>
        <w:rPr>
          <w:rFonts w:hint="eastAsia"/>
          <w:lang w:val="zh-CN"/>
        </w:rPr>
      </w:pPr>
      <w:r>
        <w:rPr>
          <w:rFonts w:hint="eastAsia"/>
          <w:lang w:val="zh-CN"/>
        </w:rPr>
        <w:t>（</w:t>
      </w:r>
      <w:r>
        <w:rPr>
          <w:lang w:val="zh-CN"/>
        </w:rPr>
        <w:t>7）其他有关特殊技术要求。</w:t>
      </w:r>
    </w:p>
    <w:p>
      <w:pPr>
        <w:adjustRightInd w:val="0"/>
        <w:snapToGrid w:val="0"/>
        <w:ind w:firstLine="0" w:firstLineChars="0"/>
        <w:contextualSpacing/>
        <w:rPr>
          <w:rFonts w:hint="eastAsia"/>
          <w:b/>
          <w:bCs/>
          <w:sz w:val="32"/>
          <w:szCs w:val="32"/>
          <w:lang w:val="zh-CN"/>
        </w:rPr>
      </w:pPr>
      <w:r>
        <w:rPr>
          <w:b/>
          <w:bCs/>
          <w:sz w:val="32"/>
          <w:szCs w:val="32"/>
          <w:lang w:val="zh-CN"/>
        </w:rPr>
        <w:t>14.</w:t>
      </w:r>
      <w:r>
        <w:rPr>
          <w:rFonts w:hint="eastAsia"/>
          <w:b/>
          <w:bCs/>
          <w:sz w:val="32"/>
          <w:szCs w:val="32"/>
        </w:rPr>
        <w:t>7</w:t>
      </w:r>
      <w:r>
        <w:rPr>
          <w:b/>
          <w:bCs/>
          <w:sz w:val="32"/>
          <w:szCs w:val="32"/>
          <w:lang w:val="zh-CN"/>
        </w:rPr>
        <w:t>规范、标准及规定的变更</w:t>
      </w:r>
    </w:p>
    <w:p>
      <w:pPr>
        <w:adjustRightInd w:val="0"/>
        <w:snapToGrid w:val="0"/>
        <w:contextualSpacing/>
        <w:rPr>
          <w:rFonts w:hint="eastAsia"/>
          <w:lang w:val="zh-CN"/>
        </w:rPr>
      </w:pPr>
      <w:r>
        <w:rPr>
          <w:rFonts w:hint="eastAsia"/>
          <w:lang w:val="zh-CN"/>
        </w:rPr>
        <w:t>如果在工程实施期间，国家或行业的相关规范、技术标准或规定作了修改，或颁发了新的国家或行业规范、标准及规定，导致需对合同约定的规范、标准及规定进行调整时，承包人应予以遵守，同时不因此而调整合同价格。</w:t>
      </w:r>
    </w:p>
    <w:p>
      <w:pPr>
        <w:adjustRightInd w:val="0"/>
        <w:snapToGrid w:val="0"/>
        <w:ind w:firstLine="0" w:firstLineChars="0"/>
        <w:contextualSpacing/>
        <w:rPr>
          <w:rFonts w:hint="eastAsia"/>
          <w:b/>
          <w:bCs/>
          <w:sz w:val="28"/>
          <w:szCs w:val="28"/>
          <w:lang w:val="zh-CN"/>
        </w:rPr>
      </w:pPr>
      <w:r>
        <w:rPr>
          <w:b/>
          <w:bCs/>
          <w:sz w:val="28"/>
          <w:szCs w:val="28"/>
          <w:lang w:val="zh-CN"/>
        </w:rPr>
        <w:t>14.</w:t>
      </w:r>
      <w:r>
        <w:rPr>
          <w:rFonts w:hint="eastAsia"/>
          <w:b/>
          <w:bCs/>
          <w:sz w:val="28"/>
          <w:szCs w:val="28"/>
        </w:rPr>
        <w:t>8</w:t>
      </w:r>
      <w:r>
        <w:rPr>
          <w:b/>
          <w:bCs/>
          <w:sz w:val="28"/>
          <w:szCs w:val="28"/>
          <w:lang w:val="zh-CN"/>
        </w:rPr>
        <w:t>质量处罚</w:t>
      </w:r>
    </w:p>
    <w:p>
      <w:pPr>
        <w:adjustRightInd w:val="0"/>
        <w:snapToGrid w:val="0"/>
        <w:contextualSpacing/>
        <w:rPr>
          <w:rFonts w:hint="eastAsia"/>
          <w:lang w:val="zh-CN"/>
        </w:rPr>
      </w:pPr>
      <w:r>
        <w:rPr>
          <w:rFonts w:hint="eastAsia"/>
          <w:lang w:val="zh-CN"/>
        </w:rPr>
        <w:t>对于违反国家、行业相关管理规定和现场发包人的质量管理规定及发生质量事故，承包人应接受监理人、发包人的经济处罚，</w:t>
      </w:r>
      <w:r>
        <w:rPr>
          <w:lang w:val="zh-CN"/>
        </w:rPr>
        <w:t>发包人可从支付的工程款中扣除相应的处罚金额。</w:t>
      </w:r>
    </w:p>
    <w:p>
      <w:pPr>
        <w:adjustRightInd w:val="0"/>
        <w:snapToGrid w:val="0"/>
        <w:ind w:firstLine="0" w:firstLineChars="0"/>
        <w:contextualSpacing/>
        <w:rPr>
          <w:rFonts w:hint="eastAsia"/>
          <w:b/>
          <w:bCs/>
          <w:sz w:val="28"/>
          <w:szCs w:val="28"/>
          <w:lang w:val="zh-CN"/>
        </w:rPr>
      </w:pPr>
      <w:r>
        <w:rPr>
          <w:b/>
          <w:bCs/>
          <w:sz w:val="28"/>
          <w:szCs w:val="28"/>
          <w:lang w:val="zh-CN"/>
        </w:rPr>
        <w:t>14.</w:t>
      </w:r>
      <w:r>
        <w:rPr>
          <w:rFonts w:hint="eastAsia"/>
          <w:b/>
          <w:bCs/>
          <w:sz w:val="28"/>
          <w:szCs w:val="28"/>
        </w:rPr>
        <w:t>9</w:t>
      </w:r>
      <w:r>
        <w:rPr>
          <w:b/>
          <w:bCs/>
          <w:sz w:val="28"/>
          <w:szCs w:val="28"/>
          <w:lang w:val="zh-CN"/>
        </w:rPr>
        <w:t xml:space="preserve"> </w:t>
      </w:r>
      <w:r>
        <w:rPr>
          <w:rFonts w:hint="eastAsia"/>
          <w:b/>
          <w:bCs/>
          <w:sz w:val="28"/>
          <w:szCs w:val="28"/>
          <w:lang w:val="zh-CN"/>
        </w:rPr>
        <w:t>质量违约金</w:t>
      </w:r>
    </w:p>
    <w:p>
      <w:pPr>
        <w:adjustRightInd w:val="0"/>
        <w:snapToGrid w:val="0"/>
        <w:contextualSpacing/>
        <w:rPr>
          <w:rFonts w:hint="eastAsia"/>
          <w:lang w:val="zh-CN"/>
        </w:rPr>
      </w:pPr>
      <w:r>
        <w:rPr>
          <w:rFonts w:hint="eastAsia"/>
        </w:rPr>
        <w:t>14.9.1</w:t>
      </w:r>
      <w:r>
        <w:rPr>
          <w:rFonts w:hint="eastAsia"/>
          <w:lang w:val="zh-CN"/>
        </w:rPr>
        <w:t>设备的性能参数、材料质量达不到合同规定，出现重大缺陷时，发包人有权要求承包人换货，承包人应自接到发包人通知之日起按发包人要求的日期完成换货，在此期间，按照该设备、材料造价</w:t>
      </w:r>
      <w:r>
        <w:rPr>
          <w:u w:val="single"/>
          <w:lang w:val="zh-CN"/>
        </w:rPr>
        <w:t>0.05</w:t>
      </w:r>
      <w:r>
        <w:rPr>
          <w:rFonts w:hint="eastAsia"/>
          <w:u w:val="single"/>
          <w:lang w:val="zh-CN"/>
        </w:rPr>
        <w:t>%/天</w:t>
      </w:r>
      <w:r>
        <w:rPr>
          <w:rFonts w:hint="eastAsia"/>
          <w:lang w:val="zh-CN"/>
        </w:rPr>
        <w:t>支付逾期违约金，如给发包人造成损失的由承包人负责。如两次换货后，设备的性能参数、材料质量仍达不到合同规定标准的，发包人有权要求退货，承包人另行采购，产生的价差由承包人承担。</w:t>
      </w:r>
    </w:p>
    <w:p>
      <w:pPr>
        <w:adjustRightInd w:val="0"/>
        <w:snapToGrid w:val="0"/>
        <w:contextualSpacing/>
        <w:rPr>
          <w:rFonts w:hint="eastAsia"/>
          <w:lang w:val="zh-CN"/>
        </w:rPr>
      </w:pPr>
      <w:r>
        <w:rPr>
          <w:rFonts w:hint="eastAsia"/>
        </w:rPr>
        <w:t>14.9.2</w:t>
      </w:r>
      <w:r>
        <w:rPr>
          <w:lang w:val="zh-CN"/>
        </w:rPr>
        <w:t>工程施工质量达不到约定的质量标准，发包人及监理人一经发现，可要求承包人返工。若返工后仍达不到约定的标准，则可视为承包人严重违约。</w:t>
      </w:r>
      <w:r>
        <w:rPr>
          <w:rFonts w:hint="eastAsia"/>
          <w:lang w:val="zh-CN"/>
        </w:rPr>
        <w:t>若出现质量事故，除按事故处理外，还应支付违约金；若发生重大质量事故，则承包人还应向发包人支付质量违约金为该部分工程造价的</w:t>
      </w:r>
      <w:r>
        <w:rPr>
          <w:u w:val="single"/>
          <w:lang w:val="zh-CN"/>
        </w:rPr>
        <w:t>50%</w:t>
      </w:r>
      <w:r>
        <w:rPr>
          <w:lang w:val="zh-CN"/>
        </w:rPr>
        <w:t>，待事故处理完毕后，发包人有权解除合同；</w:t>
      </w:r>
      <w:r>
        <w:rPr>
          <w:rFonts w:hint="eastAsia"/>
          <w:lang w:val="zh-CN"/>
        </w:rPr>
        <w:t>若出现一般质量事故，则承包人还应向发包人支付质量违约金为该部分工程造价的</w:t>
      </w:r>
      <w:r>
        <w:rPr>
          <w:u w:val="single"/>
          <w:lang w:val="zh-CN"/>
        </w:rPr>
        <w:t>5%</w:t>
      </w:r>
      <w:r>
        <w:rPr>
          <w:rFonts w:hint="eastAsia"/>
          <w:lang w:val="zh-CN"/>
        </w:rPr>
        <w:t>。</w:t>
      </w:r>
    </w:p>
    <w:p>
      <w:pPr>
        <w:keepNext/>
        <w:keepLines/>
        <w:widowControl/>
        <w:tabs>
          <w:tab w:val="left" w:pos="964"/>
        </w:tabs>
        <w:adjustRightInd w:val="0"/>
        <w:snapToGrid w:val="0"/>
        <w:ind w:firstLine="0" w:firstLineChars="0"/>
        <w:contextualSpacing/>
        <w:jc w:val="left"/>
        <w:outlineLvl w:val="1"/>
        <w:rPr>
          <w:rFonts w:hint="eastAsia"/>
          <w:b/>
          <w:bCs/>
          <w:sz w:val="32"/>
          <w:szCs w:val="32"/>
        </w:rPr>
      </w:pPr>
      <w:bookmarkStart w:id="681" w:name="_Toc129848679"/>
      <w:bookmarkStart w:id="682" w:name="_Toc170377977"/>
      <w:bookmarkStart w:id="683" w:name="_Toc22082"/>
      <w:r>
        <w:rPr>
          <w:rFonts w:hint="eastAsia"/>
          <w:b/>
          <w:bCs/>
          <w:sz w:val="32"/>
          <w:szCs w:val="32"/>
        </w:rPr>
        <w:t>15</w:t>
      </w:r>
      <w:r>
        <w:rPr>
          <w:b/>
          <w:bCs/>
          <w:sz w:val="32"/>
          <w:szCs w:val="32"/>
        </w:rPr>
        <w:t>提前终止</w:t>
      </w:r>
      <w:bookmarkEnd w:id="681"/>
      <w:bookmarkEnd w:id="682"/>
      <w:bookmarkEnd w:id="683"/>
    </w:p>
    <w:p>
      <w:pPr>
        <w:adjustRightInd w:val="0"/>
        <w:snapToGrid w:val="0"/>
        <w:ind w:firstLine="0" w:firstLineChars="0"/>
        <w:jc w:val="left"/>
        <w:rPr>
          <w:rFonts w:hint="eastAsia"/>
          <w:kern w:val="0"/>
        </w:rPr>
      </w:pPr>
      <w:r>
        <w:rPr>
          <w:rFonts w:hint="eastAsia"/>
          <w:b/>
          <w:bCs/>
          <w:kern w:val="0"/>
          <w:sz w:val="28"/>
          <w:szCs w:val="28"/>
        </w:rPr>
        <w:t>1</w:t>
      </w:r>
      <w:r>
        <w:rPr>
          <w:b/>
          <w:bCs/>
          <w:kern w:val="0"/>
          <w:sz w:val="28"/>
          <w:szCs w:val="28"/>
        </w:rPr>
        <w:t>5.1承包人提前终止</w:t>
      </w:r>
    </w:p>
    <w:p>
      <w:pPr>
        <w:adjustRightInd w:val="0"/>
        <w:snapToGrid w:val="0"/>
        <w:jc w:val="left"/>
        <w:rPr>
          <w:rFonts w:hint="eastAsia"/>
          <w:kern w:val="0"/>
        </w:rPr>
      </w:pPr>
      <w:r>
        <w:rPr>
          <w:rFonts w:hint="eastAsia"/>
          <w:kern w:val="0"/>
        </w:rPr>
        <w:t>如果发包人未按第13.3 款向承包人支付本合同项下的任何到期应付款项持续达</w:t>
      </w:r>
      <w:r>
        <w:rPr>
          <w:rFonts w:hint="eastAsia"/>
          <w:kern w:val="0"/>
          <w:u w:val="single"/>
        </w:rPr>
        <w:t>两个月</w:t>
      </w:r>
      <w:r>
        <w:rPr>
          <w:rFonts w:hint="eastAsia"/>
          <w:kern w:val="0"/>
        </w:rPr>
        <w:t>的期限，则承包人可提前28天以书面形式通知发包人，暂停工作；如果发包人在收到该通知后在</w:t>
      </w:r>
      <w:r>
        <w:rPr>
          <w:rFonts w:hint="eastAsia"/>
          <w:kern w:val="0"/>
          <w:u w:val="single"/>
        </w:rPr>
        <w:t>两个月</w:t>
      </w:r>
      <w:r>
        <w:rPr>
          <w:rFonts w:hint="eastAsia"/>
          <w:kern w:val="0"/>
        </w:rPr>
        <w:t>的补救期内仍未支付上述款项，承包人可提前终止本合同。</w:t>
      </w:r>
    </w:p>
    <w:p>
      <w:pPr>
        <w:adjustRightInd w:val="0"/>
        <w:snapToGrid w:val="0"/>
        <w:ind w:firstLine="0" w:firstLineChars="0"/>
        <w:jc w:val="left"/>
        <w:rPr>
          <w:rFonts w:hint="eastAsia"/>
          <w:kern w:val="0"/>
        </w:rPr>
      </w:pPr>
      <w:r>
        <w:rPr>
          <w:rFonts w:hint="eastAsia"/>
          <w:b/>
          <w:bCs/>
          <w:kern w:val="0"/>
          <w:sz w:val="28"/>
          <w:szCs w:val="28"/>
        </w:rPr>
        <w:t>15.</w:t>
      </w:r>
      <w:r>
        <w:rPr>
          <w:b/>
          <w:bCs/>
          <w:kern w:val="0"/>
          <w:sz w:val="28"/>
          <w:szCs w:val="28"/>
        </w:rPr>
        <w:t>2</w:t>
      </w:r>
      <w:r>
        <w:rPr>
          <w:rFonts w:hint="eastAsia"/>
          <w:b/>
          <w:bCs/>
          <w:kern w:val="0"/>
          <w:sz w:val="28"/>
          <w:szCs w:val="28"/>
        </w:rPr>
        <w:t>发包人提前终止</w:t>
      </w:r>
    </w:p>
    <w:p>
      <w:pPr>
        <w:adjustRightInd w:val="0"/>
        <w:snapToGrid w:val="0"/>
        <w:ind w:left="420" w:hanging="420" w:hangingChars="200"/>
        <w:jc w:val="left"/>
        <w:rPr>
          <w:rFonts w:hint="eastAsia"/>
          <w:kern w:val="0"/>
        </w:rPr>
      </w:pPr>
      <w:r>
        <w:rPr>
          <w:rFonts w:hint="eastAsia"/>
          <w:kern w:val="0"/>
        </w:rPr>
        <w:t xml:space="preserve"> </w:t>
      </w:r>
      <w:r>
        <w:rPr>
          <w:kern w:val="0"/>
        </w:rPr>
        <w:t xml:space="preserve">   </w:t>
      </w:r>
      <w:r>
        <w:rPr>
          <w:rFonts w:hint="eastAsia"/>
          <w:kern w:val="0"/>
        </w:rPr>
        <w:t>如果承包人在收到发包人通知后在一</w:t>
      </w:r>
      <w:r>
        <w:rPr>
          <w:rFonts w:hint="eastAsia"/>
          <w:kern w:val="0"/>
          <w:u w:val="single"/>
        </w:rPr>
        <w:t>个月</w:t>
      </w:r>
      <w:r>
        <w:rPr>
          <w:rFonts w:hint="eastAsia"/>
          <w:kern w:val="0"/>
        </w:rPr>
        <w:t>的补救期内对该事件或行为未进行补救，或如果该事件或行为不能在补救期内合理地得到补救，则发包人可在另行发出通知10日后随时提前终止本合同。</w:t>
      </w:r>
    </w:p>
    <w:p>
      <w:pPr>
        <w:keepNext/>
        <w:keepLines/>
        <w:widowControl/>
        <w:tabs>
          <w:tab w:val="left" w:pos="964"/>
        </w:tabs>
        <w:adjustRightInd w:val="0"/>
        <w:snapToGrid w:val="0"/>
        <w:ind w:firstLine="0" w:firstLineChars="0"/>
        <w:jc w:val="left"/>
        <w:outlineLvl w:val="1"/>
        <w:rPr>
          <w:rFonts w:hint="eastAsia"/>
          <w:b/>
          <w:bCs/>
          <w:sz w:val="32"/>
          <w:szCs w:val="32"/>
        </w:rPr>
      </w:pPr>
      <w:bookmarkStart w:id="684" w:name="_Toc170377978"/>
      <w:bookmarkStart w:id="685" w:name="_Toc129848681"/>
      <w:bookmarkStart w:id="686" w:name="_Toc22371"/>
      <w:r>
        <w:rPr>
          <w:rFonts w:hint="eastAsia"/>
          <w:b/>
          <w:bCs/>
          <w:sz w:val="32"/>
          <w:szCs w:val="32"/>
        </w:rPr>
        <w:t>17.</w:t>
      </w:r>
      <w:r>
        <w:rPr>
          <w:b/>
          <w:bCs/>
          <w:sz w:val="32"/>
          <w:szCs w:val="32"/>
        </w:rPr>
        <w:t>保密</w:t>
      </w:r>
      <w:bookmarkEnd w:id="684"/>
      <w:bookmarkEnd w:id="685"/>
      <w:bookmarkEnd w:id="686"/>
    </w:p>
    <w:p>
      <w:pPr>
        <w:adjustRightInd w:val="0"/>
        <w:snapToGrid w:val="0"/>
        <w:ind w:firstLine="0" w:firstLineChars="0"/>
        <w:jc w:val="left"/>
        <w:rPr>
          <w:rFonts w:hint="eastAsia"/>
          <w:kern w:val="0"/>
        </w:rPr>
      </w:pPr>
      <w:r>
        <w:rPr>
          <w:b/>
          <w:bCs/>
          <w:kern w:val="0"/>
          <w:sz w:val="28"/>
          <w:szCs w:val="28"/>
        </w:rPr>
        <w:t>17.4 有效期</w:t>
      </w:r>
    </w:p>
    <w:p>
      <w:pPr>
        <w:adjustRightInd w:val="0"/>
        <w:snapToGrid w:val="0"/>
        <w:jc w:val="left"/>
        <w:rPr>
          <w:rFonts w:hint="eastAsia"/>
          <w:kern w:val="0"/>
        </w:rPr>
      </w:pPr>
      <w:r>
        <w:rPr>
          <w:kern w:val="0"/>
        </w:rPr>
        <w:t>本款所述的保密责任的期限为从合同生效时起至工程的质量保证期满后</w:t>
      </w:r>
      <w:r>
        <w:rPr>
          <w:rFonts w:hint="eastAsia"/>
          <w:kern w:val="0"/>
          <w:u w:val="single"/>
        </w:rPr>
        <w:t>三</w:t>
      </w:r>
      <w:r>
        <w:rPr>
          <w:kern w:val="0"/>
        </w:rPr>
        <w:t>年。</w:t>
      </w:r>
    </w:p>
    <w:p>
      <w:pPr>
        <w:keepNext/>
        <w:keepLines/>
        <w:widowControl/>
        <w:tabs>
          <w:tab w:val="left" w:pos="964"/>
        </w:tabs>
        <w:adjustRightInd w:val="0"/>
        <w:snapToGrid w:val="0"/>
        <w:ind w:firstLine="0" w:firstLineChars="0"/>
        <w:jc w:val="left"/>
        <w:outlineLvl w:val="1"/>
        <w:rPr>
          <w:rFonts w:hint="eastAsia"/>
          <w:b/>
          <w:bCs/>
          <w:sz w:val="32"/>
          <w:szCs w:val="32"/>
        </w:rPr>
      </w:pPr>
      <w:bookmarkStart w:id="687" w:name="_Toc170377979"/>
      <w:bookmarkStart w:id="688" w:name="_Toc129848682"/>
      <w:bookmarkStart w:id="689" w:name="_Toc24122"/>
      <w:r>
        <w:rPr>
          <w:rFonts w:hint="eastAsia"/>
          <w:b/>
          <w:bCs/>
          <w:sz w:val="32"/>
          <w:szCs w:val="32"/>
        </w:rPr>
        <w:t>18.</w:t>
      </w:r>
      <w:r>
        <w:rPr>
          <w:b/>
          <w:bCs/>
          <w:sz w:val="32"/>
          <w:szCs w:val="32"/>
        </w:rPr>
        <w:t>文件资料</w:t>
      </w:r>
      <w:bookmarkEnd w:id="687"/>
      <w:bookmarkEnd w:id="688"/>
      <w:bookmarkEnd w:id="689"/>
    </w:p>
    <w:p>
      <w:pPr>
        <w:adjustRightInd w:val="0"/>
        <w:snapToGrid w:val="0"/>
        <w:ind w:firstLine="0" w:firstLineChars="0"/>
        <w:jc w:val="left"/>
        <w:rPr>
          <w:rFonts w:hint="eastAsia"/>
          <w:b/>
          <w:bCs/>
          <w:kern w:val="0"/>
          <w:sz w:val="28"/>
          <w:szCs w:val="28"/>
        </w:rPr>
      </w:pPr>
      <w:r>
        <w:rPr>
          <w:b/>
          <w:bCs/>
          <w:kern w:val="0"/>
          <w:sz w:val="28"/>
          <w:szCs w:val="28"/>
        </w:rPr>
        <w:t>18.1 承包人文件</w:t>
      </w:r>
    </w:p>
    <w:p>
      <w:pPr>
        <w:adjustRightInd w:val="0"/>
        <w:snapToGrid w:val="0"/>
        <w:jc w:val="left"/>
        <w:rPr>
          <w:rFonts w:hint="eastAsia"/>
          <w:kern w:val="0"/>
        </w:rPr>
      </w:pPr>
      <w:r>
        <w:rPr>
          <w:kern w:val="0"/>
        </w:rPr>
        <w:t>18.1.4文件的照管和提供</w:t>
      </w:r>
    </w:p>
    <w:p>
      <w:pPr>
        <w:adjustRightInd w:val="0"/>
        <w:snapToGrid w:val="0"/>
        <w:jc w:val="left"/>
        <w:rPr>
          <w:rFonts w:hint="eastAsia"/>
          <w:kern w:val="0"/>
        </w:rPr>
      </w:pPr>
      <w:r>
        <w:rPr>
          <w:kern w:val="0"/>
        </w:rPr>
        <w:t xml:space="preserve">    见专用条款第4.2.</w:t>
      </w:r>
      <w:r>
        <w:rPr>
          <w:rFonts w:hint="eastAsia"/>
          <w:kern w:val="0"/>
        </w:rPr>
        <w:t>3</w:t>
      </w:r>
      <w:r>
        <w:rPr>
          <w:kern w:val="0"/>
        </w:rPr>
        <w:t>、4.2.</w:t>
      </w:r>
      <w:r>
        <w:rPr>
          <w:rFonts w:hint="eastAsia"/>
          <w:kern w:val="0"/>
        </w:rPr>
        <w:t>4</w:t>
      </w:r>
      <w:r>
        <w:rPr>
          <w:kern w:val="0"/>
        </w:rPr>
        <w:t>、8.4条约定。</w:t>
      </w:r>
    </w:p>
    <w:p>
      <w:pPr>
        <w:keepNext/>
        <w:keepLines/>
        <w:widowControl/>
        <w:tabs>
          <w:tab w:val="left" w:pos="964"/>
        </w:tabs>
        <w:adjustRightInd w:val="0"/>
        <w:snapToGrid w:val="0"/>
        <w:ind w:firstLine="0" w:firstLineChars="0"/>
        <w:jc w:val="left"/>
        <w:outlineLvl w:val="1"/>
        <w:rPr>
          <w:rFonts w:hint="eastAsia"/>
          <w:b/>
          <w:bCs/>
          <w:sz w:val="32"/>
          <w:szCs w:val="32"/>
        </w:rPr>
      </w:pPr>
      <w:bookmarkStart w:id="690" w:name="_Toc129848683"/>
      <w:bookmarkStart w:id="691" w:name="_Toc170377980"/>
      <w:bookmarkStart w:id="692" w:name="_Toc1526"/>
      <w:r>
        <w:rPr>
          <w:rFonts w:hint="eastAsia"/>
          <w:b/>
          <w:bCs/>
          <w:sz w:val="32"/>
          <w:szCs w:val="32"/>
        </w:rPr>
        <w:t>19.保险</w:t>
      </w:r>
      <w:bookmarkEnd w:id="690"/>
      <w:bookmarkEnd w:id="691"/>
      <w:bookmarkEnd w:id="692"/>
    </w:p>
    <w:p>
      <w:pPr>
        <w:adjustRightInd w:val="0"/>
        <w:snapToGrid w:val="0"/>
        <w:ind w:firstLine="0" w:firstLineChars="0"/>
        <w:jc w:val="left"/>
        <w:rPr>
          <w:rFonts w:hint="eastAsia"/>
          <w:b/>
          <w:bCs/>
          <w:kern w:val="0"/>
          <w:sz w:val="28"/>
          <w:szCs w:val="28"/>
        </w:rPr>
      </w:pPr>
      <w:r>
        <w:rPr>
          <w:rFonts w:hint="eastAsia"/>
          <w:b/>
          <w:bCs/>
          <w:kern w:val="0"/>
          <w:sz w:val="28"/>
          <w:szCs w:val="28"/>
        </w:rPr>
        <w:t>1</w:t>
      </w:r>
      <w:r>
        <w:rPr>
          <w:b/>
          <w:bCs/>
          <w:kern w:val="0"/>
          <w:sz w:val="28"/>
          <w:szCs w:val="28"/>
        </w:rPr>
        <w:t>9.2建筑和安装工程一切险</w:t>
      </w:r>
    </w:p>
    <w:p>
      <w:pPr>
        <w:adjustRightInd w:val="0"/>
        <w:snapToGrid w:val="0"/>
        <w:jc w:val="left"/>
        <w:rPr>
          <w:rFonts w:hint="eastAsia"/>
          <w:kern w:val="0"/>
        </w:rPr>
      </w:pPr>
      <w:r>
        <w:rPr>
          <w:rFonts w:hint="eastAsia"/>
          <w:kern w:val="0"/>
        </w:rPr>
        <w:t>承包人</w:t>
      </w:r>
      <w:r>
        <w:rPr>
          <w:kern w:val="0"/>
        </w:rPr>
        <w:t>应购买并在</w:t>
      </w:r>
      <w:r>
        <w:rPr>
          <w:rFonts w:hint="eastAsia"/>
          <w:kern w:val="0"/>
        </w:rPr>
        <w:t>工程完工日前</w:t>
      </w:r>
      <w:r>
        <w:rPr>
          <w:kern w:val="0"/>
        </w:rPr>
        <w:t>维持建筑和安装工程一切险</w:t>
      </w:r>
      <w:r>
        <w:rPr>
          <w:rFonts w:hint="eastAsia"/>
          <w:kern w:val="0"/>
        </w:rPr>
        <w:t>。</w:t>
      </w:r>
    </w:p>
    <w:p>
      <w:pPr>
        <w:adjustRightInd w:val="0"/>
        <w:snapToGrid w:val="0"/>
        <w:ind w:firstLine="0" w:firstLineChars="0"/>
        <w:jc w:val="left"/>
        <w:rPr>
          <w:rFonts w:hint="eastAsia"/>
          <w:b/>
          <w:bCs/>
          <w:kern w:val="0"/>
          <w:sz w:val="28"/>
          <w:szCs w:val="28"/>
        </w:rPr>
      </w:pPr>
      <w:r>
        <w:rPr>
          <w:b/>
          <w:bCs/>
          <w:kern w:val="0"/>
          <w:sz w:val="28"/>
          <w:szCs w:val="28"/>
        </w:rPr>
        <w:t xml:space="preserve">19.3 </w:t>
      </w:r>
      <w:r>
        <w:rPr>
          <w:rFonts w:hint="eastAsia"/>
          <w:b/>
          <w:bCs/>
          <w:kern w:val="0"/>
          <w:sz w:val="28"/>
          <w:szCs w:val="28"/>
        </w:rPr>
        <w:t>货物运输保险</w:t>
      </w:r>
    </w:p>
    <w:p>
      <w:pPr>
        <w:adjustRightInd w:val="0"/>
        <w:snapToGrid w:val="0"/>
        <w:jc w:val="left"/>
        <w:rPr>
          <w:rFonts w:hint="eastAsia"/>
          <w:kern w:val="0"/>
        </w:rPr>
      </w:pPr>
      <w:r>
        <w:rPr>
          <w:rFonts w:hint="eastAsia"/>
          <w:kern w:val="0"/>
        </w:rPr>
        <w:t>分包商购买的符合合同约定的货物运输保险可以视为承包人购买的相应保险。承包人应将分包商购买的货物运输保险保单复印件提交发包人核实备存。</w:t>
      </w:r>
    </w:p>
    <w:p>
      <w:pPr>
        <w:adjustRightInd w:val="0"/>
        <w:snapToGrid w:val="0"/>
        <w:ind w:firstLine="0" w:firstLineChars="0"/>
        <w:jc w:val="left"/>
        <w:rPr>
          <w:rFonts w:hint="eastAsia"/>
          <w:b/>
          <w:bCs/>
          <w:kern w:val="0"/>
          <w:sz w:val="28"/>
          <w:szCs w:val="28"/>
        </w:rPr>
      </w:pPr>
      <w:r>
        <w:rPr>
          <w:rFonts w:hint="eastAsia"/>
          <w:b/>
          <w:bCs/>
          <w:kern w:val="0"/>
          <w:sz w:val="28"/>
          <w:szCs w:val="28"/>
        </w:rPr>
        <w:t>1</w:t>
      </w:r>
      <w:r>
        <w:rPr>
          <w:b/>
          <w:bCs/>
          <w:kern w:val="0"/>
          <w:sz w:val="28"/>
          <w:szCs w:val="28"/>
        </w:rPr>
        <w:t xml:space="preserve">9.8 </w:t>
      </w:r>
      <w:r>
        <w:rPr>
          <w:rFonts w:hint="eastAsia"/>
          <w:b/>
          <w:bCs/>
          <w:kern w:val="0"/>
          <w:sz w:val="28"/>
          <w:szCs w:val="28"/>
        </w:rPr>
        <w:t>承包人的保单</w:t>
      </w:r>
    </w:p>
    <w:p>
      <w:pPr>
        <w:adjustRightInd w:val="0"/>
        <w:snapToGrid w:val="0"/>
        <w:jc w:val="left"/>
        <w:rPr>
          <w:rFonts w:hint="eastAsia"/>
          <w:szCs w:val="21"/>
        </w:rPr>
      </w:pPr>
      <w:r>
        <w:rPr>
          <w:kern w:val="0"/>
        </w:rPr>
        <w:t xml:space="preserve">在该保险工程的开工前完成相应保险的投保手续。 </w:t>
      </w:r>
      <w:r>
        <w:rPr>
          <w:szCs w:val="21"/>
        </w:rPr>
        <w:t>保险单的条件：</w:t>
      </w:r>
      <w:r>
        <w:rPr>
          <w:szCs w:val="21"/>
          <w:u w:val="single"/>
        </w:rPr>
        <w:t>每份保单的投保条件范围、赔偿方法等应以书面形式经</w:t>
      </w:r>
      <w:r>
        <w:rPr>
          <w:rFonts w:hint="eastAsia"/>
          <w:szCs w:val="21"/>
          <w:u w:val="single"/>
        </w:rPr>
        <w:t>发包人</w:t>
      </w:r>
      <w:r>
        <w:rPr>
          <w:szCs w:val="21"/>
          <w:u w:val="single"/>
        </w:rPr>
        <w:t>、保险经纪公司</w:t>
      </w:r>
      <w:r>
        <w:rPr>
          <w:rFonts w:hint="eastAsia"/>
          <w:szCs w:val="21"/>
          <w:u w:val="single"/>
        </w:rPr>
        <w:t>（如有）</w:t>
      </w:r>
      <w:r>
        <w:rPr>
          <w:szCs w:val="21"/>
          <w:u w:val="single"/>
        </w:rPr>
        <w:t>、承包</w:t>
      </w:r>
      <w:r>
        <w:rPr>
          <w:rFonts w:hint="eastAsia"/>
          <w:szCs w:val="21"/>
          <w:u w:val="single"/>
        </w:rPr>
        <w:t>人</w:t>
      </w:r>
      <w:r>
        <w:rPr>
          <w:szCs w:val="21"/>
          <w:u w:val="single"/>
        </w:rPr>
        <w:t>和保险公司四方协商一致；上述保险单的时效应与建设期的时间一致；所投保的保险险种的受益人必须是</w:t>
      </w:r>
      <w:r>
        <w:rPr>
          <w:rFonts w:hint="eastAsia"/>
          <w:szCs w:val="21"/>
          <w:u w:val="single"/>
        </w:rPr>
        <w:t>发包人</w:t>
      </w:r>
      <w:r>
        <w:rPr>
          <w:szCs w:val="21"/>
        </w:rPr>
        <w:t>。</w:t>
      </w:r>
    </w:p>
    <w:p>
      <w:pPr>
        <w:keepNext/>
        <w:keepLines/>
        <w:widowControl/>
        <w:tabs>
          <w:tab w:val="left" w:pos="964"/>
        </w:tabs>
        <w:adjustRightInd w:val="0"/>
        <w:snapToGrid w:val="0"/>
        <w:ind w:firstLine="0" w:firstLineChars="0"/>
        <w:jc w:val="left"/>
        <w:outlineLvl w:val="1"/>
        <w:rPr>
          <w:rFonts w:hint="eastAsia"/>
          <w:b/>
          <w:bCs/>
          <w:sz w:val="32"/>
          <w:szCs w:val="32"/>
        </w:rPr>
      </w:pPr>
      <w:bookmarkStart w:id="693" w:name="_Toc129848684"/>
      <w:bookmarkStart w:id="694" w:name="_Toc170377981"/>
      <w:bookmarkStart w:id="695" w:name="_Toc2347"/>
      <w:r>
        <w:rPr>
          <w:rFonts w:hint="eastAsia"/>
          <w:b/>
          <w:bCs/>
          <w:sz w:val="32"/>
          <w:szCs w:val="32"/>
        </w:rPr>
        <w:t>20.不可抗力</w:t>
      </w:r>
      <w:bookmarkEnd w:id="693"/>
      <w:bookmarkEnd w:id="694"/>
      <w:bookmarkEnd w:id="695"/>
    </w:p>
    <w:p>
      <w:pPr>
        <w:adjustRightInd w:val="0"/>
        <w:snapToGrid w:val="0"/>
        <w:ind w:firstLine="0" w:firstLineChars="0"/>
        <w:rPr>
          <w:rFonts w:hint="eastAsia"/>
          <w:b/>
          <w:bCs/>
          <w:sz w:val="28"/>
          <w:szCs w:val="28"/>
        </w:rPr>
      </w:pPr>
      <w:r>
        <w:rPr>
          <w:b/>
          <w:bCs/>
          <w:kern w:val="0"/>
          <w:sz w:val="28"/>
          <w:szCs w:val="28"/>
        </w:rPr>
        <w:t>20.5</w:t>
      </w:r>
      <w:r>
        <w:rPr>
          <w:rFonts w:hint="eastAsia"/>
          <w:b/>
          <w:bCs/>
          <w:sz w:val="28"/>
          <w:szCs w:val="28"/>
        </w:rPr>
        <w:t>解除合同</w:t>
      </w:r>
    </w:p>
    <w:p>
      <w:pPr>
        <w:adjustRightInd w:val="0"/>
        <w:snapToGrid w:val="0"/>
        <w:rPr>
          <w:rFonts w:hint="eastAsia"/>
        </w:rPr>
      </w:pPr>
      <w:r>
        <w:rPr>
          <w:rFonts w:hint="eastAsia"/>
        </w:rPr>
        <w:t>承包人收到解除合同通知后的工作。承包人应在解除合同30天内或双方约定的时间内，完成以下工作：</w:t>
      </w:r>
    </w:p>
    <w:p>
      <w:pPr>
        <w:adjustRightInd w:val="0"/>
        <w:snapToGrid w:val="0"/>
        <w:rPr>
          <w:rFonts w:hint="eastAsia"/>
        </w:rPr>
      </w:pPr>
      <w:r>
        <w:rPr>
          <w:rFonts w:hint="eastAsia"/>
        </w:rPr>
        <w:t>（1）除了为保护生命、财产或工程安全、清理和必须执行的工作外，停止执行所有被通知解除的工作；</w:t>
      </w:r>
    </w:p>
    <w:p>
      <w:pPr>
        <w:adjustRightInd w:val="0"/>
        <w:snapToGrid w:val="0"/>
        <w:rPr>
          <w:rFonts w:hint="eastAsia"/>
        </w:rPr>
      </w:pPr>
      <w:r>
        <w:rPr>
          <w:rFonts w:hint="eastAsia"/>
        </w:rPr>
        <w:t>（2）将发包人提供的所有信息及承包人为本工程编制的技术资料及其它文件移交给发包人。在承包人留有的资料文件中，销毁与发包人提供的所有信息相关的数据及资料的备份；</w:t>
      </w:r>
    </w:p>
    <w:p>
      <w:pPr>
        <w:adjustRightInd w:val="0"/>
        <w:snapToGrid w:val="0"/>
        <w:rPr>
          <w:rFonts w:hint="eastAsia"/>
        </w:rPr>
      </w:pPr>
      <w:r>
        <w:rPr>
          <w:rFonts w:hint="eastAsia"/>
        </w:rPr>
        <w:t>（3） 移交已完成的永久性工程及负责已运抵现场的永久性工程物资。在移交前，妥善做好已完工程和已运抵现场的永久性工程物资的保管、维护和保养；</w:t>
      </w:r>
    </w:p>
    <w:p>
      <w:pPr>
        <w:adjustRightInd w:val="0"/>
        <w:snapToGrid w:val="0"/>
        <w:rPr>
          <w:rFonts w:hint="eastAsia"/>
        </w:rPr>
      </w:pPr>
      <w:r>
        <w:rPr>
          <w:rFonts w:hint="eastAsia"/>
        </w:rPr>
        <w:t>（4）移交相应实施阶段已经付款的并已完成的和尚待完成的设计文件、图纸、资料、操作维修手册、施工组织设计、质检资料、竣工资料等；</w:t>
      </w:r>
    </w:p>
    <w:p>
      <w:pPr>
        <w:adjustRightInd w:val="0"/>
        <w:snapToGrid w:val="0"/>
        <w:rPr>
          <w:rFonts w:hint="eastAsia"/>
        </w:rPr>
      </w:pPr>
      <w:r>
        <w:rPr>
          <w:rFonts w:hint="eastAsia"/>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adjustRightInd w:val="0"/>
        <w:snapToGrid w:val="0"/>
        <w:rPr>
          <w:rFonts w:hint="eastAsia"/>
        </w:rPr>
      </w:pPr>
      <w:r>
        <w:rPr>
          <w:rFonts w:hint="eastAsia"/>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adjustRightInd w:val="0"/>
        <w:snapToGrid w:val="0"/>
        <w:rPr>
          <w:rFonts w:hint="eastAsia"/>
        </w:rPr>
      </w:pPr>
      <w:r>
        <w:rPr>
          <w:rFonts w:hint="eastAsia"/>
        </w:rPr>
        <w:t>（7）承包人按照合同约定，继续履行其未被解除的合同部分工作；</w:t>
      </w:r>
    </w:p>
    <w:p>
      <w:pPr>
        <w:adjustRightInd w:val="0"/>
        <w:snapToGrid w:val="0"/>
        <w:rPr>
          <w:rFonts w:hint="eastAsia"/>
        </w:rPr>
      </w:pPr>
      <w:r>
        <w:rPr>
          <w:rFonts w:hint="eastAsia"/>
        </w:rPr>
        <w:t>（8）在解除合同的结算尚未结清之前，承包人不得将其机具、设备、设施、周转材料、措施材料撤离现场和（或）拆除，除非得到发包人同意。</w:t>
      </w:r>
    </w:p>
    <w:p>
      <w:pPr>
        <w:keepNext/>
        <w:keepLines/>
        <w:widowControl/>
        <w:tabs>
          <w:tab w:val="left" w:pos="964"/>
        </w:tabs>
        <w:adjustRightInd w:val="0"/>
        <w:snapToGrid w:val="0"/>
        <w:ind w:firstLine="0" w:firstLineChars="0"/>
        <w:jc w:val="left"/>
        <w:outlineLvl w:val="1"/>
        <w:rPr>
          <w:rFonts w:hint="eastAsia"/>
          <w:b/>
          <w:bCs/>
          <w:sz w:val="32"/>
          <w:szCs w:val="32"/>
        </w:rPr>
      </w:pPr>
      <w:bookmarkStart w:id="696" w:name="_Toc170377982"/>
      <w:bookmarkStart w:id="697" w:name="_Toc129848686"/>
      <w:bookmarkStart w:id="698" w:name="_Toc17088"/>
      <w:r>
        <w:rPr>
          <w:rFonts w:hint="eastAsia"/>
          <w:b/>
          <w:bCs/>
          <w:sz w:val="32"/>
          <w:szCs w:val="32"/>
        </w:rPr>
        <w:t>22.</w:t>
      </w:r>
      <w:r>
        <w:rPr>
          <w:b/>
          <w:bCs/>
          <w:sz w:val="32"/>
          <w:szCs w:val="32"/>
        </w:rPr>
        <w:t>争议解决</w:t>
      </w:r>
      <w:bookmarkEnd w:id="696"/>
      <w:bookmarkEnd w:id="697"/>
      <w:bookmarkEnd w:id="698"/>
    </w:p>
    <w:p>
      <w:pPr>
        <w:adjustRightInd w:val="0"/>
        <w:snapToGrid w:val="0"/>
        <w:ind w:firstLine="0" w:firstLineChars="0"/>
        <w:jc w:val="left"/>
        <w:rPr>
          <w:rFonts w:hint="eastAsia"/>
          <w:b/>
          <w:bCs/>
          <w:kern w:val="0"/>
          <w:sz w:val="28"/>
          <w:szCs w:val="28"/>
        </w:rPr>
      </w:pPr>
      <w:r>
        <w:rPr>
          <w:b/>
          <w:bCs/>
          <w:kern w:val="0"/>
          <w:sz w:val="28"/>
          <w:szCs w:val="28"/>
        </w:rPr>
        <w:t>22.3 仲裁或诉讼</w:t>
      </w:r>
    </w:p>
    <w:p>
      <w:pPr>
        <w:adjustRightInd w:val="0"/>
        <w:snapToGrid w:val="0"/>
        <w:rPr>
          <w:rFonts w:hint="eastAsia"/>
        </w:rPr>
      </w:pPr>
      <w:r>
        <w:rPr>
          <w:rFonts w:hint="eastAsia"/>
        </w:rPr>
        <w:t>双方均有权就争议事项向项目所在地有管辖权的人民法院提起诉讼。</w:t>
      </w:r>
    </w:p>
    <w:p>
      <w:pPr>
        <w:jc w:val="left"/>
        <w:rPr>
          <w:rFonts w:hint="eastAsia"/>
        </w:rPr>
      </w:pPr>
      <w:r>
        <w:t xml:space="preserve"> </w:t>
      </w:r>
    </w:p>
    <w:p>
      <w:pPr>
        <w:ind w:firstLine="0" w:firstLineChars="0"/>
        <w:jc w:val="left"/>
        <w:rPr>
          <w:rFonts w:hint="eastAsia"/>
        </w:rPr>
        <w:sectPr>
          <w:pgSz w:w="11928" w:h="16870"/>
          <w:pgMar w:top="1420" w:right="1420" w:bottom="1420" w:left="1420" w:header="966" w:footer="852" w:gutter="0"/>
          <w:cols w:space="720" w:num="1"/>
          <w:docGrid w:type="lines" w:linePitch="312" w:charSpace="0"/>
        </w:sectPr>
      </w:pPr>
      <w:r>
        <w:br w:type="page"/>
      </w:r>
    </w:p>
    <w:p>
      <w:pPr>
        <w:pStyle w:val="18"/>
      </w:pPr>
      <w:bookmarkStart w:id="699" w:name="_Toc120689437"/>
      <w:bookmarkStart w:id="700" w:name="_Toc170377983"/>
      <w:bookmarkStart w:id="701" w:name="_Toc29977"/>
      <w:r>
        <w:t>第三节 合同附件格式</w:t>
      </w:r>
      <w:bookmarkEnd w:id="699"/>
      <w:bookmarkEnd w:id="700"/>
      <w:bookmarkEnd w:id="701"/>
    </w:p>
    <w:p>
      <w:pPr>
        <w:ind w:firstLine="640"/>
        <w:jc w:val="center"/>
        <w:rPr>
          <w:rFonts w:hint="eastAsia"/>
          <w:sz w:val="32"/>
        </w:rPr>
      </w:pPr>
      <w:r>
        <w:rPr>
          <w:sz w:val="32"/>
        </w:rPr>
        <w:br w:type="page"/>
      </w:r>
    </w:p>
    <w:p>
      <w:pPr>
        <w:ind w:firstLine="640"/>
        <w:jc w:val="center"/>
        <w:rPr>
          <w:rFonts w:hint="eastAsia"/>
          <w:sz w:val="32"/>
        </w:rPr>
        <w:sectPr>
          <w:type w:val="continuous"/>
          <w:pgSz w:w="11928" w:h="16870"/>
          <w:pgMar w:top="1420" w:right="1420" w:bottom="1420" w:left="1420" w:header="966" w:footer="852" w:gutter="0"/>
          <w:cols w:space="720" w:num="1"/>
          <w:docGrid w:type="lines" w:linePitch="312" w:charSpace="0"/>
        </w:sectPr>
      </w:pPr>
    </w:p>
    <w:p>
      <w:pPr>
        <w:pStyle w:val="19"/>
      </w:pPr>
      <w:bookmarkStart w:id="702" w:name="_Toc170377984"/>
      <w:bookmarkStart w:id="703" w:name="_Toc120689438"/>
      <w:bookmarkStart w:id="704" w:name="_Toc1715"/>
      <w:r>
        <w:t>附件一：合同协议书</w:t>
      </w:r>
      <w:bookmarkEnd w:id="702"/>
      <w:bookmarkEnd w:id="703"/>
      <w:bookmarkEnd w:id="704"/>
    </w:p>
    <w:p>
      <w:pPr>
        <w:jc w:val="left"/>
        <w:rPr>
          <w:rFonts w:hint="eastAsia"/>
        </w:rPr>
      </w:pPr>
    </w:p>
    <w:p>
      <w:pPr>
        <w:ind w:firstLine="0" w:firstLineChars="0"/>
        <w:jc w:val="center"/>
        <w:rPr>
          <w:rFonts w:hint="eastAsia"/>
        </w:rPr>
      </w:pPr>
      <w:r>
        <w:rPr>
          <w:rFonts w:hint="eastAsia"/>
        </w:rPr>
        <w:t>合同协议书</w:t>
      </w:r>
    </w:p>
    <w:p>
      <w:pPr>
        <w:ind w:firstLine="0" w:firstLineChars="0"/>
        <w:jc w:val="center"/>
        <w:rPr>
          <w:rFonts w:hint="eastAsia"/>
        </w:rPr>
      </w:pPr>
    </w:p>
    <w:p>
      <w:pPr>
        <w:ind w:firstLine="0" w:firstLineChars="0"/>
        <w:jc w:val="left"/>
        <w:rPr>
          <w:rFonts w:hint="eastAsia"/>
        </w:rPr>
      </w:pPr>
      <w:r>
        <w:rPr>
          <w:rFonts w:hint="eastAsia"/>
        </w:rPr>
        <w:t>发包人：</w:t>
      </w:r>
      <w:r>
        <w:t>________</w:t>
      </w:r>
      <w:r>
        <w:rPr>
          <w:rFonts w:hint="eastAsia"/>
          <w:u w:val="single"/>
        </w:rPr>
        <w:t>北京京能数字科技有限公司</w:t>
      </w:r>
      <w:r>
        <w:rPr>
          <w:u w:val="single"/>
        </w:rPr>
        <w:t>_</w:t>
      </w:r>
      <w:r>
        <w:t>___________________</w:t>
      </w:r>
    </w:p>
    <w:p>
      <w:pPr>
        <w:ind w:firstLine="0" w:firstLineChars="0"/>
        <w:jc w:val="left"/>
        <w:rPr>
          <w:rFonts w:hint="eastAsia"/>
        </w:rPr>
      </w:pPr>
      <w:r>
        <w:rPr>
          <w:rFonts w:hint="eastAsia"/>
        </w:rPr>
        <w:t>承包人：</w:t>
      </w:r>
      <w:r>
        <w:t>_</w:t>
      </w:r>
      <w:r>
        <w:rPr>
          <w:u w:val="single"/>
        </w:rPr>
        <w:t>_</w:t>
      </w:r>
      <w:r>
        <w:rPr>
          <w:rFonts w:hint="eastAsia"/>
          <w:u w:val="single"/>
        </w:rPr>
        <w:t xml:space="preserve">      </w:t>
      </w:r>
      <w:r>
        <w:rPr>
          <w:rFonts w:hint="eastAsia"/>
          <w:color w:val="FF0000"/>
          <w:u w:val="single"/>
        </w:rPr>
        <w:t>许继电气股份有限公司</w:t>
      </w:r>
      <w:r>
        <w:rPr>
          <w:color w:val="FF0000"/>
          <w:u w:val="single"/>
        </w:rPr>
        <w:t>_</w:t>
      </w:r>
      <w:r>
        <w:t>__________________________</w:t>
      </w:r>
    </w:p>
    <w:p>
      <w:pPr>
        <w:jc w:val="left"/>
        <w:rPr>
          <w:rFonts w:hint="eastAsia"/>
          <w:color w:val="000000"/>
          <w:u w:val="single"/>
        </w:rPr>
      </w:pPr>
      <w:r>
        <w:rPr>
          <w:rFonts w:hint="eastAsia"/>
        </w:rPr>
        <w:t>鉴于发包人拟委托承包人以总承包方式建设</w:t>
      </w:r>
      <w:r>
        <w:rPr>
          <w:rFonts w:hint="eastAsia"/>
          <w:color w:val="000000"/>
          <w:u w:val="single"/>
        </w:rPr>
        <w:t>绍兴华茂化纤有限公司</w:t>
      </w:r>
    </w:p>
    <w:p>
      <w:pPr>
        <w:jc w:val="left"/>
        <w:rPr>
          <w:rFonts w:hint="eastAsia"/>
        </w:rPr>
      </w:pPr>
      <w:r>
        <w:rPr>
          <w:rFonts w:hint="eastAsia"/>
          <w:color w:val="000000"/>
          <w:u w:val="single"/>
        </w:rPr>
        <w:t>4.8MW/10.4MWh电化学储能电站项目</w:t>
      </w:r>
      <w:r>
        <w:rPr>
          <w:color w:val="000000"/>
          <w:u w:val="single"/>
        </w:rPr>
        <w:t>工程</w:t>
      </w:r>
      <w:r>
        <w:t>（以下简称“工程”），且承包人同意接受该委托。根据《中华人民共和国</w:t>
      </w:r>
      <w:r>
        <w:rPr>
          <w:rFonts w:hint="eastAsia"/>
        </w:rPr>
        <w:t>民法典</w:t>
      </w:r>
      <w:r>
        <w:t>》、《中华人民共和国建筑法》和其他有关法律、法规和规章的规定，双方经协商一致，签订本协议。</w:t>
      </w:r>
    </w:p>
    <w:p>
      <w:pPr>
        <w:jc w:val="left"/>
        <w:rPr>
          <w:rFonts w:hint="eastAsia"/>
        </w:rPr>
      </w:pPr>
      <w:r>
        <w:t>1. 工程概况</w:t>
      </w:r>
    </w:p>
    <w:p>
      <w:pPr>
        <w:jc w:val="left"/>
        <w:rPr>
          <w:rFonts w:hint="eastAsia"/>
        </w:rPr>
      </w:pPr>
      <w:r>
        <w:t>1.1. 工程名称：</w:t>
      </w:r>
      <w:r>
        <w:rPr>
          <w:rFonts w:hint="eastAsia"/>
          <w:u w:val="single"/>
        </w:rPr>
        <w:t>绍兴华茂化纤有限公司4.8MW/10.4MWh电化学储能电站项目</w:t>
      </w:r>
      <w:r>
        <w:t>。</w:t>
      </w:r>
    </w:p>
    <w:p>
      <w:pPr>
        <w:jc w:val="left"/>
        <w:rPr>
          <w:rFonts w:hint="eastAsia"/>
        </w:rPr>
      </w:pPr>
      <w:r>
        <w:t>1.2. 工程批准、核准或备案文号：_____________________。</w:t>
      </w:r>
    </w:p>
    <w:p>
      <w:pPr>
        <w:jc w:val="left"/>
        <w:rPr>
          <w:rFonts w:hint="eastAsia"/>
        </w:rPr>
      </w:pPr>
      <w:r>
        <w:t>1.3. 工程地点：</w:t>
      </w:r>
      <w:r>
        <w:rPr>
          <w:rFonts w:hint="eastAsia"/>
          <w:u w:val="single"/>
        </w:rPr>
        <w:t>浙江省绍兴市柯桥区钱清街道绍兴华茂化纤有限公司厂区内</w:t>
      </w:r>
      <w:r>
        <w:t>。</w:t>
      </w:r>
    </w:p>
    <w:p>
      <w:pPr>
        <w:jc w:val="left"/>
        <w:rPr>
          <w:rFonts w:hint="eastAsia"/>
        </w:rPr>
      </w:pPr>
      <w:r>
        <w:t>1.4. 工程规模：</w:t>
      </w:r>
      <w:r>
        <w:rPr>
          <w:rFonts w:hint="eastAsia"/>
          <w:u w:val="single"/>
        </w:rPr>
        <w:t>4.8MW/10.4MWh电化学储能电站</w:t>
      </w:r>
      <w:r>
        <w:t>。</w:t>
      </w:r>
    </w:p>
    <w:p>
      <w:pPr>
        <w:jc w:val="left"/>
        <w:rPr>
          <w:rFonts w:hint="eastAsia"/>
        </w:rPr>
      </w:pPr>
      <w:r>
        <w:t>2. 承包范围</w:t>
      </w:r>
    </w:p>
    <w:p>
      <w:pPr>
        <w:jc w:val="left"/>
        <w:rPr>
          <w:rFonts w:hint="eastAsia"/>
          <w:u w:val="single"/>
        </w:rPr>
      </w:pPr>
      <w:r>
        <w:rPr>
          <w:rFonts w:hint="eastAsia"/>
        </w:rPr>
        <w:t>合同工程总承包范围包括</w:t>
      </w:r>
      <w:r>
        <w:t xml:space="preserve"> ：</w:t>
      </w:r>
      <w:r>
        <w:rPr>
          <w:rFonts w:hint="eastAsia"/>
          <w:u w:val="single"/>
        </w:rPr>
        <w:t>绍兴华茂化纤4.8MW/10.4MWh电化学储能电站项目中的设备供货安装调试及土建工程</w:t>
      </w:r>
    </w:p>
    <w:p>
      <w:pPr>
        <w:jc w:val="left"/>
        <w:rPr>
          <w:rFonts w:hint="eastAsia"/>
        </w:rPr>
      </w:pPr>
      <w:r>
        <w:rPr>
          <w:rFonts w:hint="eastAsia"/>
        </w:rPr>
        <w:t>详见合同附件一《技术规范书》中相关规定。</w:t>
      </w:r>
    </w:p>
    <w:p>
      <w:pPr>
        <w:jc w:val="left"/>
        <w:rPr>
          <w:rFonts w:hint="eastAsia"/>
        </w:rPr>
      </w:pPr>
      <w:r>
        <w:t>3. 合同工期</w:t>
      </w:r>
    </w:p>
    <w:p>
      <w:pPr>
        <w:jc w:val="left"/>
        <w:rPr>
          <w:rFonts w:hint="eastAsia"/>
        </w:rPr>
      </w:pPr>
      <w:r>
        <w:rPr>
          <w:rFonts w:hint="eastAsia"/>
        </w:rPr>
        <w:t>预计开工日期：</w:t>
      </w:r>
      <w:r>
        <w:rPr>
          <w:rFonts w:hint="eastAsia"/>
          <w:u w:val="single"/>
        </w:rPr>
        <w:t>2024</w:t>
      </w:r>
      <w:r>
        <w:t>年</w:t>
      </w:r>
      <w:r>
        <w:rPr>
          <w:rFonts w:hint="eastAsia"/>
          <w:color w:val="FF0000"/>
          <w:u w:val="single"/>
        </w:rPr>
        <w:t xml:space="preserve">09 </w:t>
      </w:r>
      <w:r>
        <w:rPr>
          <w:color w:val="FF0000"/>
        </w:rPr>
        <w:t>月</w:t>
      </w:r>
      <w:r>
        <w:rPr>
          <w:rFonts w:hint="eastAsia"/>
          <w:color w:val="FF0000"/>
        </w:rPr>
        <w:t xml:space="preserve"> </w:t>
      </w:r>
      <w:r>
        <w:rPr>
          <w:rFonts w:hint="eastAsia"/>
          <w:color w:val="FF0000"/>
          <w:u w:val="single"/>
        </w:rPr>
        <w:t>27</w:t>
      </w:r>
      <w:r>
        <w:rPr>
          <w:color w:val="FF0000"/>
        </w:rPr>
        <w:t>日</w:t>
      </w:r>
      <w:r>
        <w:t>，具体以发包人书面通知为准。</w:t>
      </w:r>
    </w:p>
    <w:p>
      <w:pPr>
        <w:jc w:val="left"/>
        <w:rPr>
          <w:rFonts w:hint="eastAsia"/>
        </w:rPr>
      </w:pPr>
      <w:r>
        <w:rPr>
          <w:rFonts w:hint="eastAsia"/>
        </w:rPr>
        <w:t>预计完工验收投产日期：</w:t>
      </w:r>
      <w:r>
        <w:rPr>
          <w:rFonts w:hint="eastAsia"/>
          <w:u w:val="single"/>
        </w:rPr>
        <w:t>2024</w:t>
      </w:r>
      <w:r>
        <w:t>年</w:t>
      </w:r>
      <w:r>
        <w:rPr>
          <w:rFonts w:hint="eastAsia"/>
        </w:rPr>
        <w:t>11</w:t>
      </w:r>
      <w:r>
        <w:rPr>
          <w:color w:val="FF0000"/>
        </w:rPr>
        <w:t>月</w:t>
      </w:r>
      <w:r>
        <w:rPr>
          <w:rFonts w:hint="eastAsia"/>
          <w:color w:val="FF0000"/>
          <w:u w:val="single"/>
        </w:rPr>
        <w:t>28</w:t>
      </w:r>
      <w:r>
        <w:rPr>
          <w:color w:val="FF0000"/>
        </w:rPr>
        <w:t>日</w:t>
      </w:r>
      <w:r>
        <w:t>。</w:t>
      </w:r>
    </w:p>
    <w:p>
      <w:pPr>
        <w:jc w:val="left"/>
        <w:rPr>
          <w:rFonts w:hint="eastAsia"/>
        </w:rPr>
      </w:pPr>
      <w:r>
        <w:rPr>
          <w:rFonts w:hint="eastAsia"/>
        </w:rPr>
        <w:t>总工期为：</w:t>
      </w:r>
      <w:r>
        <w:rPr>
          <w:rFonts w:hint="eastAsia"/>
          <w:color w:val="FF0000"/>
          <w:u w:val="single"/>
        </w:rPr>
        <w:t>62</w:t>
      </w:r>
      <w:r>
        <w:t>日历天。</w:t>
      </w:r>
    </w:p>
    <w:p>
      <w:pPr>
        <w:jc w:val="left"/>
        <w:rPr>
          <w:rFonts w:hint="eastAsia"/>
        </w:rPr>
      </w:pPr>
      <w:r>
        <w:rPr>
          <w:rFonts w:hint="eastAsia"/>
        </w:rPr>
        <w:t>其中：</w:t>
      </w:r>
    </w:p>
    <w:p>
      <w:pPr>
        <w:jc w:val="left"/>
        <w:rPr>
          <w:rFonts w:hint="eastAsia"/>
        </w:rPr>
      </w:pPr>
      <w:r>
        <w:rPr>
          <w:rFonts w:hint="eastAsia"/>
        </w:rPr>
        <w:t>预计施工开始日期：</w:t>
      </w:r>
      <w:r>
        <w:rPr>
          <w:color w:val="FF0000"/>
          <w:u w:val="single"/>
        </w:rPr>
        <w:t>__</w:t>
      </w:r>
      <w:r>
        <w:rPr>
          <w:rFonts w:hint="eastAsia"/>
          <w:color w:val="FF0000"/>
          <w:u w:val="single"/>
        </w:rPr>
        <w:t>2024</w:t>
      </w:r>
      <w:r>
        <w:rPr>
          <w:color w:val="FF0000"/>
          <w:u w:val="single"/>
        </w:rPr>
        <w:t>__</w:t>
      </w:r>
      <w:r>
        <w:t>年</w:t>
      </w:r>
      <w:r>
        <w:rPr>
          <w:color w:val="FF0000"/>
          <w:u w:val="single"/>
        </w:rPr>
        <w:t>__</w:t>
      </w:r>
      <w:r>
        <w:rPr>
          <w:rFonts w:hint="eastAsia"/>
          <w:color w:val="FF0000"/>
          <w:u w:val="single"/>
        </w:rPr>
        <w:t>09</w:t>
      </w:r>
      <w:r>
        <w:t>月</w:t>
      </w:r>
      <w:r>
        <w:rPr>
          <w:color w:val="FF0000"/>
          <w:u w:val="single"/>
        </w:rPr>
        <w:t>_</w:t>
      </w:r>
      <w:r>
        <w:rPr>
          <w:rFonts w:hint="eastAsia"/>
          <w:color w:val="FF0000"/>
          <w:u w:val="single"/>
        </w:rPr>
        <w:t>27</w:t>
      </w:r>
      <w:r>
        <w:rPr>
          <w:color w:val="FF0000"/>
          <w:u w:val="single"/>
        </w:rPr>
        <w:t>_</w:t>
      </w:r>
      <w:r>
        <w:t>日，预计完成时间：</w:t>
      </w:r>
      <w:r>
        <w:rPr>
          <w:color w:val="FF0000"/>
          <w:u w:val="single"/>
        </w:rPr>
        <w:t>__</w:t>
      </w:r>
      <w:r>
        <w:rPr>
          <w:rFonts w:hint="eastAsia"/>
          <w:color w:val="FF0000"/>
          <w:u w:val="single"/>
        </w:rPr>
        <w:t>2024</w:t>
      </w:r>
      <w:r>
        <w:rPr>
          <w:color w:val="FF0000"/>
          <w:u w:val="single"/>
        </w:rPr>
        <w:t>__</w:t>
      </w:r>
      <w:r>
        <w:t>年</w:t>
      </w:r>
      <w:r>
        <w:rPr>
          <w:color w:val="FF0000"/>
          <w:u w:val="single"/>
        </w:rPr>
        <w:t>_</w:t>
      </w:r>
      <w:r>
        <w:rPr>
          <w:rFonts w:hint="eastAsia"/>
          <w:color w:val="FF0000"/>
          <w:u w:val="single"/>
        </w:rPr>
        <w:t>11</w:t>
      </w:r>
      <w:r>
        <w:t>月</w:t>
      </w:r>
      <w:r>
        <w:rPr>
          <w:color w:val="FF0000"/>
          <w:u w:val="single"/>
        </w:rPr>
        <w:t>_</w:t>
      </w:r>
      <w:r>
        <w:rPr>
          <w:rFonts w:hint="eastAsia"/>
          <w:color w:val="FF0000"/>
          <w:u w:val="single"/>
        </w:rPr>
        <w:t>28</w:t>
      </w:r>
      <w:r>
        <w:t>日。</w:t>
      </w:r>
    </w:p>
    <w:p>
      <w:pPr>
        <w:jc w:val="left"/>
        <w:rPr>
          <w:rFonts w:hint="eastAsia"/>
        </w:rPr>
      </w:pPr>
      <w:r>
        <w:rPr>
          <w:rFonts w:hint="eastAsia"/>
        </w:rPr>
        <w:t>预计工程调试开始日期：</w:t>
      </w:r>
      <w:r>
        <w:rPr>
          <w:color w:val="FF0000"/>
          <w:u w:val="single"/>
        </w:rPr>
        <w:t>__</w:t>
      </w:r>
      <w:r>
        <w:rPr>
          <w:rFonts w:hint="eastAsia"/>
          <w:color w:val="FF0000"/>
          <w:u w:val="single"/>
        </w:rPr>
        <w:t>2024</w:t>
      </w:r>
      <w:r>
        <w:rPr>
          <w:color w:val="FF0000"/>
          <w:u w:val="single"/>
        </w:rPr>
        <w:t>__</w:t>
      </w:r>
      <w:r>
        <w:t>年</w:t>
      </w:r>
      <w:r>
        <w:rPr>
          <w:color w:val="FF0000"/>
          <w:u w:val="single"/>
        </w:rPr>
        <w:t>_</w:t>
      </w:r>
      <w:r>
        <w:rPr>
          <w:rFonts w:hint="eastAsia"/>
          <w:color w:val="FF0000"/>
          <w:u w:val="single"/>
        </w:rPr>
        <w:t>11</w:t>
      </w:r>
      <w:r>
        <w:t>月</w:t>
      </w:r>
      <w:r>
        <w:rPr>
          <w:color w:val="FF0000"/>
          <w:u w:val="single"/>
        </w:rPr>
        <w:t>_</w:t>
      </w:r>
      <w:r>
        <w:rPr>
          <w:rFonts w:hint="eastAsia"/>
          <w:color w:val="FF0000"/>
          <w:u w:val="single"/>
        </w:rPr>
        <w:t xml:space="preserve">15 </w:t>
      </w:r>
      <w:r>
        <w:t>日，预计完成时间：</w:t>
      </w:r>
      <w:r>
        <w:rPr>
          <w:color w:val="FF0000"/>
          <w:u w:val="single"/>
        </w:rPr>
        <w:t>__</w:t>
      </w:r>
      <w:r>
        <w:rPr>
          <w:rFonts w:hint="eastAsia"/>
          <w:color w:val="FF0000"/>
          <w:u w:val="single"/>
        </w:rPr>
        <w:t>2024</w:t>
      </w:r>
      <w:r>
        <w:rPr>
          <w:color w:val="FF0000"/>
          <w:u w:val="single"/>
        </w:rPr>
        <w:t>__</w:t>
      </w:r>
      <w:r>
        <w:t>年</w:t>
      </w:r>
      <w:r>
        <w:rPr>
          <w:color w:val="FF0000"/>
          <w:u w:val="single"/>
        </w:rPr>
        <w:t>_</w:t>
      </w:r>
      <w:r>
        <w:rPr>
          <w:rFonts w:hint="eastAsia"/>
          <w:color w:val="FF0000"/>
          <w:u w:val="single"/>
        </w:rPr>
        <w:t>11</w:t>
      </w:r>
      <w:r>
        <w:rPr>
          <w:color w:val="FF0000"/>
          <w:u w:val="single"/>
        </w:rPr>
        <w:t>_</w:t>
      </w:r>
      <w:r>
        <w:t>月</w:t>
      </w:r>
      <w:r>
        <w:rPr>
          <w:rFonts w:hint="eastAsia"/>
          <w:color w:val="FF0000"/>
          <w:u w:val="single"/>
        </w:rPr>
        <w:t>28</w:t>
      </w:r>
      <w:r>
        <w:t>日。</w:t>
      </w:r>
    </w:p>
    <w:p>
      <w:pPr>
        <w:jc w:val="left"/>
        <w:rPr>
          <w:rFonts w:hint="eastAsia"/>
        </w:rPr>
      </w:pPr>
      <w:r>
        <w:t>4. 合同价格</w:t>
      </w:r>
    </w:p>
    <w:p>
      <w:pPr>
        <w:jc w:val="left"/>
        <w:rPr>
          <w:rFonts w:hint="eastAsia"/>
        </w:rPr>
      </w:pPr>
      <w:r>
        <w:rPr>
          <w:rFonts w:hint="eastAsia"/>
        </w:rPr>
        <w:t>本合同价格为人民币</w:t>
      </w:r>
      <w:r>
        <w:rPr>
          <w:rFonts w:hint="eastAsia"/>
          <w:color w:val="FF0000"/>
          <w:u w:val="single"/>
        </w:rPr>
        <w:t>壹仟肆佰叁拾伍万贰仟</w:t>
      </w:r>
      <w:r>
        <w:t>元整（￥</w:t>
      </w:r>
      <w:r>
        <w:rPr>
          <w:rFonts w:hint="eastAsia" w:ascii="Times New Roman"/>
          <w:color w:val="FF0000"/>
          <w:kern w:val="0"/>
          <w:u w:val="single"/>
        </w:rPr>
        <w:t>14352000.00</w:t>
      </w:r>
      <w:r>
        <w:t>）（含税），</w:t>
      </w:r>
      <w:r>
        <w:rPr>
          <w:rFonts w:hint="eastAsia"/>
        </w:rPr>
        <w:t>税金为人民币</w:t>
      </w:r>
      <w:r>
        <w:rPr>
          <w:rFonts w:hint="eastAsia"/>
          <w:u w:val="single"/>
        </w:rPr>
        <w:t>壹佰肆拾万伍仟壹佰零贰元玖角贰分</w:t>
      </w:r>
      <w:r>
        <w:t>整（￥</w:t>
      </w:r>
      <w:r>
        <w:rPr>
          <w:rFonts w:hint="eastAsia"/>
          <w:u w:val="single"/>
        </w:rPr>
        <w:t xml:space="preserve">1405102.92 </w:t>
      </w:r>
      <w:r>
        <w:t>）</w:t>
      </w:r>
      <w:r>
        <w:rPr>
          <w:rFonts w:hint="eastAsia"/>
        </w:rPr>
        <w:t>不含税价格为人民币</w:t>
      </w:r>
      <w:r>
        <w:rPr>
          <w:rFonts w:hint="eastAsia"/>
          <w:color w:val="FF0000"/>
          <w:u w:val="single"/>
        </w:rPr>
        <w:t>壹仟贰佰玖拾肆万陆仟捌佰玖拾柒元零捌分</w:t>
      </w:r>
      <w:r>
        <w:t>整（￥</w:t>
      </w:r>
      <w:r>
        <w:rPr>
          <w:rFonts w:hint="eastAsia"/>
          <w:color w:val="FF0000"/>
          <w:kern w:val="0"/>
          <w:u w:val="single"/>
        </w:rPr>
        <w:t>12946897.08</w:t>
      </w:r>
      <w:r>
        <w:t>）</w:t>
      </w:r>
      <w:r>
        <w:rPr>
          <w:rFonts w:hint="eastAsia"/>
        </w:rPr>
        <w:t>。</w:t>
      </w:r>
    </w:p>
    <w:p>
      <w:pPr>
        <w:jc w:val="left"/>
        <w:rPr>
          <w:rFonts w:hint="eastAsia"/>
        </w:rPr>
      </w:pPr>
      <w:r>
        <w:rPr>
          <w:rFonts w:hint="eastAsia"/>
        </w:rPr>
        <w:t>其中</w:t>
      </w:r>
      <w:r>
        <w:t>暂列金为人民币__</w:t>
      </w:r>
      <w:r>
        <w:rPr>
          <w:rFonts w:hint="eastAsia"/>
          <w:u w:val="single"/>
        </w:rPr>
        <w:t>伍拾万</w:t>
      </w:r>
      <w:r>
        <w:t>元整（￥</w:t>
      </w:r>
      <w:r>
        <w:rPr>
          <w:u w:val="single"/>
        </w:rPr>
        <w:t>__</w:t>
      </w:r>
      <w:r>
        <w:rPr>
          <w:rFonts w:hint="eastAsia"/>
          <w:u w:val="single"/>
        </w:rPr>
        <w:t>500000</w:t>
      </w:r>
      <w:r>
        <w:rPr>
          <w:u w:val="single"/>
        </w:rPr>
        <w:t>_</w:t>
      </w:r>
      <w:r>
        <w:t>.00）。</w:t>
      </w:r>
    </w:p>
    <w:p>
      <w:pPr>
        <w:jc w:val="left"/>
        <w:rPr>
          <w:rFonts w:hint="eastAsia"/>
        </w:rPr>
      </w:pPr>
      <w:r>
        <w:t>5. 合同生效</w:t>
      </w:r>
    </w:p>
    <w:p>
      <w:pPr>
        <w:jc w:val="left"/>
        <w:rPr>
          <w:rFonts w:hint="eastAsia"/>
        </w:rPr>
      </w:pPr>
      <w:r>
        <w:rPr>
          <w:rFonts w:hint="eastAsia"/>
        </w:rPr>
        <w:t>本合同在以下条件全部满足后生效：</w:t>
      </w:r>
    </w:p>
    <w:p>
      <w:pPr>
        <w:jc w:val="left"/>
        <w:rPr>
          <w:rFonts w:hint="eastAsia"/>
        </w:rPr>
      </w:pPr>
      <w:r>
        <w:rPr>
          <w:rFonts w:hint="eastAsia"/>
        </w:rPr>
        <w:t>（</w:t>
      </w:r>
      <w:r>
        <w:t>1）合同协议书经双方法定代表人（负责人）或其授权代表签字并加盖单位公章或合同专用章；</w:t>
      </w:r>
    </w:p>
    <w:p>
      <w:pPr>
        <w:jc w:val="left"/>
        <w:rPr>
          <w:rFonts w:hint="eastAsia"/>
        </w:rPr>
      </w:pPr>
      <w:r>
        <w:rPr>
          <w:rFonts w:hint="eastAsia"/>
        </w:rPr>
        <w:t>（</w:t>
      </w:r>
      <w:r>
        <w:t>2）______________________</w:t>
      </w:r>
      <w:r>
        <w:rPr>
          <w:rFonts w:hint="eastAsia"/>
        </w:rPr>
        <w:t>/</w:t>
      </w:r>
      <w:r>
        <w:t>_______________________</w:t>
      </w:r>
    </w:p>
    <w:p>
      <w:pPr>
        <w:jc w:val="left"/>
        <w:rPr>
          <w:rFonts w:hint="eastAsia"/>
        </w:rPr>
      </w:pPr>
      <w:r>
        <w:t>6. 合同份数</w:t>
      </w:r>
    </w:p>
    <w:p>
      <w:pPr>
        <w:jc w:val="left"/>
        <w:rPr>
          <w:rFonts w:hint="eastAsia"/>
        </w:rPr>
      </w:pPr>
      <w:r>
        <w:rPr>
          <w:rFonts w:hint="eastAsia"/>
        </w:rPr>
        <w:t>本合同一式</w:t>
      </w:r>
      <w:r>
        <w:t>___</w:t>
      </w:r>
      <w:r>
        <w:rPr>
          <w:rFonts w:hint="eastAsia"/>
        </w:rPr>
        <w:t>6</w:t>
      </w:r>
      <w:r>
        <w:t>____份，发包人执___</w:t>
      </w:r>
      <w:r>
        <w:rPr>
          <w:rFonts w:hint="eastAsia"/>
        </w:rPr>
        <w:t>3</w:t>
      </w:r>
      <w:r>
        <w:t>___份，承包人执___</w:t>
      </w:r>
      <w:r>
        <w:rPr>
          <w:rFonts w:hint="eastAsia"/>
        </w:rPr>
        <w:t>3</w:t>
      </w:r>
      <w:r>
        <w:t>___份，具有同等法律效力。</w:t>
      </w:r>
    </w:p>
    <w:p>
      <w:pPr>
        <w:pStyle w:val="2"/>
        <w:spacing w:before="312"/>
        <w:ind w:firstLine="720"/>
        <w:rPr>
          <w:rFonts w:hint="eastAsia"/>
          <w:lang w:eastAsia="zh-CN"/>
        </w:rPr>
      </w:pPr>
      <w:bookmarkStart w:id="705" w:name="_Toc5776"/>
    </w:p>
    <w:p>
      <w:pPr>
        <w:pStyle w:val="2"/>
        <w:spacing w:before="312"/>
        <w:ind w:firstLine="3534" w:firstLineChars="800"/>
        <w:jc w:val="both"/>
        <w:rPr>
          <w:rFonts w:hint="eastAsia"/>
        </w:rPr>
      </w:pPr>
      <w:bookmarkStart w:id="706" w:name="_Toc17957"/>
      <w:r>
        <w:rPr>
          <w:rFonts w:hint="eastAsia"/>
        </w:rPr>
        <w:t>签 署 页</w:t>
      </w:r>
      <w:bookmarkEnd w:id="705"/>
      <w:bookmarkEnd w:id="706"/>
    </w:p>
    <w:tbl>
      <w:tblPr>
        <w:tblStyle w:val="13"/>
        <w:tblW w:w="9198" w:type="dxa"/>
        <w:tblInd w:w="0" w:type="dxa"/>
        <w:tblLayout w:type="fixed"/>
        <w:tblCellMar>
          <w:top w:w="0" w:type="dxa"/>
          <w:left w:w="108" w:type="dxa"/>
          <w:bottom w:w="0" w:type="dxa"/>
          <w:right w:w="108" w:type="dxa"/>
        </w:tblCellMar>
      </w:tblPr>
      <w:tblGrid>
        <w:gridCol w:w="4595"/>
        <w:gridCol w:w="4603"/>
      </w:tblGrid>
      <w:tr>
        <w:tblPrEx>
          <w:tblCellMar>
            <w:top w:w="0" w:type="dxa"/>
            <w:left w:w="108" w:type="dxa"/>
            <w:bottom w:w="0" w:type="dxa"/>
            <w:right w:w="108" w:type="dxa"/>
          </w:tblCellMar>
        </w:tblPrEx>
        <w:trPr>
          <w:cantSplit/>
        </w:trPr>
        <w:tc>
          <w:tcPr>
            <w:tcW w:w="4595" w:type="dxa"/>
            <w:vAlign w:val="bottom"/>
          </w:tcPr>
          <w:p>
            <w:pPr>
              <w:pStyle w:val="21"/>
              <w:tabs>
                <w:tab w:val="left" w:pos="709"/>
                <w:tab w:val="clear" w:pos="941"/>
              </w:tabs>
              <w:snapToGrid w:val="0"/>
              <w:spacing w:before="0" w:after="0"/>
              <w:ind w:firstLine="482"/>
              <w:outlineLvl w:val="9"/>
              <w:rPr>
                <w:rFonts w:hint="eastAsia"/>
                <w:b/>
                <w:bCs/>
                <w:szCs w:val="24"/>
              </w:rPr>
            </w:pPr>
            <w:bookmarkStart w:id="707" w:name="_Toc165974105"/>
            <w:bookmarkStart w:id="708" w:name="_Toc15881"/>
            <w:bookmarkStart w:id="709" w:name="_Toc1919031831"/>
            <w:bookmarkStart w:id="710" w:name="_Toc171044627"/>
            <w:bookmarkStart w:id="711" w:name="_Toc1958984105"/>
            <w:bookmarkStart w:id="712" w:name="_Toc1820914765"/>
            <w:bookmarkStart w:id="713" w:name="_Toc8322"/>
            <w:r>
              <w:rPr>
                <w:rFonts w:hint="eastAsia"/>
                <w:b/>
                <w:bCs/>
                <w:szCs w:val="24"/>
              </w:rPr>
              <w:t>发包人（盖章）：</w:t>
            </w:r>
            <w:bookmarkEnd w:id="707"/>
            <w:bookmarkEnd w:id="708"/>
            <w:bookmarkEnd w:id="709"/>
            <w:bookmarkEnd w:id="710"/>
            <w:bookmarkEnd w:id="711"/>
            <w:bookmarkEnd w:id="712"/>
            <w:bookmarkEnd w:id="713"/>
            <w:r>
              <w:rPr>
                <w:rFonts w:hint="eastAsia"/>
                <w:b/>
                <w:bCs/>
                <w:szCs w:val="24"/>
              </w:rPr>
              <w:t xml:space="preserve">     </w:t>
            </w:r>
          </w:p>
        </w:tc>
        <w:tc>
          <w:tcPr>
            <w:tcW w:w="4603" w:type="dxa"/>
            <w:vAlign w:val="bottom"/>
          </w:tcPr>
          <w:p>
            <w:pPr>
              <w:pStyle w:val="21"/>
              <w:tabs>
                <w:tab w:val="left" w:pos="709"/>
                <w:tab w:val="clear" w:pos="941"/>
              </w:tabs>
              <w:snapToGrid w:val="0"/>
              <w:spacing w:before="0" w:after="0"/>
              <w:ind w:firstLine="482"/>
              <w:outlineLvl w:val="9"/>
              <w:rPr>
                <w:rFonts w:hint="eastAsia"/>
                <w:b/>
                <w:bCs/>
                <w:szCs w:val="24"/>
              </w:rPr>
            </w:pPr>
            <w:bookmarkStart w:id="714" w:name="_Toc1574060578"/>
            <w:bookmarkStart w:id="715" w:name="_Toc2093008929"/>
            <w:bookmarkStart w:id="716" w:name="_Toc1413926303"/>
            <w:bookmarkStart w:id="717" w:name="_Toc22943"/>
            <w:bookmarkStart w:id="718" w:name="_Toc111089324"/>
            <w:bookmarkStart w:id="719" w:name="_Toc325001958"/>
            <w:bookmarkStart w:id="720" w:name="_Toc9983"/>
            <w:r>
              <w:rPr>
                <w:rFonts w:hint="eastAsia"/>
                <w:b/>
                <w:bCs/>
                <w:szCs w:val="24"/>
              </w:rPr>
              <w:t>承包人（盖章）：</w:t>
            </w:r>
            <w:bookmarkEnd w:id="714"/>
            <w:bookmarkEnd w:id="715"/>
            <w:bookmarkEnd w:id="716"/>
            <w:bookmarkEnd w:id="717"/>
            <w:bookmarkEnd w:id="718"/>
            <w:bookmarkEnd w:id="719"/>
            <w:bookmarkEnd w:id="720"/>
            <w:r>
              <w:rPr>
                <w:rFonts w:hint="eastAsia"/>
                <w:b/>
                <w:bCs/>
                <w:szCs w:val="24"/>
              </w:rPr>
              <w:t xml:space="preserve"> </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int="eastAsia" w:cs="Courier New"/>
                <w:spacing w:val="6"/>
                <w:sz w:val="24"/>
              </w:rPr>
            </w:pPr>
            <w:r>
              <w:rPr>
                <w:rFonts w:hint="eastAsia"/>
                <w:sz w:val="24"/>
              </w:rPr>
              <w:t>法定代表人(负责人)或</w:t>
            </w:r>
          </w:p>
          <w:p>
            <w:pPr>
              <w:adjustRightInd w:val="0"/>
              <w:snapToGrid w:val="0"/>
              <w:ind w:firstLine="480"/>
              <w:rPr>
                <w:rFonts w:hint="eastAsia" w:cs="Courier New"/>
                <w:spacing w:val="6"/>
                <w:sz w:val="24"/>
              </w:rPr>
            </w:pPr>
            <w:r>
              <w:rPr>
                <w:rFonts w:hint="eastAsia"/>
                <w:sz w:val="24"/>
              </w:rPr>
              <w:t>授权代表（签字）：</w:t>
            </w:r>
          </w:p>
        </w:tc>
        <w:tc>
          <w:tcPr>
            <w:tcW w:w="4603" w:type="dxa"/>
            <w:vAlign w:val="bottom"/>
          </w:tcPr>
          <w:p>
            <w:pPr>
              <w:adjustRightInd w:val="0"/>
              <w:snapToGrid w:val="0"/>
              <w:ind w:firstLine="480"/>
              <w:rPr>
                <w:rFonts w:hint="eastAsia" w:cs="Courier New"/>
                <w:spacing w:val="6"/>
                <w:sz w:val="24"/>
              </w:rPr>
            </w:pPr>
            <w:r>
              <w:rPr>
                <w:rFonts w:hint="eastAsia"/>
                <w:sz w:val="24"/>
              </w:rPr>
              <w:t>法定代表人(负责人)或</w:t>
            </w:r>
          </w:p>
          <w:p>
            <w:pPr>
              <w:adjustRightInd w:val="0"/>
              <w:snapToGrid w:val="0"/>
              <w:ind w:firstLine="480"/>
              <w:rPr>
                <w:rFonts w:hint="eastAsia" w:cs="Courier New"/>
                <w:spacing w:val="6"/>
                <w:sz w:val="24"/>
              </w:rPr>
            </w:pPr>
            <w:r>
              <w:rPr>
                <w:rFonts w:hint="eastAsia"/>
                <w:sz w:val="24"/>
              </w:rPr>
              <w:t>授权代表（签字）：</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int="eastAsia"/>
                <w:sz w:val="24"/>
              </w:rPr>
            </w:pPr>
            <w:r>
              <w:rPr>
                <w:rFonts w:hint="eastAsia"/>
                <w:sz w:val="24"/>
              </w:rPr>
              <w:t>签订日期：</w:t>
            </w:r>
          </w:p>
        </w:tc>
        <w:tc>
          <w:tcPr>
            <w:tcW w:w="4603" w:type="dxa"/>
            <w:vAlign w:val="bottom"/>
          </w:tcPr>
          <w:p>
            <w:pPr>
              <w:adjustRightInd w:val="0"/>
              <w:snapToGrid w:val="0"/>
              <w:ind w:firstLine="480"/>
              <w:rPr>
                <w:rFonts w:hint="eastAsia"/>
                <w:sz w:val="24"/>
              </w:rPr>
            </w:pPr>
            <w:r>
              <w:rPr>
                <w:rFonts w:hint="eastAsia"/>
                <w:sz w:val="24"/>
              </w:rPr>
              <w:t>签订日期：</w:t>
            </w:r>
          </w:p>
        </w:tc>
      </w:tr>
      <w:tr>
        <w:tblPrEx>
          <w:tblCellMar>
            <w:top w:w="0" w:type="dxa"/>
            <w:left w:w="108" w:type="dxa"/>
            <w:bottom w:w="0" w:type="dxa"/>
            <w:right w:w="108" w:type="dxa"/>
          </w:tblCellMar>
        </w:tblPrEx>
        <w:trPr>
          <w:cantSplit/>
        </w:trPr>
        <w:tc>
          <w:tcPr>
            <w:tcW w:w="4595" w:type="dxa"/>
            <w:vAlign w:val="bottom"/>
          </w:tcPr>
          <w:p>
            <w:pPr>
              <w:pStyle w:val="12"/>
              <w:widowControl w:val="0"/>
              <w:spacing w:before="0" w:beforeAutospacing="0" w:after="0" w:afterAutospacing="0"/>
              <w:ind w:firstLine="480"/>
              <w:jc w:val="both"/>
            </w:pPr>
            <w:r>
              <w:t>地址：</w:t>
            </w:r>
            <w:r>
              <w:rPr>
                <w:kern w:val="2"/>
                <w:szCs w:val="24"/>
                <w:lang w:bidi="ar"/>
              </w:rPr>
              <w:t>北京市朝阳区金泰国际大厦B座1501</w:t>
            </w:r>
          </w:p>
        </w:tc>
        <w:tc>
          <w:tcPr>
            <w:tcW w:w="4603" w:type="dxa"/>
            <w:vAlign w:val="bottom"/>
          </w:tcPr>
          <w:p>
            <w:pPr>
              <w:adjustRightInd w:val="0"/>
              <w:snapToGrid w:val="0"/>
              <w:ind w:firstLine="480"/>
              <w:rPr>
                <w:rFonts w:hint="eastAsia"/>
                <w:sz w:val="24"/>
              </w:rPr>
            </w:pPr>
            <w:r>
              <w:rPr>
                <w:rFonts w:hint="eastAsia"/>
                <w:sz w:val="24"/>
              </w:rPr>
              <w:t>地址：</w:t>
            </w:r>
            <w:r>
              <w:rPr>
                <w:rFonts w:hint="eastAsia"/>
                <w:sz w:val="24"/>
                <w:szCs w:val="24"/>
                <w:lang w:bidi="ar"/>
              </w:rPr>
              <w:t>河南省许昌市许继大道1298号</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int="eastAsia"/>
                <w:sz w:val="24"/>
              </w:rPr>
            </w:pPr>
            <w:r>
              <w:rPr>
                <w:rFonts w:hint="eastAsia"/>
                <w:sz w:val="24"/>
              </w:rPr>
              <w:t>邮编：</w:t>
            </w:r>
          </w:p>
        </w:tc>
        <w:tc>
          <w:tcPr>
            <w:tcW w:w="4603" w:type="dxa"/>
            <w:vAlign w:val="bottom"/>
          </w:tcPr>
          <w:p>
            <w:pPr>
              <w:adjustRightInd w:val="0"/>
              <w:snapToGrid w:val="0"/>
              <w:ind w:firstLine="480"/>
              <w:rPr>
                <w:rFonts w:hint="eastAsia"/>
                <w:sz w:val="24"/>
              </w:rPr>
            </w:pPr>
            <w:r>
              <w:rPr>
                <w:rFonts w:hint="eastAsia"/>
                <w:sz w:val="24"/>
              </w:rPr>
              <w:t>邮编：461000</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int="eastAsia"/>
                <w:sz w:val="24"/>
              </w:rPr>
            </w:pPr>
            <w:r>
              <w:rPr>
                <w:rFonts w:hint="eastAsia"/>
                <w:sz w:val="24"/>
              </w:rPr>
              <w:t>联系人：</w:t>
            </w:r>
            <w:r>
              <w:rPr>
                <w:rFonts w:hint="eastAsia"/>
                <w:sz w:val="24"/>
                <w:szCs w:val="24"/>
                <w:lang w:bidi="ar"/>
              </w:rPr>
              <w:t>魏永涛</w:t>
            </w:r>
          </w:p>
        </w:tc>
        <w:tc>
          <w:tcPr>
            <w:tcW w:w="4603" w:type="dxa"/>
            <w:vAlign w:val="bottom"/>
          </w:tcPr>
          <w:p>
            <w:pPr>
              <w:adjustRightInd w:val="0"/>
              <w:snapToGrid w:val="0"/>
              <w:ind w:firstLine="480"/>
              <w:rPr>
                <w:rFonts w:hint="eastAsia"/>
                <w:sz w:val="24"/>
              </w:rPr>
            </w:pPr>
            <w:r>
              <w:rPr>
                <w:rFonts w:hint="eastAsia"/>
                <w:sz w:val="24"/>
              </w:rPr>
              <w:t>联系人：朱江伟</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int="eastAsia"/>
                <w:sz w:val="24"/>
              </w:rPr>
            </w:pPr>
            <w:r>
              <w:rPr>
                <w:rFonts w:hint="eastAsia"/>
                <w:sz w:val="24"/>
              </w:rPr>
              <w:t>电话：</w:t>
            </w:r>
            <w:r>
              <w:rPr>
                <w:rFonts w:hint="eastAsia"/>
                <w:sz w:val="24"/>
                <w:szCs w:val="24"/>
                <w:lang w:bidi="ar"/>
              </w:rPr>
              <w:t xml:space="preserve">13002232320 </w:t>
            </w:r>
          </w:p>
        </w:tc>
        <w:tc>
          <w:tcPr>
            <w:tcW w:w="4603" w:type="dxa"/>
            <w:vAlign w:val="bottom"/>
          </w:tcPr>
          <w:p>
            <w:pPr>
              <w:adjustRightInd w:val="0"/>
              <w:snapToGrid w:val="0"/>
              <w:ind w:firstLine="480"/>
              <w:rPr>
                <w:rFonts w:hint="eastAsia"/>
                <w:sz w:val="24"/>
              </w:rPr>
            </w:pPr>
            <w:r>
              <w:rPr>
                <w:rFonts w:hint="eastAsia"/>
                <w:sz w:val="24"/>
              </w:rPr>
              <w:t>电话：15925628848</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int="eastAsia" w:cs="Courier New"/>
                <w:sz w:val="24"/>
              </w:rPr>
            </w:pPr>
            <w:r>
              <w:rPr>
                <w:rFonts w:hint="eastAsia"/>
                <w:sz w:val="24"/>
              </w:rPr>
              <w:t xml:space="preserve">Email:  </w:t>
            </w:r>
            <w:r>
              <w:rPr>
                <w:rStyle w:val="16"/>
                <w:rFonts w:hint="eastAsia"/>
                <w:sz w:val="24"/>
                <w:szCs w:val="24"/>
                <w:u w:val="none"/>
                <w:lang w:bidi="ar"/>
              </w:rPr>
              <w:t>864868483@qq.com</w:t>
            </w:r>
          </w:p>
        </w:tc>
        <w:tc>
          <w:tcPr>
            <w:tcW w:w="4603" w:type="dxa"/>
            <w:vAlign w:val="bottom"/>
          </w:tcPr>
          <w:p>
            <w:pPr>
              <w:adjustRightInd w:val="0"/>
              <w:snapToGrid w:val="0"/>
              <w:ind w:firstLine="480"/>
              <w:rPr>
                <w:rFonts w:hint="eastAsia" w:cs="Courier New"/>
                <w:sz w:val="24"/>
              </w:rPr>
            </w:pPr>
            <w:r>
              <w:rPr>
                <w:rFonts w:hint="eastAsia"/>
                <w:sz w:val="24"/>
              </w:rPr>
              <w:t>Email:zhujw0829@163.com</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int="eastAsia" w:cs="Courier New"/>
                <w:sz w:val="24"/>
              </w:rPr>
            </w:pPr>
            <w:r>
              <w:rPr>
                <w:rFonts w:hint="eastAsia"/>
                <w:sz w:val="24"/>
              </w:rPr>
              <w:t>开户银行：中国银行西翠路支行</w:t>
            </w:r>
          </w:p>
        </w:tc>
        <w:tc>
          <w:tcPr>
            <w:tcW w:w="4603" w:type="dxa"/>
            <w:vAlign w:val="bottom"/>
          </w:tcPr>
          <w:p>
            <w:pPr>
              <w:adjustRightInd w:val="0"/>
              <w:snapToGrid w:val="0"/>
              <w:ind w:firstLine="480"/>
              <w:rPr>
                <w:rFonts w:hAnsi="Courier New" w:cs="Courier New"/>
                <w:sz w:val="24"/>
              </w:rPr>
            </w:pPr>
            <w:r>
              <w:rPr>
                <w:rFonts w:hint="eastAsia"/>
                <w:sz w:val="24"/>
              </w:rPr>
              <w:t xml:space="preserve">开户银行： 中国银行许昌许继大道支行 </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Ansi="Courier New" w:cs="Courier New"/>
                <w:sz w:val="24"/>
              </w:rPr>
            </w:pPr>
            <w:r>
              <w:rPr>
                <w:rFonts w:hint="eastAsia"/>
                <w:sz w:val="24"/>
              </w:rPr>
              <w:t>账号：3363  6602  7810</w:t>
            </w:r>
          </w:p>
        </w:tc>
        <w:tc>
          <w:tcPr>
            <w:tcW w:w="4603" w:type="dxa"/>
            <w:vAlign w:val="bottom"/>
          </w:tcPr>
          <w:p>
            <w:pPr>
              <w:adjustRightInd w:val="0"/>
              <w:snapToGrid w:val="0"/>
              <w:ind w:firstLine="480"/>
              <w:rPr>
                <w:rFonts w:hAnsi="Courier New" w:cs="Courier New"/>
                <w:sz w:val="24"/>
              </w:rPr>
            </w:pPr>
            <w:r>
              <w:rPr>
                <w:rFonts w:hint="eastAsia"/>
                <w:sz w:val="24"/>
              </w:rPr>
              <w:t xml:space="preserve">账号：2585 8803 0913 </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Ansi="Courier New" w:cs="Courier New"/>
                <w:sz w:val="24"/>
              </w:rPr>
            </w:pPr>
            <w:r>
              <w:rPr>
                <w:rFonts w:hint="eastAsia"/>
                <w:sz w:val="24"/>
              </w:rPr>
              <w:t>税号： 911  101  086  336  536  85R</w:t>
            </w:r>
          </w:p>
        </w:tc>
        <w:tc>
          <w:tcPr>
            <w:tcW w:w="4603" w:type="dxa"/>
            <w:vAlign w:val="bottom"/>
          </w:tcPr>
          <w:p>
            <w:pPr>
              <w:adjustRightInd w:val="0"/>
              <w:snapToGrid w:val="0"/>
              <w:ind w:firstLine="480"/>
              <w:rPr>
                <w:rFonts w:hAnsi="Courier New" w:cs="Courier New"/>
                <w:sz w:val="24"/>
              </w:rPr>
            </w:pPr>
            <w:r>
              <w:rPr>
                <w:rFonts w:hint="eastAsia"/>
                <w:sz w:val="24"/>
              </w:rPr>
              <w:t xml:space="preserve">税号：9141 0000 1742 7320 1L  </w:t>
            </w:r>
          </w:p>
        </w:tc>
      </w:tr>
      <w:tr>
        <w:tblPrEx>
          <w:tblCellMar>
            <w:top w:w="0" w:type="dxa"/>
            <w:left w:w="108" w:type="dxa"/>
            <w:bottom w:w="0" w:type="dxa"/>
            <w:right w:w="108" w:type="dxa"/>
          </w:tblCellMar>
        </w:tblPrEx>
        <w:trPr>
          <w:cantSplit/>
        </w:trPr>
        <w:tc>
          <w:tcPr>
            <w:tcW w:w="4595" w:type="dxa"/>
            <w:vAlign w:val="bottom"/>
          </w:tcPr>
          <w:p>
            <w:pPr>
              <w:adjustRightInd w:val="0"/>
              <w:snapToGrid w:val="0"/>
              <w:ind w:firstLine="480"/>
              <w:rPr>
                <w:rFonts w:hAnsi="Courier New" w:cs="Courier New"/>
                <w:sz w:val="24"/>
              </w:rPr>
            </w:pPr>
            <w:r>
              <w:rPr>
                <w:rFonts w:hint="eastAsia"/>
                <w:sz w:val="24"/>
              </w:rPr>
              <w:t>开户行地址：</w:t>
            </w:r>
          </w:p>
        </w:tc>
        <w:tc>
          <w:tcPr>
            <w:tcW w:w="4603" w:type="dxa"/>
            <w:vAlign w:val="bottom"/>
          </w:tcPr>
          <w:p>
            <w:pPr>
              <w:adjustRightInd w:val="0"/>
              <w:snapToGrid w:val="0"/>
              <w:ind w:firstLine="480"/>
              <w:rPr>
                <w:rFonts w:hAnsi="Courier New" w:cs="Courier New"/>
                <w:sz w:val="24"/>
              </w:rPr>
            </w:pPr>
            <w:r>
              <w:rPr>
                <w:rFonts w:hint="eastAsia"/>
                <w:sz w:val="24"/>
              </w:rPr>
              <w:t>开户行地址：</w:t>
            </w:r>
          </w:p>
        </w:tc>
      </w:tr>
    </w:tbl>
    <w:p>
      <w:pPr>
        <w:snapToGrid w:val="0"/>
        <w:ind w:firstLine="480"/>
        <w:rPr>
          <w:rFonts w:hint="eastAsia" w:eastAsia="华文仿宋"/>
          <w:b/>
          <w:sz w:val="24"/>
          <w:szCs w:val="24"/>
        </w:rPr>
      </w:pPr>
    </w:p>
    <w:p>
      <w:pPr>
        <w:jc w:val="left"/>
        <w:rPr>
          <w:rFonts w:hint="eastAsia"/>
        </w:rPr>
        <w:sectPr>
          <w:type w:val="continuous"/>
          <w:pgSz w:w="11928" w:h="16870"/>
          <w:pgMar w:top="1420" w:right="1420" w:bottom="1420" w:left="1420" w:header="966" w:footer="852" w:gutter="0"/>
          <w:cols w:space="720" w:num="1"/>
          <w:docGrid w:type="lines" w:linePitch="312" w:charSpace="0"/>
        </w:sectPr>
      </w:pPr>
    </w:p>
    <w:p>
      <w:pPr>
        <w:pStyle w:val="19"/>
      </w:pPr>
      <w:bookmarkStart w:id="721" w:name="_Toc120689439"/>
      <w:bookmarkStart w:id="722" w:name="_Toc11225"/>
      <w:bookmarkStart w:id="723" w:name="_Toc18406"/>
      <w:bookmarkStart w:id="724" w:name="_Toc170377985"/>
      <w:bookmarkStart w:id="725" w:name="_Toc8326"/>
      <w:bookmarkStart w:id="726" w:name="_Toc29630"/>
      <w:r>
        <w:t>附件二：履约保证金格式</w:t>
      </w:r>
      <w:bookmarkEnd w:id="721"/>
      <w:bookmarkEnd w:id="722"/>
      <w:bookmarkEnd w:id="723"/>
      <w:bookmarkEnd w:id="724"/>
      <w:bookmarkEnd w:id="725"/>
      <w:bookmarkEnd w:id="726"/>
    </w:p>
    <w:p>
      <w:pPr>
        <w:jc w:val="left"/>
        <w:rPr>
          <w:rFonts w:hint="eastAsia"/>
        </w:rPr>
      </w:pPr>
      <w:bookmarkStart w:id="727" w:name="_Hlk120684392"/>
      <w:r>
        <w:rPr>
          <w:rFonts w:hint="eastAsia"/>
        </w:rPr>
        <w:t>建议采用见索即付履约保函，参考格式如下：具体以各银行的格式为准。</w:t>
      </w:r>
    </w:p>
    <w:p>
      <w:pPr>
        <w:jc w:val="left"/>
        <w:rPr>
          <w:rFonts w:hint="eastAsia"/>
        </w:rPr>
      </w:pPr>
    </w:p>
    <w:p>
      <w:pPr>
        <w:ind w:firstLine="562"/>
        <w:jc w:val="center"/>
        <w:rPr>
          <w:rFonts w:hint="eastAsia"/>
          <w:b/>
          <w:bCs/>
          <w:sz w:val="28"/>
          <w:szCs w:val="28"/>
        </w:rPr>
      </w:pPr>
      <w:r>
        <w:rPr>
          <w:rFonts w:hint="eastAsia"/>
          <w:b/>
          <w:bCs/>
          <w:sz w:val="28"/>
          <w:szCs w:val="28"/>
        </w:rPr>
        <w:t>见索即付履约保函</w:t>
      </w:r>
    </w:p>
    <w:p>
      <w:pPr>
        <w:wordWrap w:val="0"/>
        <w:jc w:val="right"/>
        <w:rPr>
          <w:rFonts w:hint="eastAsia"/>
        </w:rPr>
      </w:pPr>
      <w:r>
        <w:rPr>
          <w:rFonts w:hint="eastAsia"/>
        </w:rPr>
        <w:t xml:space="preserve"> </w:t>
      </w:r>
      <w:r>
        <w:t xml:space="preserve">                    </w:t>
      </w:r>
      <w:r>
        <w:rPr>
          <w:rFonts w:hint="eastAsia"/>
        </w:rPr>
        <w:t>保函编号：</w:t>
      </w:r>
      <w:r>
        <w:rPr>
          <w:rFonts w:hint="eastAsia"/>
          <w:u w:val="single"/>
        </w:rPr>
        <w:t xml:space="preserve"> </w:t>
      </w:r>
      <w:r>
        <w:rPr>
          <w:u w:val="single"/>
        </w:rPr>
        <w:t xml:space="preserve">        </w:t>
      </w:r>
      <w:r>
        <w:t xml:space="preserve"> </w:t>
      </w:r>
    </w:p>
    <w:p>
      <w:pPr>
        <w:wordWrap w:val="0"/>
        <w:jc w:val="right"/>
        <w:rPr>
          <w:rFonts w:hint="eastAsia"/>
        </w:rPr>
      </w:pPr>
      <w:r>
        <w:rPr>
          <w:rFonts w:hint="eastAsia"/>
        </w:rPr>
        <w:t>开立日期：</w:t>
      </w:r>
      <w:r>
        <w:rPr>
          <w:rFonts w:hint="eastAsia"/>
          <w:u w:val="single"/>
        </w:rPr>
        <w:t xml:space="preserve"> </w:t>
      </w:r>
      <w:r>
        <w:rPr>
          <w:u w:val="single"/>
        </w:rPr>
        <w:t xml:space="preserve">        </w:t>
      </w:r>
      <w:r>
        <w:t xml:space="preserve"> </w:t>
      </w:r>
    </w:p>
    <w:p>
      <w:pPr>
        <w:jc w:val="left"/>
        <w:rPr>
          <w:rFonts w:hint="eastAsia"/>
        </w:rPr>
      </w:pPr>
    </w:p>
    <w:p>
      <w:pPr>
        <w:jc w:val="left"/>
        <w:rPr>
          <w:rFonts w:hint="eastAsia"/>
          <w:u w:val="single"/>
        </w:rPr>
      </w:pPr>
      <w:r>
        <w:rPr>
          <w:rFonts w:hint="eastAsia"/>
        </w:rPr>
        <w:t>致：</w:t>
      </w:r>
      <w:r>
        <w:rPr>
          <w:rFonts w:hint="eastAsia"/>
          <w:u w:val="single"/>
        </w:rPr>
        <w:t xml:space="preserve"> （发包人名称）　　</w:t>
      </w:r>
    </w:p>
    <w:p>
      <w:pPr>
        <w:jc w:val="left"/>
        <w:rPr>
          <w:rFonts w:hint="eastAsia"/>
        </w:rPr>
      </w:pPr>
      <w:r>
        <w:rPr>
          <w:rFonts w:hint="eastAsia"/>
        </w:rPr>
        <w:t>鉴于</w:t>
      </w:r>
      <w:r>
        <w:rPr>
          <w:rFonts w:hint="eastAsia"/>
          <w:u w:val="single"/>
        </w:rPr>
        <w:t xml:space="preserve">            </w:t>
      </w:r>
      <w:r>
        <w:rPr>
          <w:rFonts w:hint="eastAsia"/>
        </w:rPr>
        <w:t>（发包人名称，以下简称“发包人”）与</w:t>
      </w:r>
      <w:r>
        <w:rPr>
          <w:rFonts w:hint="eastAsia"/>
          <w:u w:val="single"/>
        </w:rPr>
        <w:t xml:space="preserve">   </w:t>
      </w:r>
      <w:r>
        <w:rPr>
          <w:u w:val="single"/>
        </w:rPr>
        <w:t xml:space="preserve">   </w:t>
      </w:r>
      <w:r>
        <w:rPr>
          <w:rFonts w:hint="eastAsia"/>
          <w:u w:val="single"/>
        </w:rPr>
        <w:t>  </w:t>
      </w:r>
      <w:r>
        <w:rPr>
          <w:rFonts w:hint="eastAsia"/>
        </w:rPr>
        <w:t>（承包人名称，以下简称“承包人”）于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u w:val="single"/>
        </w:rPr>
        <w:t xml:space="preserve">  </w:t>
      </w:r>
      <w:r>
        <w:rPr>
          <w:rFonts w:hint="eastAsia"/>
          <w:u w:val="single"/>
        </w:rPr>
        <w:t xml:space="preserve"> </w:t>
      </w:r>
      <w:r>
        <w:rPr>
          <w:rFonts w:hint="eastAsia"/>
        </w:rPr>
        <w:t xml:space="preserve">日就 </w:t>
      </w:r>
      <w:r>
        <w:rPr>
          <w:u w:val="single"/>
        </w:rPr>
        <w:t xml:space="preserve">                </w:t>
      </w:r>
      <w:r>
        <w:t xml:space="preserve"> </w:t>
      </w:r>
      <w:r>
        <w:rPr>
          <w:rFonts w:hint="eastAsia"/>
        </w:rPr>
        <w:t>（工程名称）施工及有关事项协商一致共同签订《建设工程施工合同》(下称“基础合同”)。我方愿意无条件地、不可撤销地就承包人履行与你方签订的基础合同，向你方提供见索即付的独立保函。 　</w:t>
      </w:r>
    </w:p>
    <w:p>
      <w:pPr>
        <w:jc w:val="left"/>
        <w:rPr>
          <w:rFonts w:hint="eastAsia"/>
        </w:rPr>
      </w:pPr>
      <w:r>
        <w:rPr>
          <w:rFonts w:hint="eastAsia"/>
        </w:rPr>
        <w:t xml:space="preserve">1.最高担保金额不超过人民币 </w:t>
      </w:r>
      <w:r>
        <w:rPr>
          <w:u w:val="single"/>
        </w:rPr>
        <w:t xml:space="preserve">                 </w:t>
      </w:r>
      <w:r>
        <w:rPr>
          <w:rFonts w:hint="eastAsia"/>
        </w:rPr>
        <w:t>（大写），（¥</w:t>
      </w:r>
      <w:r>
        <w:rPr>
          <w:u w:val="single"/>
        </w:rPr>
        <w:t xml:space="preserve">         </w:t>
      </w:r>
      <w:r>
        <w:rPr>
          <w:rFonts w:hint="eastAsia"/>
        </w:rPr>
        <w:t>元）。</w:t>
      </w:r>
    </w:p>
    <w:p>
      <w:pPr>
        <w:jc w:val="left"/>
        <w:rPr>
          <w:rFonts w:hint="eastAsia"/>
        </w:rPr>
      </w:pPr>
      <w:r>
        <w:rPr>
          <w:rFonts w:hint="eastAsia"/>
        </w:rPr>
        <w:t>2.本保函有效期自本保函生效之日起至你方签发或应签发工程接收证书之日止，但最迟不超过</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日。有效期届满或提前终止，本保函失效，此后提出的索赔均为无效索赔，我方无义务作出任何赔付。</w:t>
      </w:r>
    </w:p>
    <w:p>
      <w:pPr>
        <w:jc w:val="left"/>
        <w:rPr>
          <w:rFonts w:hint="eastAsia"/>
        </w:rPr>
      </w:pPr>
      <w:r>
        <w:rPr>
          <w:rFonts w:hint="eastAsia"/>
        </w:rPr>
        <w:t>3.在本保函有效期内，若发包人向我方索赔，我方将在收到发包人提交的符合条件的单据后十五个工作日内，以上述担保金额为限向发包人支付索赔款项。索赔时发包人应向我方提供的单据包括以下全部：本保函原件、发包人法定代表人签字并加盖发包人公章的书面索赔通知。所有索赔单据必须在我行营业时间内送达我行，即每个银行营业日【</w:t>
      </w:r>
      <w:r>
        <w:t xml:space="preserve">   </w:t>
      </w:r>
      <w:r>
        <w:rPr>
          <w:rFonts w:hint="eastAsia"/>
        </w:rPr>
        <w:t>】点前，否则视为在下一个银行营业日送达。 　　</w:t>
      </w:r>
    </w:p>
    <w:p>
      <w:pPr>
        <w:jc w:val="left"/>
        <w:rPr>
          <w:rFonts w:hint="eastAsia"/>
        </w:rPr>
      </w:pPr>
      <w:r>
        <w:rPr>
          <w:rFonts w:hint="eastAsia"/>
        </w:rPr>
        <w:t xml:space="preserve">4. 本保函效力独立于基础合同。本保函项下的权利不得转让，不得设定担保。发包人未经我方书面同意转让本保函或其项下任何权利，我方在本保函项下的义务与责任全部消灭。 </w:t>
      </w:r>
    </w:p>
    <w:p>
      <w:pPr>
        <w:jc w:val="left"/>
        <w:rPr>
          <w:rFonts w:hint="eastAsia"/>
        </w:rPr>
      </w:pPr>
      <w:r>
        <w:rPr>
          <w:rFonts w:hint="eastAsia"/>
        </w:rPr>
        <w:t>5. 本保函适用《最高人民法院关于审理独立保函纠纷案件若干问题的规定》。因本保函发生的纠纷，可由双方协商解决，协商不成的，任何一方均应向我方所在地法院提起诉讼。 　　</w:t>
      </w:r>
    </w:p>
    <w:p>
      <w:pPr>
        <w:jc w:val="left"/>
        <w:rPr>
          <w:rFonts w:hint="eastAsia"/>
        </w:rPr>
      </w:pPr>
      <w:r>
        <w:rPr>
          <w:rFonts w:hint="eastAsia"/>
        </w:rPr>
        <w:t>6.本保函自我方负责人（或授权代理人）签字并加盖公章之日起生效。</w:t>
      </w:r>
      <w:bookmarkEnd w:id="727"/>
    </w:p>
    <w:p>
      <w:pPr>
        <w:jc w:val="right"/>
        <w:rPr>
          <w:rFonts w:hint="eastAsia"/>
        </w:rPr>
      </w:pPr>
      <w:r>
        <w:rPr>
          <w:rFonts w:hint="eastAsia"/>
        </w:rPr>
        <w:t>担保人名称：</w:t>
      </w:r>
      <w:r>
        <w:t>_______________________________________（盖单位章）</w:t>
      </w:r>
    </w:p>
    <w:p>
      <w:pPr>
        <w:jc w:val="right"/>
        <w:rPr>
          <w:rFonts w:hint="eastAsia"/>
        </w:rPr>
      </w:pPr>
      <w:r>
        <w:rPr>
          <w:rFonts w:hint="eastAsia"/>
        </w:rPr>
        <w:t>法定代表人（单位负责人）或其委托代理人：</w:t>
      </w:r>
      <w:r>
        <w:t>_______________（签字）</w:t>
      </w:r>
    </w:p>
    <w:p>
      <w:pPr>
        <w:jc w:val="right"/>
        <w:rPr>
          <w:rFonts w:hint="eastAsia"/>
        </w:rPr>
      </w:pPr>
      <w:r>
        <w:rPr>
          <w:rFonts w:hint="eastAsia"/>
        </w:rPr>
        <w:t>地</w:t>
      </w:r>
      <w:r>
        <w:t xml:space="preserve">    址：_____________________________________________________</w:t>
      </w:r>
    </w:p>
    <w:p>
      <w:pPr>
        <w:jc w:val="right"/>
        <w:rPr>
          <w:rFonts w:hint="eastAsia"/>
        </w:rPr>
      </w:pPr>
      <w:r>
        <w:rPr>
          <w:rFonts w:hint="eastAsia"/>
        </w:rPr>
        <w:t>邮政编码：</w:t>
      </w:r>
      <w:r>
        <w:t>_____________________________________________________</w:t>
      </w:r>
    </w:p>
    <w:p>
      <w:pPr>
        <w:jc w:val="right"/>
        <w:rPr>
          <w:rFonts w:hint="eastAsia"/>
        </w:rPr>
      </w:pPr>
      <w:r>
        <w:rPr>
          <w:rFonts w:hint="eastAsia"/>
        </w:rPr>
        <w:t>电</w:t>
      </w:r>
      <w:r>
        <w:t xml:space="preserve">    话：_____________________________________________________</w:t>
      </w:r>
    </w:p>
    <w:p>
      <w:pPr>
        <w:jc w:val="right"/>
        <w:rPr>
          <w:rFonts w:hint="eastAsia"/>
        </w:rPr>
      </w:pPr>
      <w:r>
        <w:t>______年______月______日</w:t>
      </w:r>
    </w:p>
    <w:p>
      <w:pPr>
        <w:rPr>
          <w:rFonts w:hint="eastAsia"/>
        </w:rPr>
      </w:pPr>
      <w:r>
        <w:br w:type="page"/>
      </w:r>
    </w:p>
    <w:p>
      <w:pPr>
        <w:pStyle w:val="19"/>
        <w:rPr>
          <w:b w:val="0"/>
        </w:rPr>
      </w:pPr>
      <w:bookmarkStart w:id="728" w:name="_Toc819"/>
      <w:bookmarkStart w:id="729" w:name="_Toc14419"/>
      <w:bookmarkStart w:id="730" w:name="_Toc129848692"/>
      <w:bookmarkStart w:id="731" w:name="_Toc170377986"/>
      <w:bookmarkStart w:id="732" w:name="_Toc18958"/>
      <w:r>
        <w:t>附件</w:t>
      </w:r>
      <w:r>
        <w:rPr>
          <w:b w:val="0"/>
        </w:rPr>
        <w:t>三</w:t>
      </w:r>
      <w:r>
        <w:t>： 性能验收要求</w:t>
      </w:r>
      <w:bookmarkEnd w:id="728"/>
      <w:bookmarkEnd w:id="729"/>
      <w:bookmarkEnd w:id="730"/>
      <w:bookmarkEnd w:id="731"/>
      <w:bookmarkEnd w:id="732"/>
    </w:p>
    <w:p>
      <w:pPr>
        <w:rPr>
          <w:rFonts w:hint="eastAsia"/>
          <w:szCs w:val="21"/>
        </w:rPr>
      </w:pPr>
      <w:r>
        <w:rPr>
          <w:rFonts w:hint="eastAsia"/>
          <w:szCs w:val="21"/>
        </w:rPr>
        <w:t>按照合同专用条款第</w:t>
      </w:r>
      <w:r>
        <w:rPr>
          <w:szCs w:val="21"/>
        </w:rPr>
        <w:t>9</w:t>
      </w:r>
      <w:r>
        <w:rPr>
          <w:rFonts w:hint="eastAsia"/>
          <w:szCs w:val="21"/>
        </w:rPr>
        <w:t>条验收要求和第五章“发包人要求”中相关规程和验收标准的性能检测项目，并根据其检验规则和试验方法，组织实施开展性能检测。</w:t>
      </w:r>
    </w:p>
    <w:p>
      <w:pPr>
        <w:pStyle w:val="9"/>
        <w:rPr>
          <w:rFonts w:hint="eastAsia"/>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ind w:firstLine="422"/>
        <w:rPr>
          <w:rFonts w:hint="eastAsia"/>
          <w:b/>
        </w:rPr>
      </w:pPr>
    </w:p>
    <w:p>
      <w:pPr>
        <w:pStyle w:val="9"/>
        <w:ind w:firstLine="560"/>
        <w:rPr>
          <w:rFonts w:hint="eastAsia"/>
          <w:sz w:val="28"/>
          <w:szCs w:val="28"/>
        </w:rPr>
      </w:pPr>
    </w:p>
    <w:p>
      <w:pPr>
        <w:pStyle w:val="19"/>
        <w:ind w:firstLine="560"/>
      </w:pPr>
      <w:bookmarkStart w:id="733" w:name="_Toc170377987"/>
      <w:bookmarkStart w:id="734" w:name="_Toc14816"/>
      <w:r>
        <w:t>附件四：安全生产管理协议</w:t>
      </w:r>
      <w:bookmarkEnd w:id="733"/>
      <w:bookmarkEnd w:id="734"/>
    </w:p>
    <w:p>
      <w:pPr>
        <w:rPr>
          <w:rFonts w:hint="eastAsia"/>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ascii="黑体" w:eastAsia="黑体" w:cs="黑体"/>
          <w:color w:val="000000"/>
          <w:kern w:val="0"/>
          <w:szCs w:val="21"/>
          <w:lang w:bidi="ar"/>
        </w:rPr>
      </w:pPr>
    </w:p>
    <w:p>
      <w:pPr>
        <w:snapToGrid w:val="0"/>
        <w:ind w:left="5827" w:leftChars="2100" w:hanging="1417" w:hangingChars="675"/>
        <w:rPr>
          <w:rFonts w:hint="eastAsia"/>
          <w:b/>
          <w:snapToGrid w:val="0"/>
          <w:sz w:val="28"/>
        </w:rPr>
      </w:pPr>
      <w:r>
        <w:rPr>
          <w:rFonts w:hint="eastAsia" w:ascii="黑体" w:eastAsia="黑体" w:cs="黑体"/>
          <w:color w:val="000000"/>
          <w:kern w:val="0"/>
          <w:szCs w:val="21"/>
          <w:lang w:bidi="ar"/>
        </w:rPr>
        <w:t xml:space="preserve">                                                    </w:t>
      </w:r>
      <w:r>
        <w:rPr>
          <w:rFonts w:hint="eastAsia"/>
          <w:b/>
          <w:snapToGrid w:val="0"/>
          <w:sz w:val="28"/>
        </w:rPr>
        <w:t xml:space="preserve"> </w:t>
      </w:r>
    </w:p>
    <w:p>
      <w:pPr>
        <w:snapToGrid w:val="0"/>
        <w:ind w:firstLine="5692" w:firstLineChars="2025"/>
        <w:rPr>
          <w:rFonts w:hint="eastAsia"/>
          <w:b/>
          <w:snapToGrid w:val="0"/>
          <w:color w:val="000000" w:themeColor="text1"/>
          <w:sz w:val="28"/>
          <w14:textFill>
            <w14:solidFill>
              <w14:schemeClr w14:val="tx1"/>
            </w14:solidFill>
          </w14:textFill>
        </w:rPr>
      </w:pPr>
      <w:r>
        <w:rPr>
          <w:rFonts w:hint="eastAsia"/>
          <w:b/>
          <w:snapToGrid w:val="0"/>
          <w:color w:val="000000" w:themeColor="text1"/>
          <w:sz w:val="28"/>
          <w14:textFill>
            <w14:solidFill>
              <w14:schemeClr w14:val="tx1"/>
            </w14:solidFill>
          </w14:textFill>
        </w:rPr>
        <w:t xml:space="preserve"> 合同编号：</w:t>
      </w:r>
    </w:p>
    <w:p>
      <w:pPr>
        <w:snapToGrid w:val="0"/>
        <w:ind w:firstLine="560"/>
        <w:jc w:val="center"/>
        <w:rPr>
          <w:rFonts w:hint="eastAsia"/>
          <w:snapToGrid w:val="0"/>
          <w:color w:val="000000" w:themeColor="text1"/>
          <w:sz w:val="28"/>
          <w14:textFill>
            <w14:solidFill>
              <w14:schemeClr w14:val="tx1"/>
            </w14:solidFill>
          </w14:textFill>
        </w:rPr>
      </w:pPr>
    </w:p>
    <w:p>
      <w:pPr>
        <w:snapToGrid w:val="0"/>
        <w:ind w:firstLine="560"/>
        <w:jc w:val="center"/>
        <w:rPr>
          <w:rFonts w:hint="eastAsia"/>
          <w:snapToGrid w:val="0"/>
          <w:color w:val="000000" w:themeColor="text1"/>
          <w:sz w:val="28"/>
          <w14:textFill>
            <w14:solidFill>
              <w14:schemeClr w14:val="tx1"/>
            </w14:solidFill>
          </w14:textFill>
        </w:rPr>
      </w:pPr>
    </w:p>
    <w:p>
      <w:pPr>
        <w:snapToGrid w:val="0"/>
        <w:ind w:firstLine="560"/>
        <w:rPr>
          <w:rFonts w:hint="eastAsia"/>
          <w:snapToGrid w:val="0"/>
          <w:color w:val="000000" w:themeColor="text1"/>
          <w:sz w:val="28"/>
          <w14:textFill>
            <w14:solidFill>
              <w14:schemeClr w14:val="tx1"/>
            </w14:solidFill>
          </w14:textFill>
        </w:rPr>
      </w:pPr>
    </w:p>
    <w:p>
      <w:pPr>
        <w:snapToGrid w:val="0"/>
        <w:ind w:firstLine="560"/>
        <w:jc w:val="center"/>
        <w:rPr>
          <w:rFonts w:hint="eastAsia"/>
          <w:snapToGrid w:val="0"/>
          <w:color w:val="000000" w:themeColor="text1"/>
          <w:sz w:val="28"/>
          <w14:textFill>
            <w14:solidFill>
              <w14:schemeClr w14:val="tx1"/>
            </w14:solidFill>
          </w14:textFill>
        </w:rPr>
      </w:pPr>
    </w:p>
    <w:p>
      <w:pPr>
        <w:snapToGrid w:val="0"/>
        <w:ind w:firstLine="1044"/>
        <w:jc w:val="center"/>
        <w:rPr>
          <w:rFonts w:hint="eastAsia"/>
          <w:b/>
          <w:snapToGrid w:val="0"/>
          <w:color w:val="000000" w:themeColor="text1"/>
          <w:sz w:val="52"/>
          <w:szCs w:val="52"/>
          <w14:textFill>
            <w14:solidFill>
              <w14:schemeClr w14:val="tx1"/>
            </w14:solidFill>
          </w14:textFill>
        </w:rPr>
      </w:pPr>
      <w:r>
        <w:rPr>
          <w:rFonts w:hint="eastAsia"/>
          <w:b/>
          <w:snapToGrid w:val="0"/>
          <w:color w:val="000000" w:themeColor="text1"/>
          <w:sz w:val="52"/>
          <w:szCs w:val="52"/>
          <w14:textFill>
            <w14:solidFill>
              <w14:schemeClr w14:val="tx1"/>
            </w14:solidFill>
          </w14:textFill>
        </w:rPr>
        <w:t>安全生产管理协议</w:t>
      </w:r>
    </w:p>
    <w:p>
      <w:pPr>
        <w:snapToGrid w:val="0"/>
        <w:ind w:firstLine="560"/>
        <w:jc w:val="center"/>
        <w:rPr>
          <w:rFonts w:hint="eastAsia"/>
          <w:snapToGrid w:val="0"/>
          <w:color w:val="000000" w:themeColor="text1"/>
          <w:sz w:val="28"/>
          <w14:textFill>
            <w14:solidFill>
              <w14:schemeClr w14:val="tx1"/>
            </w14:solidFill>
          </w14:textFill>
        </w:rPr>
      </w:pPr>
    </w:p>
    <w:p>
      <w:pPr>
        <w:snapToGrid w:val="0"/>
        <w:ind w:firstLine="560"/>
        <w:jc w:val="center"/>
        <w:rPr>
          <w:rFonts w:hint="eastAsia"/>
          <w:snapToGrid w:val="0"/>
          <w:color w:val="000000" w:themeColor="text1"/>
          <w:sz w:val="28"/>
          <w14:textFill>
            <w14:solidFill>
              <w14:schemeClr w14:val="tx1"/>
            </w14:solidFill>
          </w14:textFill>
        </w:rPr>
      </w:pPr>
    </w:p>
    <w:p>
      <w:pPr>
        <w:snapToGrid w:val="0"/>
        <w:ind w:firstLine="560"/>
        <w:jc w:val="center"/>
        <w:rPr>
          <w:rFonts w:hint="eastAsia"/>
          <w:snapToGrid w:val="0"/>
          <w:color w:val="000000" w:themeColor="text1"/>
          <w:sz w:val="28"/>
          <w14:textFill>
            <w14:solidFill>
              <w14:schemeClr w14:val="tx1"/>
            </w14:solidFill>
          </w14:textFill>
        </w:rPr>
      </w:pPr>
    </w:p>
    <w:p>
      <w:pPr>
        <w:snapToGrid w:val="0"/>
        <w:ind w:firstLine="560"/>
        <w:jc w:val="center"/>
        <w:rPr>
          <w:rFonts w:hint="eastAsia"/>
          <w:snapToGrid w:val="0"/>
          <w:color w:val="000000" w:themeColor="text1"/>
          <w:sz w:val="28"/>
          <w14:textFill>
            <w14:solidFill>
              <w14:schemeClr w14:val="tx1"/>
            </w14:solidFill>
          </w14:textFill>
        </w:rPr>
      </w:pPr>
    </w:p>
    <w:p>
      <w:pPr>
        <w:snapToGrid w:val="0"/>
        <w:ind w:firstLine="1275" w:firstLineChars="397"/>
        <w:rPr>
          <w:rFonts w:hint="eastAsia"/>
          <w:b/>
          <w:snapToGrid w:val="0"/>
          <w:color w:val="000000" w:themeColor="text1"/>
          <w:sz w:val="32"/>
          <w:szCs w:val="32"/>
          <w14:textFill>
            <w14:solidFill>
              <w14:schemeClr w14:val="tx1"/>
            </w14:solidFill>
          </w14:textFill>
        </w:rPr>
      </w:pPr>
      <w:r>
        <w:rPr>
          <w:rFonts w:hint="eastAsia"/>
          <w:b/>
          <w:snapToGrid w:val="0"/>
          <w:color w:val="000000" w:themeColor="text1"/>
          <w:sz w:val="32"/>
          <w:szCs w:val="32"/>
          <w14:textFill>
            <w14:solidFill>
              <w14:schemeClr w14:val="tx1"/>
            </w14:solidFill>
          </w14:textFill>
        </w:rPr>
        <w:t>项目名称：</w:t>
      </w:r>
      <w:permStart w:id="0" w:edGrp="everyone"/>
      <w:r>
        <w:rPr>
          <w:rFonts w:hint="eastAsia"/>
          <w:b/>
          <w:snapToGrid w:val="0"/>
          <w:color w:val="000000" w:themeColor="text1"/>
          <w:sz w:val="32"/>
          <w:szCs w:val="32"/>
          <w:u w:val="single"/>
          <w14:textFill>
            <w14:solidFill>
              <w14:schemeClr w14:val="tx1"/>
            </w14:solidFill>
          </w14:textFill>
        </w:rPr>
        <w:t xml:space="preserve"> 绍兴华茂化纤有限公司4.8MW/10.4MWh电化学储能电站项目</w:t>
      </w:r>
      <w:permEnd w:id="0"/>
    </w:p>
    <w:p>
      <w:pPr>
        <w:snapToGrid w:val="0"/>
        <w:ind w:firstLine="1275" w:firstLineChars="397"/>
        <w:rPr>
          <w:rFonts w:hint="eastAsia"/>
          <w:b/>
          <w:snapToGrid w:val="0"/>
          <w:color w:val="000000" w:themeColor="text1"/>
          <w:sz w:val="32"/>
          <w:szCs w:val="32"/>
          <w14:textFill>
            <w14:solidFill>
              <w14:schemeClr w14:val="tx1"/>
            </w14:solidFill>
          </w14:textFill>
        </w:rPr>
      </w:pPr>
      <w:r>
        <w:rPr>
          <w:rFonts w:hint="eastAsia"/>
          <w:b/>
          <w:snapToGrid w:val="0"/>
          <w:color w:val="000000" w:themeColor="text1"/>
          <w:sz w:val="32"/>
          <w:szCs w:val="32"/>
          <w14:textFill>
            <w14:solidFill>
              <w14:schemeClr w14:val="tx1"/>
            </w14:solidFill>
          </w14:textFill>
        </w:rPr>
        <w:t>甲    方： 北京京能数字科技有限公司</w:t>
      </w:r>
    </w:p>
    <w:p>
      <w:pPr>
        <w:snapToGrid w:val="0"/>
        <w:ind w:firstLine="1275" w:firstLineChars="397"/>
        <w:rPr>
          <w:rFonts w:hint="eastAsia"/>
          <w:b/>
          <w:snapToGrid w:val="0"/>
          <w:color w:val="000000" w:themeColor="text1"/>
          <w:sz w:val="32"/>
          <w:szCs w:val="32"/>
          <w14:textFill>
            <w14:solidFill>
              <w14:schemeClr w14:val="tx1"/>
            </w14:solidFill>
          </w14:textFill>
        </w:rPr>
      </w:pPr>
      <w:r>
        <w:rPr>
          <w:rFonts w:hint="eastAsia"/>
          <w:b/>
          <w:snapToGrid w:val="0"/>
          <w:color w:val="000000" w:themeColor="text1"/>
          <w:sz w:val="32"/>
          <w:szCs w:val="32"/>
          <w14:textFill>
            <w14:solidFill>
              <w14:schemeClr w14:val="tx1"/>
            </w14:solidFill>
          </w14:textFill>
        </w:rPr>
        <w:t>乙    方：</w:t>
      </w:r>
      <w:permStart w:id="1" w:edGrp="everyone"/>
      <w:r>
        <w:rPr>
          <w:rFonts w:hint="eastAsia"/>
          <w:b/>
          <w:snapToGrid w:val="0"/>
          <w:color w:val="000000" w:themeColor="text1"/>
          <w:sz w:val="32"/>
          <w:szCs w:val="32"/>
          <w:u w:val="single"/>
          <w14:textFill>
            <w14:solidFill>
              <w14:schemeClr w14:val="tx1"/>
            </w14:solidFill>
          </w14:textFill>
        </w:rPr>
        <w:t xml:space="preserve">许继电气股份有限公司 </w:t>
      </w:r>
      <w:permEnd w:id="1"/>
    </w:p>
    <w:p>
      <w:pPr>
        <w:snapToGrid w:val="0"/>
        <w:ind w:firstLine="1275" w:firstLineChars="397"/>
        <w:rPr>
          <w:rFonts w:hint="eastAsia"/>
          <w:b/>
          <w:snapToGrid w:val="0"/>
          <w:color w:val="000000" w:themeColor="text1"/>
          <w:sz w:val="32"/>
          <w:szCs w:val="32"/>
          <w14:textFill>
            <w14:solidFill>
              <w14:schemeClr w14:val="tx1"/>
            </w14:solidFill>
          </w14:textFill>
        </w:rPr>
      </w:pPr>
      <w:r>
        <w:rPr>
          <w:rFonts w:hint="eastAsia"/>
          <w:b/>
          <w:snapToGrid w:val="0"/>
          <w:color w:val="000000" w:themeColor="text1"/>
          <w:sz w:val="32"/>
          <w:szCs w:val="32"/>
          <w14:textFill>
            <w14:solidFill>
              <w14:schemeClr w14:val="tx1"/>
            </w14:solidFill>
          </w14:textFill>
        </w:rPr>
        <w:t>签订时间：</w:t>
      </w:r>
      <w:permStart w:id="2" w:edGrp="everyone"/>
      <w:r>
        <w:rPr>
          <w:rFonts w:hint="eastAsia"/>
          <w:b/>
          <w:snapToGrid w:val="0"/>
          <w:color w:val="000000" w:themeColor="text1"/>
          <w:sz w:val="32"/>
          <w:szCs w:val="32"/>
          <w:u w:val="single"/>
          <w14:textFill>
            <w14:solidFill>
              <w14:schemeClr w14:val="tx1"/>
            </w14:solidFill>
          </w14:textFill>
        </w:rPr>
        <w:t xml:space="preserve">                            </w:t>
      </w:r>
      <w:permEnd w:id="2"/>
    </w:p>
    <w:p>
      <w:pPr>
        <w:snapToGrid w:val="0"/>
        <w:ind w:firstLine="1275" w:firstLineChars="397"/>
        <w:rPr>
          <w:rFonts w:hint="eastAsia"/>
          <w:b/>
          <w:snapToGrid w:val="0"/>
          <w:color w:val="000000" w:themeColor="text1"/>
          <w:sz w:val="32"/>
          <w:szCs w:val="32"/>
          <w14:textFill>
            <w14:solidFill>
              <w14:schemeClr w14:val="tx1"/>
            </w14:solidFill>
          </w14:textFill>
        </w:rPr>
      </w:pPr>
      <w:r>
        <w:rPr>
          <w:rFonts w:hint="eastAsia"/>
          <w:b/>
          <w:snapToGrid w:val="0"/>
          <w:color w:val="000000" w:themeColor="text1"/>
          <w:sz w:val="32"/>
          <w:szCs w:val="32"/>
          <w14:textFill>
            <w14:solidFill>
              <w14:schemeClr w14:val="tx1"/>
            </w14:solidFill>
          </w14:textFill>
        </w:rPr>
        <w:t>签订地点：</w:t>
      </w:r>
      <w:permStart w:id="3" w:edGrp="everyone"/>
      <w:r>
        <w:rPr>
          <w:rFonts w:hint="eastAsia"/>
          <w:b/>
          <w:snapToGrid w:val="0"/>
          <w:color w:val="000000" w:themeColor="text1"/>
          <w:sz w:val="32"/>
          <w:szCs w:val="32"/>
          <w:u w:val="single"/>
          <w14:textFill>
            <w14:solidFill>
              <w14:schemeClr w14:val="tx1"/>
            </w14:solidFill>
          </w14:textFill>
        </w:rPr>
        <w:t xml:space="preserve">                            </w:t>
      </w:r>
      <w:permEnd w:id="3"/>
    </w:p>
    <w:p>
      <w:pPr>
        <w:snapToGrid w:val="0"/>
        <w:ind w:firstLine="720"/>
        <w:jc w:val="center"/>
        <w:rPr>
          <w:rFonts w:hint="eastAsia"/>
          <w:color w:val="000000" w:themeColor="text1"/>
          <w14:textFill>
            <w14:solidFill>
              <w14:schemeClr w14:val="tx1"/>
            </w14:solidFill>
          </w14:textFill>
        </w:rPr>
      </w:pPr>
      <w:r>
        <w:rPr>
          <w:snapToGrid w:val="0"/>
          <w:color w:val="000000" w:themeColor="text1"/>
          <w:sz w:val="36"/>
          <w:szCs w:val="36"/>
          <w14:textFill>
            <w14:solidFill>
              <w14:schemeClr w14:val="tx1"/>
            </w14:solidFill>
          </w14:textFill>
        </w:rPr>
        <w:br w:type="page"/>
      </w:r>
    </w:p>
    <w:p>
      <w:pPr>
        <w:topLinePunct/>
        <w:adjustRightInd w:val="0"/>
        <w:snapToGrid w:val="0"/>
        <w:spacing w:line="300" w:lineRule="auto"/>
        <w:ind w:firstLine="883"/>
        <w:jc w:val="center"/>
        <w:rPr>
          <w:rFonts w:hint="eastAsia"/>
          <w:b/>
          <w:snapToGrid w:val="0"/>
          <w:color w:val="000000" w:themeColor="text1"/>
          <w:kern w:val="0"/>
          <w:sz w:val="44"/>
          <w:szCs w:val="44"/>
          <w14:textFill>
            <w14:solidFill>
              <w14:schemeClr w14:val="tx1"/>
            </w14:solidFill>
          </w14:textFill>
        </w:rPr>
      </w:pPr>
      <w:r>
        <w:rPr>
          <w:rFonts w:hint="eastAsia"/>
          <w:b/>
          <w:snapToGrid w:val="0"/>
          <w:color w:val="000000" w:themeColor="text1"/>
          <w:kern w:val="0"/>
          <w:sz w:val="44"/>
          <w:szCs w:val="44"/>
          <w14:textFill>
            <w14:solidFill>
              <w14:schemeClr w14:val="tx1"/>
            </w14:solidFill>
          </w14:textFill>
        </w:rPr>
        <w:t>安全生产管理协议</w:t>
      </w:r>
    </w:p>
    <w:p>
      <w:pPr>
        <w:topLinePunct/>
        <w:adjustRightInd w:val="0"/>
        <w:snapToGrid w:val="0"/>
        <w:spacing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line="560" w:lineRule="exact"/>
        <w:ind w:firstLine="482"/>
        <w:rPr>
          <w:rFonts w:hint="eastAsia"/>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甲方：北京京能数字科技有限公司</w:t>
      </w:r>
    </w:p>
    <w:p>
      <w:pPr>
        <w:topLinePunct/>
        <w:adjustRightInd w:val="0"/>
        <w:snapToGrid w:val="0"/>
        <w:spacing w:line="560" w:lineRule="exact"/>
        <w:ind w:firstLine="482"/>
        <w:rPr>
          <w:rFonts w:hint="eastAsia"/>
          <w:b/>
          <w:snapToGrid w:val="0"/>
          <w:color w:val="000000" w:themeColor="text1"/>
          <w:kern w:val="0"/>
          <w:sz w:val="24"/>
          <w:u w:val="single"/>
          <w14:textFill>
            <w14:solidFill>
              <w14:schemeClr w14:val="tx1"/>
            </w14:solidFill>
          </w14:textFill>
        </w:rPr>
      </w:pPr>
      <w:r>
        <w:rPr>
          <w:rFonts w:hint="eastAsia"/>
          <w:b/>
          <w:snapToGrid w:val="0"/>
          <w:color w:val="000000" w:themeColor="text1"/>
          <w:kern w:val="0"/>
          <w:sz w:val="24"/>
          <w14:textFill>
            <w14:solidFill>
              <w14:schemeClr w14:val="tx1"/>
            </w14:solidFill>
          </w14:textFill>
        </w:rPr>
        <w:t>乙方：</w:t>
      </w:r>
      <w:permStart w:id="4" w:edGrp="everyone"/>
      <w:r>
        <w:rPr>
          <w:rFonts w:hint="eastAsia"/>
          <w:b/>
          <w:bCs/>
          <w:snapToGrid w:val="0"/>
          <w:color w:val="000000" w:themeColor="text1"/>
          <w:kern w:val="0"/>
          <w:sz w:val="24"/>
          <w:u w:val="single"/>
          <w14:textFill>
            <w14:solidFill>
              <w14:schemeClr w14:val="tx1"/>
            </w14:solidFill>
          </w14:textFill>
        </w:rPr>
        <w:t xml:space="preserve"> 许继电气股份有限公司 </w:t>
      </w:r>
      <w:permEnd w:id="4"/>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p>
    <w:p>
      <w:pPr>
        <w:spacing w:line="560" w:lineRule="exact"/>
        <w:ind w:firstLine="480"/>
        <w:rPr>
          <w:rFonts w:hint="eastAsia"/>
          <w:color w:val="000000" w:themeColor="text1"/>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为在</w:t>
      </w:r>
      <w:permStart w:id="5" w:edGrp="everyone"/>
      <w:r>
        <w:rPr>
          <w:rFonts w:hint="eastAsia"/>
          <w:color w:val="000000" w:themeColor="text1"/>
          <w:sz w:val="24"/>
          <w:u w:val="single"/>
          <w14:textFill>
            <w14:solidFill>
              <w14:schemeClr w14:val="tx1"/>
            </w14:solidFill>
          </w14:textFill>
        </w:rPr>
        <w:t>绍兴华茂化纤有限公司4.8MW/10.4MWh电化学储能电站项目</w:t>
      </w:r>
      <w:permEnd w:id="5"/>
      <w:r>
        <w:rPr>
          <w:rFonts w:hint="eastAsia"/>
          <w:snapToGrid w:val="0"/>
          <w:color w:val="000000" w:themeColor="text1"/>
          <w:kern w:val="0"/>
          <w:sz w:val="24"/>
          <w14:textFill>
            <w14:solidFill>
              <w14:schemeClr w14:val="tx1"/>
            </w14:solidFill>
          </w14:textFill>
        </w:rPr>
        <w:t>的实施过程中创造安全、高效的施工环境，切实抓好项目的安全管理工作，依照《中华人民共和国合同法》、《中华人民共和国安全生产法》、《中华人民共和国建筑法》、《中华人民共和国消防法》及其他有关法律、法规，经双方平等协商，签订本安全生产管理协议，双方严格遵守执行。</w:t>
      </w:r>
    </w:p>
    <w:p>
      <w:pPr>
        <w:topLinePunct/>
        <w:adjustRightInd w:val="0"/>
        <w:snapToGrid w:val="0"/>
        <w:spacing w:line="560" w:lineRule="exact"/>
        <w:ind w:firstLine="482"/>
        <w:rPr>
          <w:rFonts w:hint="eastAsia"/>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1. 工程概况</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 工程名称：</w:t>
      </w:r>
      <w:permStart w:id="6" w:edGrp="everyone"/>
      <w:r>
        <w:rPr>
          <w:rFonts w:hint="eastAsia"/>
          <w:color w:val="000000" w:themeColor="text1"/>
          <w:sz w:val="24"/>
          <w:u w:val="single"/>
          <w14:textFill>
            <w14:solidFill>
              <w14:schemeClr w14:val="tx1"/>
            </w14:solidFill>
          </w14:textFill>
        </w:rPr>
        <w:t xml:space="preserve">  绍兴华茂化纤有限公司4.8MW/10.4MWh电化学储能电站项目 </w:t>
      </w:r>
      <w:permEnd w:id="6"/>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 工程地址：</w:t>
      </w:r>
      <w:permStart w:id="7" w:edGrp="everyone"/>
      <w:r>
        <w:rPr>
          <w:rFonts w:hint="eastAsia"/>
          <w:color w:val="000000" w:themeColor="text1"/>
          <w:sz w:val="24"/>
          <w:u w:val="single"/>
          <w14:textFill>
            <w14:solidFill>
              <w14:schemeClr w14:val="tx1"/>
            </w14:solidFill>
          </w14:textFill>
        </w:rPr>
        <w:t xml:space="preserve"> 浙江省绍兴市柯桥区钱清街道绍兴华茂化纤有限公司厂区内 </w:t>
      </w:r>
      <w:permEnd w:id="7"/>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 工程项目期限：</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permStart w:id="8" w:edGrp="everyone"/>
      <w:r>
        <w:rPr>
          <w:rFonts w:hint="eastAsia"/>
          <w:snapToGrid w:val="0"/>
          <w:color w:val="000000" w:themeColor="text1"/>
          <w:kern w:val="0"/>
          <w:sz w:val="24"/>
          <w:u w:val="single"/>
          <w14:textFill>
            <w14:solidFill>
              <w14:schemeClr w14:val="tx1"/>
            </w14:solidFill>
          </w14:textFill>
        </w:rPr>
        <w:t xml:space="preserve">以甲方规定的时间为准 </w:t>
      </w:r>
      <w:permEnd w:id="8"/>
    </w:p>
    <w:p>
      <w:pPr>
        <w:topLinePunct/>
        <w:adjustRightInd w:val="0"/>
        <w:snapToGrid w:val="0"/>
        <w:spacing w:line="560" w:lineRule="exact"/>
        <w:ind w:firstLine="482"/>
        <w:rPr>
          <w:rFonts w:hint="eastAsia"/>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2．甲方职责、权利与义务</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 严格遵守国家和上级劳动保护、安全生产主管部门颁布的有关安全生产、消防工作的法律、法规。</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 甲方向乙方提供建设项目所需的相关资料。</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 甲方不得对乙方提出不符合建设工程安全生产法律、法规和强制性标准规定的要求，甲方未告知该等规定不免除乙方作为专业人员应当自行了解和知悉相关法律、法规和强制性标准的规定。</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2.4 甲方在编制工程概算时，应当确定建设工程安全作业环境及安全施工措施所需费用。</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2.5 甲方不得明示或者暗示乙方购买、租赁、使用不符合安全施工要求的安全防护用具、机械设备、施工机具及配件、消防设施和器材。</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2.6 必须坚持“三同时”的原则，即：安全设施必须与主体工程同时设计、审批，同时施工，同时验收、投入使用。</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2.7 甲方有权监督乙方执行项目现场安全管理制度的情况，检查乙方各项安全管理工作，制止违章作业，对于危及安全的违章人员可以责成乙方对其进行教育、惩戒或处理。</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2.8 在不影响乙方正常作业的情况下，甲方有权随时检查乙方人员作业情况，有权制止违章操作等违规行为。</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2.9 乙方违反国家有关安全生产的法律法规规范、本协议及甲方安全管理制度，或因乙方原因导致发生事故，甲方有权依据国家法律法规、本协议及相关文件对乙方采取通报批评、约谈、扣除违约金、停工整顿等处罚措施。 </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2.10 甲方有权组织乙方参加甲方的各项安全生产活动，如安全检查、安全会议等。</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2.11 甲方为监督乙方的安全生产工作，而对乙方的各类文件如施工方案等进行备案，不涉及任何安全责任的承担。乙方对提交至甲方的各类文件进行审核与批准，乙方应依法承担所有的安全责任。</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2.12 在乙方履行合同期间，甲方发现乙方安全生产条件不足或不满足甲方要求，屡次违章，不能确保安全生产的，甲方有权终止合同（包括本协议及商务合同、施工合同）。甲方不承担因终止合同所造成的任何损失，并有权向乙方索赔因乙方安全问题终止合同而造成的损失。</w:t>
      </w:r>
    </w:p>
    <w:p>
      <w:pPr>
        <w:topLinePunct/>
        <w:adjustRightInd w:val="0"/>
        <w:snapToGrid w:val="0"/>
        <w:spacing w:line="560" w:lineRule="exact"/>
        <w:ind w:firstLine="482"/>
        <w:rPr>
          <w:rFonts w:hint="eastAsia"/>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3. 乙方职责、权利与义务</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 乙方须遵守国家、地方政府关于安全、职业卫生、环保、消防、治安交通等事项的所有法规、标准、规范，同时要严格遵守甲方的《安全生产工作规定》《消防安全管理办法》《危险作业管理规定》等安全生产管理规定及要求，实现安全生产管理目标，即无重伤、无死亡、无坍塌、无中毒、无火灾、无重大机械事故、无重大社会影响事件、无重大财产损失事故等。</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3.2 乙方必须遵循“三同时”原则，</w:t>
      </w:r>
      <w:r>
        <w:rPr>
          <w:rFonts w:hint="eastAsia"/>
          <w:color w:val="000000" w:themeColor="text1"/>
          <w:kern w:val="0"/>
          <w:sz w:val="24"/>
          <w:lang w:val="zh-CN"/>
          <w14:textFill>
            <w14:solidFill>
              <w14:schemeClr w14:val="tx1"/>
            </w14:solidFill>
          </w14:textFill>
        </w:rPr>
        <w:t>必须按照审查批准的设计文件进行施工，不得擅自更改职业安全卫生设施的设计，并对施工质量负责。建设项目的施工质量必须遵循国家有关建设项目职业安全卫生规定。如若不符合职业安全卫生规程和行业技术规范，甲方将不予验收。</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 乙方法定代表人或代表人指定的项目经理是乙方生产安全、职业卫生、环保、消防、治安交通的第一责任人，全面负责乙方作业区域及相关责任区域内的安全工作，并监督本单位和分包单位人员遵守项目现场的各项管理规定。乙方如有任何违反或造成事故事件，乙方应承担一切责任及后果。对甲方造成经济损失或不良影响的，乙方应当赔偿甲方的损失并消除不良影响，甲方保留追究乙方法律责任的权利。</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 乙方为独立承包建设项目，应按照承包合同及国家相关法规规定承担项目安全管理职责，并对所有进入项目现场人员的安全负责。</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3.5 乙方应具有符合承包工程对应的安全资质及条件，并应配合甲方完成安全生产资质与安全生产条件审核，对提供的资料合法性、真实性负责。</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3.6 乙方应对甲方告知的各项安全制度及要求组织全员宣传及培训，确保符合甲方的安全管理要求。乙方应主动了解甲方各项安全制度及要求。</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3.7 乙方应严格遵守业主方的各项管理制度，服从业主方的管理，接受业主方的安全检查、隐患排查。因乙方原因造成业主方各种损失的，由乙方全部承担赔偿损失。</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3.8 乙方作业涉及分包，必须对分包施工资质进行审核。应按照国家法规规定，将分包单位纳入乙方安全管理体系，明确各自的安全生产责任和义务，签订安全协议，并对其在项目现场内安全生产工作全面负责。甲乙双方签订的安全协议对乙方的分包单位具有同样的约束力。</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3.9 乙方管辖区域内涉及两个以上单位在同一作业区域内进行作业活动，可能危及对方安全时，应签订安全协议，明确各自安全职责及安全措施，并指定专人进行检查及协调。</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3.10 乙方应建立、健全本单位的安全生产责任制，制定安全生产制度及安全操作规程，保证安全投入的有效实施，督促检查现场安全生产工作，及时消除事故隐患，制定并实施事故应急预案及演练。</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3.11 乙方的主要负责人和安全生产管理人员必须具备与所从事的生产经营活动相应的安全生产知识和管理能力，且主要负责人和安全生产管理人员，应当取得经主管的负有安全生产监督管理职责的部门对其安全生产知识和管理能力考核合格后颁发的资格证书。乙方应依法建立安全管理组织机构或设置专兼职安全管理人员，负责现场作业安全管理工作及沟通。</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3.12 乙方应按照法规规定与员工签订劳动合同，并按照规定为员工办理工伤、意外伤害保险等。</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3.13 乙方要对进入项目现场的员工（包括但不限于乙方员工、乙方分包商人员等， 统称“乙方人员”）进行三级安全教育，提高乙方人员的安全意识及自我防范意识，遵守项目现场相关安全规定，未经接受上述教育培训并考核合格，乙方人员不得进入项目现场。项目实施过程中项目主要负责人、技术管理和具备相应资格的专职（兼职）安全管理人员不得随意更换，如遇特殊情况，须经甲方审核批准。一般员工要保持相对稳定，严格控制人员流动。</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3.14乙方人员进入项目现场，必须统一工作服，穿戴合适合格的劳动防护用品（安全帽、安全鞋、护目镜、安全带等）。</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3.15乙方应依据相关法规要求，完成施工作业的安全方案与作业申请的编制、审核及批准。乙方应主动向业主方全面了解作业区域的环境、设备设施、水、电、气、建筑等所有与作业安全有关的资料，编制符合现场实际的安全方案，组织人员对方案进行审核、批准，并对方案的合法、有效性负总责。</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3.16乙方应服从甲方的监督管理，参加甲方组织的安全检查、安全会议，并接受由于未积极配合而受到甲方的处罚。乙方应积极配合甲方对乙方项目现场安全、消防和环保事项的监督检查，并根据甲方提出的整改内容及方案积极整改。</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3.17乙方必须保证员工的生产作业安全。设备、机械、作业环境等安全防护措施水平必须满足员工安全生产需求。</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3.18 特种作业人员、特种设备操作人员应取得国家颁发的资质证书，持证上岗。作业前对作业人员实施安全技术交底。所有安全培训应做好培训记录。乙方对由于自身安全管理和培训不到位所造成的安全问题负全责。</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3.19 乙方必须做好现场高空作业防护措施，临边防护到位，高空作业人员必须佩带合适合格的安全防护用品。</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3.20乙方应建立消防应急预案（预案应包括临建和生活区），应定期进行消防检查，对员工进行灭火器训练，消防知识教育，定期组织消防训练及事故应急演练。对乙方承包项目的重点、要害部位（如施工现场、供电、各种仓库、货场及重要办公场所等）要严格管理，落实责任，发现隐患及时整改和报告；对暂时难以消除的火灾隐患，采取应急防范措施，确保安全；完善其消防设施管理和保养制度，使消防器材始终处于性能良好状态。乙方在施工期间所使用的材料必须符合国家安全和消防法律法规相关防火条款的规定。</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3.21乙方应保护作业现场的消防和各类安全防护设施、安全标志和警告牌，不得擅自拆除与变更。如确实需要拆除、变更的，必须经乙方项目负责人与甲乙双方、业主方指派的安全管理人员共同同意，并采取必要、可靠的安全措施，书面确认后方可。必要时需经政府消防、安监部门批准，方可拆除和变动。</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3.22 乙方人员及乙方厂商人员必须遵守项目现场特种作业管理规定，任何涉及特种作业施工，必须依规定办理特种作业许可，待批准后方可施工。对于高风险作业，乙方应严格落实人员教育、防护措施、安全技术交底、专家论证等内容符合要求。</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3.23 乙方应保证进入作业现场的特种设备（叉车、吊车等）、作业设施、电动工具等符合法规要求，具有定期检测合格证等资料，确保设备设施安全可靠。由于乙方所使用的设备设施、工具不符合要求被禁止带入作业现场或责令停工而造成的一切损失，由乙方承担。</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3.24乙方对业务范围内的所有设备设施、器材、工具、材料负全面安全管理责任，并针对安装期、调试期、保养期要制定专门的安全管理方案和应急响应措施，确保安装、调试等阶段不出现安全事故。</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3.25如乙方负责的系统发生异常状况，有可能危及到项目现场内其他单位或人员的生产安全时，需在第一时间通知甲方、业主方及相关单位做好应变准备，乙方应立即采取临时应对措施，防止事故的发生和扩大，否则由此造成的损失均由乙方承担。</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3.26乙方应为确保作业安全而配备满足要求的消防器材、应急器材，为员工配备有效的个人防护用品，做好使用培训并督促员工按规佩戴和使用。</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3.27乙方应遵守国家电气安全规定、临时用电安全规范及甲方和业主方的用电规定，临时用电需按流程申请，经批准后由专业电工在指定电箱进行临时接线，禁止私拉乱接。</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3.28乙方在作业期间所使用的各种设备设施及工具等均应由乙方自备，编制安全操作规程及安全管理制度。</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3.29乙方应按照法规规定对需使用的危险化学品进行严格管理。分类、定置、定量存放，采取专门安全防护措施，配备充足消防器材，专人保管，并做好出入领用、检查记录。禁止混存，禁止不按规定使用、储存、废弃危险化学品。</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3.30 乙方作业涉及危险化学品经营、运输的，必须按照国家危险化学品相关法律、规范要求，取得合法有效的危险化学品经营许可证、危险货物道路运输许可证、危险化学品准运证等证照；若乙方委托第三方运输危险化学品的，应委托具备危险化学品运输相关资质的单位进行危险化学品运输。</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3.31 乙方应保证危险化学品运输车辆符合国家标准要求的安全技术条件，拥有经合法鉴定部门出具的检验合格证明，并按照国家有关规定定期进行安全技术检验，危险化学品运输车辆应当悬挂或者喷涂符合国家标准要求的警示标志。乙方应保证危险化学品运输车辆已按相关法律、法规规定配备经交通运输主管部门考核合格，取得从业资格的危险化学品运输车辆驾驶人员、装卸管理人员、押运人员。</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3.32乙方应保证危险化学品的装卸作业遵守安全作业标准、规程和制度，并在装卸管理人员的现场指挥或者监控下进行运输危险化学品，应当根据危险化学品的危险特性采取相应的安全防护措施，并配备必要的防护用品和应急救援器材，做好防火、防静电等应急救援相关措施。</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3.33乙方人员须遵守项目现场吸烟管理规定，除指定吸烟区域外，项目现场内任何其他区域不准吸烟；乙方有责任保证乙方访客以及相关厂商遵守项目现场吸烟管理规定。</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3.34 进入作业现场应遵守业主方交通安全规定，行人和车辆按规定的路线、速度行驶。</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3.35进入业主方厂区和车间应遵守业主方的交通安全规定，行人和车辆按规定的路线、速度行驶。</w:t>
      </w:r>
      <w:r>
        <w:rPr>
          <w:snapToGrid w:val="0"/>
          <w:color w:val="000000" w:themeColor="text1"/>
          <w:kern w:val="0"/>
          <w:sz w:val="24"/>
          <w14:textFill>
            <w14:solidFill>
              <w14:schemeClr w14:val="tx1"/>
            </w14:solidFill>
          </w14:textFill>
        </w:rPr>
        <w:t>未经</w:t>
      </w:r>
      <w:r>
        <w:rPr>
          <w:rFonts w:hint="eastAsia"/>
          <w:snapToGrid w:val="0"/>
          <w:color w:val="000000" w:themeColor="text1"/>
          <w:kern w:val="0"/>
          <w:sz w:val="24"/>
          <w14:textFill>
            <w14:solidFill>
              <w14:schemeClr w14:val="tx1"/>
            </w14:solidFill>
          </w14:textFill>
        </w:rPr>
        <w:t>业主方</w:t>
      </w:r>
      <w:r>
        <w:rPr>
          <w:snapToGrid w:val="0"/>
          <w:color w:val="000000" w:themeColor="text1"/>
          <w:kern w:val="0"/>
          <w:sz w:val="24"/>
          <w14:textFill>
            <w14:solidFill>
              <w14:schemeClr w14:val="tx1"/>
            </w14:solidFill>
          </w14:textFill>
        </w:rPr>
        <w:t>批</w:t>
      </w:r>
      <w:r>
        <w:rPr>
          <w:rFonts w:hint="eastAsia"/>
          <w:snapToGrid w:val="0"/>
          <w:color w:val="000000" w:themeColor="text1"/>
          <w:kern w:val="0"/>
          <w:sz w:val="24"/>
          <w14:textFill>
            <w14:solidFill>
              <w14:schemeClr w14:val="tx1"/>
            </w14:solidFill>
          </w14:textFill>
        </w:rPr>
        <w:t>准禁止各种车辆进入厂区、车间。</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3.36 乙方提供服务的车辆，车辆资质、安全条件必须符合规定。</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3.37 乙方进入项目现场施工时，工具、物料等物品必须在指定的地点码放整齐，做好标识，严禁随处堆放。乙方施工、作业垃圾应自行清运出项目现场并妥善处理，严禁倒入项目现场内其他区域。乙方施工、物料堆放及垃圾清运过程中，粉尘类物品必须采取相应措施防止扩散。</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3.38乙方在作业现场设置的临时库房（料场），应建立库房管理制度，专人看管。管理制度、人员及职责、平面布局图等应明显公示，库房内应分类储存，符合“五距”标准，易燃物品应定期清理。库房内禁止使用大功率电器，禁止出现“三合一”等违章现象。</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3.39 乙方对其施工区域内的所有设施设备、物品负有安全管理责任，一旦发生丢失或损坏，由此产生的所有损失由乙方承担。</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3.40 乙方人员进入作业现场后应当在指定区域进行活动，未经业主方允许不得进入与其工作无关的区域。</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3.41乙方进行作业时，禁止私自触摸或操作非本岗位设备设施，禁止私自解除安全装置。</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3.42 乙方作业结束前，必须对作业区域进行彻底清理，清除高空遗留物，消除安全隐患。</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3.43 乙方应做好内部稳定工作，杜绝不安定事件及群体性事件发生。</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3.44 乙方应加强对本单位所有人员的交通安全教育，学习交通安全知识，强化交通安全意识。乙方应加强对其机动车驾驶员的教育管理，认真学习《中华人民共和国道路交通安全法》及北京市相关交通管理规定。乙方确保其所有车辆出入项目现场、生活区按照规定行驶和摆放，服从项目现场交通管理。乙方应加强其机动车管理，督促检查机动车保养情况，确保车辆状况良好、符合安全驾驶的要求。坚决杜绝酒后开车、严禁非司机开车、严禁带故障出车，严禁不合格的车辆驶入项目现场。</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3.45 乙方员工应遵守治安规定，禁止酒后进入作业现场，禁止从事赌博、偷盗、打架等违法乱纪活动，杜绝各类治安案件的发生。</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3.46 乙方应加强现金、票据、及制成品等贵重物品的管理工作，做好安全防范；对存放于项目现场的材料、设备安排专人看护，现金、私人财物不得存放在项目现场，丢失由乙方负责。乙方在项目现场的财务办公室必须有“三铁一器（防盗门、防盗窗、保险柜和防盗报警器）”防范措施。</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3.47乙方作业涉及环境保护的防护措施必须到位，乙方作业现场的物料等物品必须在指定的地点码放整齐，做好标识，严禁随处堆放。</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3.48 作业现场的用水、临时餐厅用气等，必须符合环保要求，防止出现环境污染事件。</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3.49乙方作业过程产生的垃圾应自行清运出现场并妥善处理，并做好防尘、防扩散措施。</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3.50 乙方应认真学习和贯彻《中华人民共和国卫生防疫法》，做好传染病的预防工作，保证饮食卫生，防止食物中毒。</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3.51乙方对所承包的项目，由于设备设施的设计缺陷、设备设施质量和施工质量问题而导致发生的安全事故负全责，对甲方造成的一切经济损失和商誉损失由乙方承担赔偿责任。</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3.52 当乙方作业现场发生突发事故事件，乙方应立即报告甲方，</w:t>
      </w:r>
      <w:r>
        <w:rPr>
          <w:rFonts w:hint="eastAsia"/>
          <w:color w:val="000000" w:themeColor="text1"/>
          <w:kern w:val="0"/>
          <w:sz w:val="24"/>
          <w:lang w:val="zh-CN"/>
          <w14:textFill>
            <w14:solidFill>
              <w14:schemeClr w14:val="tx1"/>
            </w14:solidFill>
          </w14:textFill>
        </w:rPr>
        <w:t>并采取有效措施，组织抢救，防止事故扩大，减少人员伤亡和财产损失。事故发生后，有关人员应当妥善保护事故现场以及相关证据，不得破坏事故现场、毁灭相关证据；乙方必须配合有关单位进行事故调查，按照</w:t>
      </w:r>
      <w:r>
        <w:rPr>
          <w:color w:val="000000" w:themeColor="text1"/>
          <w:kern w:val="0"/>
          <w:sz w:val="24"/>
          <w:lang w:val="zh-CN"/>
          <w14:textFill>
            <w14:solidFill>
              <w14:schemeClr w14:val="tx1"/>
            </w14:solidFill>
          </w14:textFill>
        </w:rPr>
        <w:t>“</w:t>
      </w:r>
      <w:r>
        <w:rPr>
          <w:rFonts w:hint="eastAsia"/>
          <w:color w:val="000000" w:themeColor="text1"/>
          <w:kern w:val="0"/>
          <w:sz w:val="24"/>
          <w:lang w:val="zh-CN"/>
          <w14:textFill>
            <w14:solidFill>
              <w14:schemeClr w14:val="tx1"/>
            </w14:solidFill>
          </w14:textFill>
        </w:rPr>
        <w:t>四不放过</w:t>
      </w:r>
      <w:r>
        <w:rPr>
          <w:color w:val="000000" w:themeColor="text1"/>
          <w:kern w:val="0"/>
          <w:sz w:val="24"/>
          <w:lang w:val="zh-CN"/>
          <w14:textFill>
            <w14:solidFill>
              <w14:schemeClr w14:val="tx1"/>
            </w14:solidFill>
          </w14:textFill>
        </w:rPr>
        <w:t>”</w:t>
      </w:r>
      <w:r>
        <w:rPr>
          <w:rFonts w:hint="eastAsia"/>
          <w:color w:val="000000" w:themeColor="text1"/>
          <w:kern w:val="0"/>
          <w:sz w:val="24"/>
          <w:lang w:val="zh-CN"/>
          <w14:textFill>
            <w14:solidFill>
              <w14:schemeClr w14:val="tx1"/>
            </w14:solidFill>
          </w14:textFill>
        </w:rPr>
        <w:t>的原则对事故原因进行分析，对责任人员进行处理，对提出的整改措施进行落实，对有关人员进行教育。事故调查结束后，</w:t>
      </w:r>
      <w:r>
        <w:rPr>
          <w:rFonts w:hint="eastAsia"/>
          <w:snapToGrid w:val="0"/>
          <w:color w:val="000000" w:themeColor="text1"/>
          <w:kern w:val="0"/>
          <w:sz w:val="24"/>
          <w14:textFill>
            <w14:solidFill>
              <w14:schemeClr w14:val="tx1"/>
            </w14:solidFill>
          </w14:textFill>
        </w:rPr>
        <w:t>乙方应向甲方提供事故调查及处理报告。</w:t>
      </w:r>
    </w:p>
    <w:p>
      <w:pPr>
        <w:topLinePunct/>
        <w:adjustRightInd w:val="0"/>
        <w:snapToGrid w:val="0"/>
        <w:spacing w:line="560" w:lineRule="exact"/>
        <w:ind w:firstLine="482"/>
        <w:rPr>
          <w:rFonts w:hint="eastAsia"/>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4. 安全文明施工考核管理</w:t>
      </w:r>
    </w:p>
    <w:p>
      <w:pPr>
        <w:topLinePunct/>
        <w:adjustRightInd w:val="0"/>
        <w:snapToGrid w:val="0"/>
        <w:spacing w:line="560" w:lineRule="exact"/>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为加强甲方对施工现场安全文明施工的监督管理力度，防范和消除安全隐患，保证施工安全，甲方有权利对乙方的安全管理相关事项进行考核。</w:t>
      </w:r>
    </w:p>
    <w:p>
      <w:pPr>
        <w:topLinePunct/>
        <w:adjustRightInd w:val="0"/>
        <w:snapToGrid w:val="0"/>
        <w:spacing w:line="560" w:lineRule="exact"/>
        <w:ind w:firstLine="480"/>
        <w:rPr>
          <w:rFonts w:hint="eastAsia"/>
          <w:color w:val="000000" w:themeColor="text1"/>
          <w:kern w:val="13"/>
          <w:sz w:val="24"/>
          <w14:textFill>
            <w14:solidFill>
              <w14:schemeClr w14:val="tx1"/>
            </w14:solidFill>
          </w14:textFill>
        </w:rPr>
      </w:pPr>
      <w:r>
        <w:rPr>
          <w:rFonts w:hint="eastAsia"/>
          <w:color w:val="000000" w:themeColor="text1"/>
          <w:sz w:val="24"/>
          <w14:textFill>
            <w14:solidFill>
              <w14:schemeClr w14:val="tx1"/>
            </w14:solidFill>
          </w14:textFill>
        </w:rPr>
        <w:t xml:space="preserve">4.1 </w:t>
      </w:r>
      <w:r>
        <w:rPr>
          <w:rFonts w:hint="eastAsia"/>
          <w:color w:val="000000" w:themeColor="text1"/>
          <w:kern w:val="13"/>
          <w:sz w:val="24"/>
          <w14:textFill>
            <w14:solidFill>
              <w14:schemeClr w14:val="tx1"/>
            </w14:solidFill>
          </w14:textFill>
        </w:rPr>
        <w:t>施工过程中，乙方须认可甲方制定的《外委单位安全管理考核实施细则》，如发生违反安全生产和文明施工管理规定的情况，乙方应当按照《外委单位安全管理考核实施细则》的规定承担相应的违约责任；乙方在安全管理工作中表现突出做出贡献的，甲方对乙方予以奖励。</w:t>
      </w:r>
    </w:p>
    <w:p>
      <w:pPr>
        <w:spacing w:line="560" w:lineRule="exact"/>
        <w:ind w:firstLine="480"/>
        <w:rPr>
          <w:rFonts w:hint="eastAsia"/>
          <w:color w:val="000000" w:themeColor="text1"/>
          <w:kern w:val="13"/>
          <w:sz w:val="24"/>
          <w14:textFill>
            <w14:solidFill>
              <w14:schemeClr w14:val="tx1"/>
            </w14:solidFill>
          </w14:textFill>
        </w:rPr>
      </w:pPr>
      <w:r>
        <w:rPr>
          <w:rFonts w:hint="eastAsia"/>
          <w:color w:val="000000" w:themeColor="text1"/>
          <w:kern w:val="13"/>
          <w:sz w:val="24"/>
          <w14:textFill>
            <w14:solidFill>
              <w14:schemeClr w14:val="tx1"/>
            </w14:solidFill>
          </w14:textFill>
        </w:rPr>
        <w:t>4.2 甲乙双方签订固定价款合同，依据《外委单位安全管理考核实施细则》，乙方违反相关规定，应当承担违约责任并向甲方支付违约金的，甲方从合同价款中直接扣除。</w:t>
      </w:r>
    </w:p>
    <w:p>
      <w:pPr>
        <w:topLinePunct/>
        <w:adjustRightInd w:val="0"/>
        <w:snapToGrid w:val="0"/>
        <w:spacing w:line="560" w:lineRule="exact"/>
        <w:ind w:firstLine="480"/>
        <w:rPr>
          <w:rFonts w:hint="eastAsia"/>
          <w:color w:val="000000" w:themeColor="text1"/>
          <w:kern w:val="13"/>
          <w:sz w:val="24"/>
          <w14:textFill>
            <w14:solidFill>
              <w14:schemeClr w14:val="tx1"/>
            </w14:solidFill>
          </w14:textFill>
        </w:rPr>
      </w:pPr>
      <w:r>
        <w:rPr>
          <w:rFonts w:hint="eastAsia"/>
          <w:color w:val="000000" w:themeColor="text1"/>
          <w:kern w:val="13"/>
          <w:sz w:val="24"/>
          <w14:textFill>
            <w14:solidFill>
              <w14:schemeClr w14:val="tx1"/>
            </w14:solidFill>
          </w14:textFill>
        </w:rPr>
        <w:t>4.3甲乙双方签订非固定总价合同的，在施工结束时，奖金和违约金并入项目合同款结算。</w:t>
      </w:r>
    </w:p>
    <w:p>
      <w:pPr>
        <w:topLinePunct/>
        <w:adjustRightInd w:val="0"/>
        <w:snapToGrid w:val="0"/>
        <w:spacing w:line="560" w:lineRule="exact"/>
        <w:ind w:firstLine="482"/>
        <w:rPr>
          <w:rFonts w:hint="eastAsia"/>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5. 其他条款</w:t>
      </w:r>
    </w:p>
    <w:p>
      <w:pPr>
        <w:spacing w:line="560" w:lineRule="exact"/>
        <w:ind w:firstLine="480"/>
        <w:rPr>
          <w:rFonts w:hint="eastAsia"/>
          <w:color w:val="000000" w:themeColor="text1"/>
          <w:kern w:val="13"/>
          <w:sz w:val="24"/>
          <w14:textFill>
            <w14:solidFill>
              <w14:schemeClr w14:val="tx1"/>
            </w14:solidFill>
          </w14:textFill>
        </w:rPr>
      </w:pPr>
      <w:r>
        <w:rPr>
          <w:rFonts w:hint="eastAsia"/>
          <w:color w:val="000000" w:themeColor="text1"/>
          <w:kern w:val="13"/>
          <w:sz w:val="24"/>
          <w14:textFill>
            <w14:solidFill>
              <w14:schemeClr w14:val="tx1"/>
            </w14:solidFill>
          </w14:textFill>
        </w:rPr>
        <w:t xml:space="preserve">除以上通用条款外，本项目实施过程中，双方还需遵守以下约定： </w:t>
      </w:r>
    </w:p>
    <w:p>
      <w:pPr>
        <w:topLinePunct/>
        <w:adjustRightInd w:val="0"/>
        <w:snapToGrid w:val="0"/>
        <w:spacing w:line="560" w:lineRule="exact"/>
        <w:ind w:firstLine="480"/>
        <w:rPr>
          <w:rFonts w:hint="eastAsia"/>
          <w:snapToGrid w:val="0"/>
          <w:color w:val="000000" w:themeColor="text1"/>
          <w:kern w:val="0"/>
          <w:sz w:val="24"/>
          <w:u w:val="single"/>
          <w14:textFill>
            <w14:solidFill>
              <w14:schemeClr w14:val="tx1"/>
            </w14:solidFill>
          </w14:textFill>
        </w:rPr>
      </w:pPr>
      <w:permStart w:id="9" w:edGrp="everyone"/>
      <w:r>
        <w:rPr>
          <w:rFonts w:hint="eastAsia"/>
          <w:snapToGrid w:val="0"/>
          <w:color w:val="000000" w:themeColor="text1"/>
          <w:kern w:val="0"/>
          <w:sz w:val="24"/>
          <w14:textFill>
            <w14:solidFill>
              <w14:schemeClr w14:val="tx1"/>
            </w14:solidFill>
          </w14:textFill>
        </w:rPr>
        <w:t xml:space="preserve">5.1 </w:t>
      </w:r>
      <w:r>
        <w:rPr>
          <w:rFonts w:hint="eastAsia"/>
          <w:snapToGrid w:val="0"/>
          <w:color w:val="000000" w:themeColor="text1"/>
          <w:kern w:val="0"/>
          <w:sz w:val="24"/>
          <w:u w:val="single"/>
          <w14:textFill>
            <w14:solidFill>
              <w14:schemeClr w14:val="tx1"/>
            </w14:solidFill>
          </w14:textFill>
        </w:rPr>
        <w:t xml:space="preserve">                       /                              </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 xml:space="preserve">5.2 </w:t>
      </w:r>
      <w:r>
        <w:rPr>
          <w:rFonts w:hint="eastAsia"/>
          <w:snapToGrid w:val="0"/>
          <w:color w:val="000000" w:themeColor="text1"/>
          <w:kern w:val="0"/>
          <w:sz w:val="24"/>
          <w:u w:val="single"/>
          <w14:textFill>
            <w14:solidFill>
              <w14:schemeClr w14:val="tx1"/>
            </w14:solidFill>
          </w14:textFill>
        </w:rPr>
        <w:t xml:space="preserve">                       /                             </w:t>
      </w:r>
    </w:p>
    <w:permEnd w:id="9"/>
    <w:p>
      <w:pPr>
        <w:topLinePunct/>
        <w:adjustRightInd w:val="0"/>
        <w:snapToGrid w:val="0"/>
        <w:spacing w:line="560" w:lineRule="exact"/>
        <w:ind w:firstLine="482"/>
        <w:rPr>
          <w:rFonts w:hint="eastAsia"/>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6. 违约责任</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6.1 因乙方人员的不安全行为、物的不安全状态、管理缺陷等导致事件事故，所造成损失由乙方全部承担，乙方应对事故事件负全部责任，并接受甲方及相关行政主管部门的相关处罚。</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6.2 因乙方原因在施工现场内造成甲方或第三方人员伤亡、财产损失的，由乙方承担全部责任和经济损失。</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6.3 乙方违反本协议，情节严重时，甲方有权终止双方签订的有关施工合同，由乙方承担全部责任和经济损失。</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6.4  如因甲方违约造成安全事故，依法追究甲方责任。</w:t>
      </w:r>
    </w:p>
    <w:p>
      <w:pPr>
        <w:topLinePunct/>
        <w:adjustRightInd w:val="0"/>
        <w:snapToGrid w:val="0"/>
        <w:spacing w:line="560" w:lineRule="exact"/>
        <w:ind w:firstLine="482"/>
        <w:rPr>
          <w:rFonts w:hint="eastAsia"/>
          <w:b/>
          <w:snapToGrid w:val="0"/>
          <w:color w:val="000000" w:themeColor="text1"/>
          <w:kern w:val="0"/>
          <w:sz w:val="24"/>
          <w14:textFill>
            <w14:solidFill>
              <w14:schemeClr w14:val="tx1"/>
            </w14:solidFill>
          </w14:textFill>
        </w:rPr>
      </w:pPr>
      <w:r>
        <w:rPr>
          <w:rFonts w:hint="eastAsia"/>
          <w:b/>
          <w:snapToGrid w:val="0"/>
          <w:color w:val="000000" w:themeColor="text1"/>
          <w:kern w:val="0"/>
          <w:sz w:val="24"/>
          <w14:textFill>
            <w14:solidFill>
              <w14:schemeClr w14:val="tx1"/>
            </w14:solidFill>
          </w14:textFill>
        </w:rPr>
        <w:t>7. 其他</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7.1 本协议一式</w:t>
      </w:r>
      <w:permStart w:id="10" w:edGrp="everyone"/>
      <w:r>
        <w:rPr>
          <w:rFonts w:hint="eastAsia"/>
          <w:snapToGrid w:val="0"/>
          <w:color w:val="000000" w:themeColor="text1"/>
          <w:kern w:val="0"/>
          <w:sz w:val="24"/>
          <w:u w:val="single"/>
          <w14:textFill>
            <w14:solidFill>
              <w14:schemeClr w14:val="tx1"/>
            </w14:solidFill>
          </w14:textFill>
        </w:rPr>
        <w:t xml:space="preserve"> 6 </w:t>
      </w:r>
      <w:permEnd w:id="10"/>
      <w:r>
        <w:rPr>
          <w:rFonts w:hint="eastAsia"/>
          <w:snapToGrid w:val="0"/>
          <w:color w:val="000000" w:themeColor="text1"/>
          <w:kern w:val="0"/>
          <w:sz w:val="24"/>
          <w14:textFill>
            <w14:solidFill>
              <w14:schemeClr w14:val="tx1"/>
            </w14:solidFill>
          </w14:textFill>
        </w:rPr>
        <w:t>份，合同双方各执</w:t>
      </w:r>
      <w:permStart w:id="11" w:edGrp="everyone"/>
      <w:r>
        <w:rPr>
          <w:rFonts w:hint="eastAsia"/>
          <w:snapToGrid w:val="0"/>
          <w:color w:val="000000" w:themeColor="text1"/>
          <w:kern w:val="0"/>
          <w:sz w:val="24"/>
          <w:u w:val="single"/>
          <w14:textFill>
            <w14:solidFill>
              <w14:schemeClr w14:val="tx1"/>
            </w14:solidFill>
          </w14:textFill>
        </w:rPr>
        <w:t xml:space="preserve"> 3 </w:t>
      </w:r>
      <w:permEnd w:id="11"/>
      <w:r>
        <w:rPr>
          <w:rFonts w:hint="eastAsia"/>
          <w:snapToGrid w:val="0"/>
          <w:color w:val="000000" w:themeColor="text1"/>
          <w:kern w:val="0"/>
          <w:sz w:val="24"/>
          <w14:textFill>
            <w14:solidFill>
              <w14:schemeClr w14:val="tx1"/>
            </w14:solidFill>
          </w14:textFill>
        </w:rPr>
        <w:t>份。</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7.2 本协议由双方法定代表人或其授权代表签字并加盖双方法人公章后生效。</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7.3 本协议所涉及全部工程竣工验收后本协议失效。</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7.4 在本协议失效后，如乙方因其他原因需派遣工作人员进入项目现场或甲方管理区域的，需主动重新签订安全协议，如未及时签订，则本协议约定内容对甲乙双方继续有效，直至甲乙双方签订新的安全协议。</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7.5 本协议的争议解决方式同</w:t>
      </w:r>
      <w:permStart w:id="12" w:edGrp="everyone"/>
      <w:r>
        <w:rPr>
          <w:rFonts w:hint="eastAsia"/>
          <w:snapToGrid w:val="0"/>
          <w:color w:val="000000" w:themeColor="text1"/>
          <w:kern w:val="0"/>
          <w:sz w:val="24"/>
          <w:u w:val="single"/>
          <w14:textFill>
            <w14:solidFill>
              <w14:schemeClr w14:val="tx1"/>
            </w14:solidFill>
          </w14:textFill>
        </w:rPr>
        <w:t>（绍兴华茂化纤有限公司4.8MW/10.4MWh电化学储能电站项目PC总承包合同）</w:t>
      </w:r>
      <w:permEnd w:id="12"/>
      <w:r>
        <w:rPr>
          <w:rFonts w:hint="eastAsia"/>
          <w:snapToGrid w:val="0"/>
          <w:color w:val="000000" w:themeColor="text1"/>
          <w:kern w:val="0"/>
          <w:sz w:val="24"/>
          <w14:textFill>
            <w14:solidFill>
              <w14:schemeClr w14:val="tx1"/>
            </w14:solidFill>
          </w14:textFill>
        </w:rPr>
        <w:t>约定的争议解决方式。</w:t>
      </w:r>
    </w:p>
    <w:p>
      <w:pPr>
        <w:topLinePunct/>
        <w:adjustRightInd w:val="0"/>
        <w:snapToGrid w:val="0"/>
        <w:spacing w:line="560" w:lineRule="exact"/>
        <w:ind w:firstLine="480"/>
        <w:rPr>
          <w:rFonts w:hint="eastAsia"/>
          <w:snapToGrid w:val="0"/>
          <w:color w:val="000000" w:themeColor="text1"/>
          <w:kern w:val="0"/>
          <w:sz w:val="24"/>
          <w14:textFill>
            <w14:solidFill>
              <w14:schemeClr w14:val="tx1"/>
            </w14:solidFill>
          </w14:textFill>
        </w:rPr>
      </w:pPr>
      <w:r>
        <w:rPr>
          <w:rFonts w:hint="eastAsia"/>
          <w:snapToGrid w:val="0"/>
          <w:color w:val="000000" w:themeColor="text1"/>
          <w:kern w:val="0"/>
          <w:sz w:val="24"/>
          <w14:textFill>
            <w14:solidFill>
              <w14:schemeClr w14:val="tx1"/>
            </w14:solidFill>
          </w14:textFill>
        </w:rPr>
        <w:t>（以下无正文）</w:t>
      </w:r>
    </w:p>
    <w:p>
      <w:pPr>
        <w:topLinePunct/>
        <w:adjustRightInd w:val="0"/>
        <w:snapToGrid w:val="0"/>
        <w:spacing w:line="300" w:lineRule="auto"/>
        <w:ind w:firstLine="560"/>
        <w:jc w:val="left"/>
        <w:rPr>
          <w:rFonts w:hint="eastAsia"/>
          <w:snapToGrid w:val="0"/>
          <w:color w:val="000000" w:themeColor="text1"/>
          <w:kern w:val="0"/>
          <w:sz w:val="28"/>
          <w:szCs w:val="28"/>
          <w14:textFill>
            <w14:solidFill>
              <w14:schemeClr w14:val="tx1"/>
            </w14:solidFill>
          </w14:textFill>
        </w:rPr>
      </w:pPr>
      <w:r>
        <w:rPr>
          <w:rFonts w:hint="eastAsia" w:ascii="微软雅黑" w:hAnsi="微软雅黑" w:eastAsia="微软雅黑"/>
          <w:b/>
          <w:color w:val="000000" w:themeColor="text1"/>
          <w:sz w:val="28"/>
          <w:szCs w:val="28"/>
          <w14:textFill>
            <w14:solidFill>
              <w14:schemeClr w14:val="tx1"/>
            </w14:solidFill>
          </w14:textFill>
        </w:rPr>
        <w:t>双方对本协议约定的内容无异议，并清楚的知道签署本协议后应当享有和履行的权利和义务。</w:t>
      </w: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甲方（盖章）：北京京能数字科技有限公司</w:t>
      </w: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法定代表人(或授权的代理人)：</w:t>
      </w: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地   址：北京市大兴区经济开发区科苑路18号3幢二层R2116室</w:t>
      </w: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电   话：010-68242043</w:t>
      </w: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传   真：</w:t>
      </w:r>
      <w:r>
        <w:rPr>
          <w:rFonts w:hint="eastAsia" w:cs="Times New Roman"/>
          <w:snapToGrid w:val="0"/>
          <w:color w:val="000000" w:themeColor="text1"/>
          <w:kern w:val="0"/>
          <w:sz w:val="28"/>
          <w:szCs w:val="28"/>
          <w14:textFill>
            <w14:solidFill>
              <w14:schemeClr w14:val="tx1"/>
            </w14:solidFill>
          </w14:textFill>
        </w:rPr>
        <w:t>010-68242043</w:t>
      </w: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日   期：        年     月     日</w:t>
      </w: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乙方（盖章）：</w:t>
      </w:r>
      <w:permStart w:id="13" w:edGrp="everyone"/>
      <w:r>
        <w:rPr>
          <w:rFonts w:hint="eastAsia"/>
          <w:snapToGrid w:val="0"/>
          <w:color w:val="000000" w:themeColor="text1"/>
          <w:kern w:val="0"/>
          <w:sz w:val="28"/>
          <w:szCs w:val="28"/>
          <w:u w:val="single"/>
          <w14:textFill>
            <w14:solidFill>
              <w14:schemeClr w14:val="tx1"/>
            </w14:solidFill>
          </w14:textFill>
        </w:rPr>
        <w:t xml:space="preserve"> 许继电气股份有限公司 </w:t>
      </w:r>
      <w:permEnd w:id="13"/>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法定代表人(或授权的代理人)：</w:t>
      </w:r>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地   址：</w:t>
      </w:r>
      <w:permStart w:id="14" w:edGrp="everyone"/>
      <w:r>
        <w:rPr>
          <w:rFonts w:hint="eastAsia"/>
          <w:snapToGrid w:val="0"/>
          <w:color w:val="000000" w:themeColor="text1"/>
          <w:kern w:val="0"/>
          <w:sz w:val="28"/>
          <w:szCs w:val="28"/>
          <w:u w:val="single"/>
          <w14:textFill>
            <w14:solidFill>
              <w14:schemeClr w14:val="tx1"/>
            </w14:solidFill>
          </w14:textFill>
        </w:rPr>
        <w:t xml:space="preserve"> 河南省许昌市许继大道1298号 </w:t>
      </w:r>
      <w:permEnd w:id="14"/>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电   话：</w:t>
      </w:r>
      <w:permStart w:id="15" w:edGrp="everyone"/>
      <w:r>
        <w:rPr>
          <w:rFonts w:hint="eastAsia"/>
          <w:snapToGrid w:val="0"/>
          <w:color w:val="000000" w:themeColor="text1"/>
          <w:kern w:val="0"/>
          <w:sz w:val="28"/>
          <w:szCs w:val="28"/>
          <w14:textFill>
            <w14:solidFill>
              <w14:schemeClr w14:val="tx1"/>
            </w14:solidFill>
          </w14:textFill>
        </w:rPr>
        <w:t xml:space="preserve">                 </w:t>
      </w:r>
      <w:permEnd w:id="15"/>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传   真：</w:t>
      </w:r>
      <w:permStart w:id="16" w:edGrp="everyone"/>
      <w:r>
        <w:rPr>
          <w:rFonts w:hint="eastAsia"/>
          <w:snapToGrid w:val="0"/>
          <w:color w:val="000000" w:themeColor="text1"/>
          <w:kern w:val="0"/>
          <w:sz w:val="28"/>
          <w:szCs w:val="28"/>
          <w14:textFill>
            <w14:solidFill>
              <w14:schemeClr w14:val="tx1"/>
            </w14:solidFill>
          </w14:textFill>
        </w:rPr>
        <w:t xml:space="preserve">                 </w:t>
      </w:r>
      <w:permEnd w:id="16"/>
    </w:p>
    <w:p>
      <w:pPr>
        <w:topLinePunct/>
        <w:adjustRightInd w:val="0"/>
        <w:snapToGrid w:val="0"/>
        <w:spacing w:before="120" w:beforeLines="50" w:after="240" w:afterLines="100" w:line="300" w:lineRule="auto"/>
        <w:ind w:firstLine="560"/>
        <w:rPr>
          <w:rFonts w:hint="eastAsia"/>
          <w:snapToGrid w:val="0"/>
          <w:color w:val="000000" w:themeColor="text1"/>
          <w:kern w:val="0"/>
          <w:sz w:val="28"/>
          <w:szCs w:val="28"/>
          <w14:textFill>
            <w14:solidFill>
              <w14:schemeClr w14:val="tx1"/>
            </w14:solidFill>
          </w14:textFill>
        </w:rPr>
      </w:pPr>
      <w:r>
        <w:rPr>
          <w:rFonts w:hint="eastAsia"/>
          <w:snapToGrid w:val="0"/>
          <w:color w:val="000000" w:themeColor="text1"/>
          <w:kern w:val="0"/>
          <w:sz w:val="28"/>
          <w:szCs w:val="28"/>
          <w14:textFill>
            <w14:solidFill>
              <w14:schemeClr w14:val="tx1"/>
            </w14:solidFill>
          </w14:textFill>
        </w:rPr>
        <w:t xml:space="preserve">日   期：        年    </w:t>
      </w:r>
      <w:permStart w:id="17" w:edGrp="everyone"/>
      <w:permEnd w:id="17"/>
      <w:r>
        <w:rPr>
          <w:rFonts w:hint="eastAsia"/>
          <w:snapToGrid w:val="0"/>
          <w:color w:val="000000" w:themeColor="text1"/>
          <w:kern w:val="0"/>
          <w:sz w:val="28"/>
          <w:szCs w:val="28"/>
          <w14:textFill>
            <w14:solidFill>
              <w14:schemeClr w14:val="tx1"/>
            </w14:solidFill>
          </w14:textFill>
        </w:rPr>
        <w:t xml:space="preserve"> 月     日</w:t>
      </w:r>
    </w:p>
    <w:p>
      <w:pPr>
        <w:widowControl/>
        <w:ind w:firstLine="422"/>
        <w:rPr>
          <w:rFonts w:hint="eastAsia"/>
          <w:b/>
          <w:color w:val="000000"/>
          <w:kern w:val="0"/>
          <w:szCs w:val="21"/>
          <w:lang w:bidi="ar"/>
        </w:rPr>
      </w:pPr>
      <w:bookmarkStart w:id="735" w:name="_Toc27157"/>
      <w:bookmarkStart w:id="736" w:name="_Toc129848694"/>
      <w:bookmarkStart w:id="737" w:name="_Toc20360"/>
    </w:p>
    <w:p>
      <w:pPr>
        <w:widowControl/>
        <w:ind w:firstLine="422"/>
        <w:rPr>
          <w:rFonts w:hint="eastAsia"/>
          <w:b/>
          <w:color w:val="000000"/>
          <w:kern w:val="0"/>
          <w:szCs w:val="21"/>
          <w:lang w:bidi="ar"/>
        </w:rPr>
      </w:pPr>
    </w:p>
    <w:p>
      <w:pPr>
        <w:widowControl/>
        <w:ind w:firstLine="422"/>
        <w:rPr>
          <w:rFonts w:hint="eastAsia"/>
          <w:b/>
          <w:color w:val="000000"/>
          <w:kern w:val="0"/>
          <w:szCs w:val="21"/>
          <w:lang w:bidi="ar"/>
        </w:rPr>
      </w:pPr>
    </w:p>
    <w:p>
      <w:pPr>
        <w:widowControl/>
        <w:ind w:firstLine="422"/>
        <w:rPr>
          <w:rFonts w:hint="eastAsia"/>
          <w:b/>
          <w:color w:val="000000"/>
          <w:kern w:val="0"/>
          <w:szCs w:val="21"/>
          <w:lang w:bidi="ar"/>
        </w:rPr>
      </w:pPr>
    </w:p>
    <w:p>
      <w:pPr>
        <w:pStyle w:val="19"/>
      </w:pPr>
      <w:bookmarkStart w:id="738" w:name="_Toc170377988"/>
      <w:bookmarkStart w:id="739" w:name="_Toc22741"/>
      <w:r>
        <w:t>附件五：工程档案管理要求</w:t>
      </w:r>
      <w:bookmarkEnd w:id="735"/>
      <w:bookmarkEnd w:id="736"/>
      <w:bookmarkEnd w:id="737"/>
      <w:bookmarkEnd w:id="738"/>
      <w:bookmarkEnd w:id="739"/>
    </w:p>
    <w:p>
      <w:pPr>
        <w:adjustRightInd w:val="0"/>
        <w:snapToGrid w:val="0"/>
        <w:spacing w:line="480" w:lineRule="atLeast"/>
        <w:ind w:firstLine="422"/>
        <w:jc w:val="center"/>
        <w:rPr>
          <w:rFonts w:hint="eastAsia"/>
          <w:b/>
          <w:snapToGrid w:val="0"/>
          <w:kern w:val="0"/>
          <w:szCs w:val="21"/>
        </w:rPr>
      </w:pPr>
      <w:bookmarkStart w:id="740" w:name="_Toc8821"/>
      <w:bookmarkStart w:id="741" w:name="_Toc8922"/>
      <w:r>
        <w:rPr>
          <w:b/>
          <w:snapToGrid w:val="0"/>
          <w:kern w:val="0"/>
          <w:szCs w:val="21"/>
        </w:rPr>
        <w:t>第一章总则</w:t>
      </w:r>
      <w:bookmarkEnd w:id="740"/>
      <w:bookmarkEnd w:id="741"/>
    </w:p>
    <w:p>
      <w:pPr>
        <w:adjustRightInd w:val="0"/>
        <w:snapToGrid w:val="0"/>
        <w:spacing w:line="480" w:lineRule="atLeast"/>
        <w:rPr>
          <w:rFonts w:hint="eastAsia"/>
          <w:kern w:val="0"/>
          <w:szCs w:val="21"/>
        </w:rPr>
      </w:pPr>
      <w:r>
        <w:rPr>
          <w:kern w:val="0"/>
          <w:szCs w:val="21"/>
        </w:rPr>
        <w:t>第一条建设项目工程竣工档案与工程质量和项目管理息息相关，是基建工程的重要组成部分，是真正反映工程质量程度的重要依据，是工程验收的必备条件，是日后维修改扩建工作的重要凭证。</w:t>
      </w:r>
    </w:p>
    <w:p>
      <w:pPr>
        <w:adjustRightInd w:val="0"/>
        <w:snapToGrid w:val="0"/>
        <w:spacing w:line="480" w:lineRule="atLeast"/>
        <w:rPr>
          <w:rFonts w:hint="eastAsia"/>
          <w:kern w:val="0"/>
          <w:szCs w:val="21"/>
        </w:rPr>
      </w:pPr>
      <w:r>
        <w:rPr>
          <w:kern w:val="0"/>
          <w:szCs w:val="21"/>
        </w:rPr>
        <w:t>第二条为进一步规范</w:t>
      </w:r>
      <w:r>
        <w:rPr>
          <w:rFonts w:hint="eastAsia"/>
          <w:color w:val="FF0000"/>
          <w:u w:val="single"/>
        </w:rPr>
        <w:t>绍兴华茂化纤有限公司4.8MW/10.4MWh电化学储能电站</w:t>
      </w:r>
      <w:r>
        <w:rPr>
          <w:kern w:val="0"/>
          <w:szCs w:val="21"/>
        </w:rPr>
        <w:t xml:space="preserve">项目工程的档案管理，采取有效措施加强建设项目档案的收集、整理、归档、保管、有效利用，提高工作效率，保证项目档案与项目建设同步管理，保障 </w:t>
      </w:r>
      <w:r>
        <w:rPr>
          <w:rFonts w:hint="eastAsia"/>
          <w:color w:val="FF0000"/>
          <w:u w:val="single"/>
        </w:rPr>
        <w:t>绍兴华茂化纤有限公司4.8MW/10.4MWh电化学储能电站</w:t>
      </w:r>
      <w:r>
        <w:rPr>
          <w:kern w:val="0"/>
          <w:szCs w:val="21"/>
        </w:rPr>
        <w:t>项目工程竣工档案质量的齐全、完整、准确、系统、规范，本工程建设期间档案管理的信息收集、整理、归档、保存及最终移交等，由总包方全权负责。项目后期由总包方整体移交给发包方和相关部门，并满足创优要求。根据国家、行业档案管理法律法规、规范、标准及中国能源建设股份有限公司的有关规定，结合公司实际，制定本办法。</w:t>
      </w:r>
    </w:p>
    <w:p>
      <w:pPr>
        <w:adjustRightInd w:val="0"/>
        <w:snapToGrid w:val="0"/>
        <w:spacing w:line="480" w:lineRule="atLeast"/>
        <w:rPr>
          <w:rFonts w:hint="eastAsia"/>
          <w:kern w:val="0"/>
          <w:szCs w:val="21"/>
        </w:rPr>
      </w:pPr>
      <w:r>
        <w:rPr>
          <w:kern w:val="0"/>
          <w:szCs w:val="21"/>
        </w:rPr>
        <w:t>第三条本办法所称总包工程，是指以合同方式委托总承包单位承包</w:t>
      </w:r>
      <w:r>
        <w:rPr>
          <w:rFonts w:hint="eastAsia"/>
          <w:color w:val="FF0000"/>
          <w:u w:val="single"/>
        </w:rPr>
        <w:t>绍兴华茂化纤有限公司4.8MW/10.4MWh电化学储能电站</w:t>
      </w:r>
      <w:r>
        <w:rPr>
          <w:kern w:val="0"/>
          <w:szCs w:val="21"/>
        </w:rPr>
        <w:t>项目工程按基建管理程序作业和其他服务、承包等经营项目。</w:t>
      </w:r>
    </w:p>
    <w:p>
      <w:pPr>
        <w:adjustRightInd w:val="0"/>
        <w:snapToGrid w:val="0"/>
        <w:spacing w:line="480" w:lineRule="atLeast"/>
        <w:ind w:firstLine="422"/>
        <w:jc w:val="center"/>
        <w:rPr>
          <w:rFonts w:hint="eastAsia"/>
          <w:b/>
          <w:snapToGrid w:val="0"/>
          <w:kern w:val="0"/>
          <w:szCs w:val="21"/>
        </w:rPr>
      </w:pPr>
      <w:bookmarkStart w:id="742" w:name="_Toc9343"/>
      <w:bookmarkStart w:id="743" w:name="_Toc27421"/>
      <w:r>
        <w:rPr>
          <w:b/>
          <w:snapToGrid w:val="0"/>
          <w:kern w:val="0"/>
          <w:szCs w:val="21"/>
        </w:rPr>
        <w:t>第二章工程档案达标创优目标</w:t>
      </w:r>
      <w:bookmarkEnd w:id="742"/>
      <w:bookmarkEnd w:id="743"/>
    </w:p>
    <w:p>
      <w:pPr>
        <w:adjustRightInd w:val="0"/>
        <w:snapToGrid w:val="0"/>
        <w:spacing w:line="480" w:lineRule="atLeast"/>
        <w:rPr>
          <w:rFonts w:hint="eastAsia"/>
          <w:kern w:val="0"/>
          <w:szCs w:val="21"/>
        </w:rPr>
      </w:pPr>
      <w:r>
        <w:rPr>
          <w:kern w:val="0"/>
          <w:szCs w:val="21"/>
        </w:rPr>
        <w:t>第四条工程档案质量目标：</w:t>
      </w:r>
    </w:p>
    <w:p>
      <w:pPr>
        <w:adjustRightInd w:val="0"/>
        <w:snapToGrid w:val="0"/>
        <w:spacing w:line="480" w:lineRule="atLeast"/>
        <w:rPr>
          <w:rFonts w:hint="eastAsia"/>
          <w:kern w:val="0"/>
          <w:szCs w:val="21"/>
        </w:rPr>
      </w:pPr>
      <w:r>
        <w:rPr>
          <w:kern w:val="0"/>
          <w:szCs w:val="21"/>
        </w:rPr>
        <w:t>全部工程档案在合同工程完工验收后三个月内移交；工程档案移交的完整率、准确率均达到100％。档案管理质量符合国家及行业档案验收规范，档案专项验收达到一次性验收合格。高标准通过电力工程达标投产档案验收；</w:t>
      </w:r>
    </w:p>
    <w:p>
      <w:pPr>
        <w:adjustRightInd w:val="0"/>
        <w:snapToGrid w:val="0"/>
        <w:spacing w:line="480" w:lineRule="atLeast"/>
        <w:rPr>
          <w:rFonts w:hint="eastAsia"/>
          <w:kern w:val="0"/>
          <w:szCs w:val="21"/>
        </w:rPr>
      </w:pPr>
      <w:r>
        <w:rPr>
          <w:kern w:val="0"/>
          <w:szCs w:val="21"/>
        </w:rPr>
        <w:t>第五条工程档案创优目标</w:t>
      </w:r>
    </w:p>
    <w:p>
      <w:pPr>
        <w:adjustRightInd w:val="0"/>
        <w:snapToGrid w:val="0"/>
        <w:spacing w:line="480" w:lineRule="atLeast"/>
        <w:rPr>
          <w:rFonts w:hint="eastAsia"/>
          <w:kern w:val="0"/>
          <w:szCs w:val="21"/>
        </w:rPr>
      </w:pPr>
      <w:r>
        <w:rPr>
          <w:kern w:val="0"/>
          <w:szCs w:val="21"/>
        </w:rPr>
        <w:t>总包方围绕发包方工程达标创优的总体目标，制定档案管理方案及保证措施，实现工程建设档案管理全过程受控；开展过程监督检查，确保总包工程档案“高标准形成、高水平整理、高质量如期移交”，以创优促管理、以管理促精品。为发包方实现创优目标奠定良好的基础。</w:t>
      </w:r>
    </w:p>
    <w:p>
      <w:pPr>
        <w:adjustRightInd w:val="0"/>
        <w:snapToGrid w:val="0"/>
        <w:spacing w:line="480" w:lineRule="atLeast"/>
        <w:ind w:firstLine="422"/>
        <w:jc w:val="center"/>
        <w:rPr>
          <w:rFonts w:hint="eastAsia"/>
          <w:b/>
          <w:snapToGrid w:val="0"/>
          <w:kern w:val="0"/>
          <w:szCs w:val="21"/>
        </w:rPr>
      </w:pPr>
      <w:bookmarkStart w:id="744" w:name="_Toc7301"/>
      <w:bookmarkStart w:id="745" w:name="_Toc162"/>
      <w:r>
        <w:rPr>
          <w:b/>
          <w:snapToGrid w:val="0"/>
          <w:kern w:val="0"/>
          <w:szCs w:val="21"/>
        </w:rPr>
        <w:t>第三章规范性引用文件</w:t>
      </w:r>
      <w:bookmarkEnd w:id="744"/>
      <w:bookmarkEnd w:id="745"/>
    </w:p>
    <w:p>
      <w:pPr>
        <w:adjustRightInd w:val="0"/>
        <w:snapToGrid w:val="0"/>
        <w:spacing w:line="480" w:lineRule="atLeast"/>
        <w:rPr>
          <w:rFonts w:hint="eastAsia"/>
          <w:kern w:val="0"/>
          <w:szCs w:val="21"/>
        </w:rPr>
      </w:pPr>
      <w:r>
        <w:rPr>
          <w:kern w:val="0"/>
          <w:szCs w:val="21"/>
        </w:rPr>
        <w:t>第六条规范性引用文件</w:t>
      </w:r>
    </w:p>
    <w:p>
      <w:pPr>
        <w:adjustRightInd w:val="0"/>
        <w:snapToGrid w:val="0"/>
        <w:spacing w:line="480" w:lineRule="atLeast"/>
        <w:rPr>
          <w:rFonts w:hint="eastAsia"/>
          <w:kern w:val="0"/>
          <w:szCs w:val="21"/>
        </w:rPr>
      </w:pPr>
      <w:r>
        <w:rPr>
          <w:kern w:val="0"/>
          <w:szCs w:val="21"/>
        </w:rPr>
        <w:t>下列文件对于本办法的应用是必不可少的。</w:t>
      </w:r>
    </w:p>
    <w:p>
      <w:pPr>
        <w:adjustRightInd w:val="0"/>
        <w:snapToGrid w:val="0"/>
        <w:spacing w:line="480" w:lineRule="atLeast"/>
        <w:rPr>
          <w:rFonts w:hint="eastAsia"/>
          <w:kern w:val="0"/>
          <w:szCs w:val="21"/>
        </w:rPr>
      </w:pPr>
      <w:r>
        <w:rPr>
          <w:kern w:val="0"/>
          <w:szCs w:val="21"/>
        </w:rPr>
        <w:t>《科学技术案卷构成的一般要求》（GB/T 11822）</w:t>
      </w:r>
    </w:p>
    <w:p>
      <w:pPr>
        <w:adjustRightInd w:val="0"/>
        <w:snapToGrid w:val="0"/>
        <w:spacing w:line="480" w:lineRule="atLeast"/>
        <w:rPr>
          <w:rFonts w:hint="eastAsia"/>
          <w:kern w:val="0"/>
          <w:szCs w:val="21"/>
        </w:rPr>
      </w:pPr>
      <w:bookmarkStart w:id="746" w:name="_Toc23089"/>
      <w:bookmarkStart w:id="747" w:name="_Toc14112"/>
      <w:r>
        <w:rPr>
          <w:kern w:val="0"/>
          <w:szCs w:val="21"/>
        </w:rPr>
        <w:t>《建设项目档案管理规范》（DA/T28）</w:t>
      </w:r>
      <w:bookmarkEnd w:id="746"/>
      <w:bookmarkEnd w:id="747"/>
    </w:p>
    <w:p>
      <w:pPr>
        <w:adjustRightInd w:val="0"/>
        <w:snapToGrid w:val="0"/>
        <w:spacing w:line="480" w:lineRule="atLeast"/>
        <w:rPr>
          <w:rFonts w:hint="eastAsia"/>
          <w:kern w:val="0"/>
          <w:szCs w:val="21"/>
        </w:rPr>
      </w:pPr>
      <w:r>
        <w:rPr>
          <w:kern w:val="0"/>
          <w:szCs w:val="21"/>
        </w:rPr>
        <w:t>《照片档案整理规范》（GB/T11821）</w:t>
      </w:r>
    </w:p>
    <w:p>
      <w:pPr>
        <w:adjustRightInd w:val="0"/>
        <w:snapToGrid w:val="0"/>
        <w:spacing w:line="480" w:lineRule="atLeast"/>
        <w:rPr>
          <w:rFonts w:hint="eastAsia"/>
          <w:kern w:val="0"/>
          <w:szCs w:val="21"/>
        </w:rPr>
      </w:pPr>
      <w:r>
        <w:rPr>
          <w:kern w:val="0"/>
          <w:szCs w:val="21"/>
        </w:rPr>
        <w:t>《电子文件归档与电子档案管理规范》（GB/T18894）</w:t>
      </w:r>
    </w:p>
    <w:p>
      <w:pPr>
        <w:adjustRightInd w:val="0"/>
        <w:snapToGrid w:val="0"/>
        <w:spacing w:line="480" w:lineRule="atLeast"/>
        <w:rPr>
          <w:rFonts w:hint="eastAsia"/>
          <w:kern w:val="0"/>
          <w:szCs w:val="21"/>
        </w:rPr>
      </w:pPr>
      <w:r>
        <w:rPr>
          <w:kern w:val="0"/>
          <w:szCs w:val="21"/>
        </w:rPr>
        <w:t>《纸质档案数字化技术规范》（DA/T31）</w:t>
      </w:r>
    </w:p>
    <w:p>
      <w:pPr>
        <w:adjustRightInd w:val="0"/>
        <w:snapToGrid w:val="0"/>
        <w:spacing w:line="480" w:lineRule="atLeast"/>
        <w:rPr>
          <w:rFonts w:hint="eastAsia"/>
          <w:kern w:val="0"/>
          <w:szCs w:val="21"/>
        </w:rPr>
      </w:pPr>
      <w:r>
        <w:rPr>
          <w:kern w:val="0"/>
          <w:szCs w:val="21"/>
        </w:rPr>
        <w:t>《重大建设项目档案验收办法》（档发〔2006〕2号）</w:t>
      </w:r>
    </w:p>
    <w:p>
      <w:pPr>
        <w:adjustRightInd w:val="0"/>
        <w:snapToGrid w:val="0"/>
        <w:spacing w:line="480" w:lineRule="atLeast"/>
        <w:rPr>
          <w:rFonts w:hint="eastAsia"/>
          <w:kern w:val="0"/>
          <w:szCs w:val="21"/>
        </w:rPr>
      </w:pPr>
      <w:r>
        <w:rPr>
          <w:kern w:val="0"/>
          <w:szCs w:val="21"/>
        </w:rPr>
        <w:t>《电力工程竣工图文件编制规定》（DL/T5229）</w:t>
      </w:r>
    </w:p>
    <w:p>
      <w:pPr>
        <w:adjustRightInd w:val="0"/>
        <w:snapToGrid w:val="0"/>
        <w:spacing w:line="480" w:lineRule="atLeast"/>
        <w:rPr>
          <w:rFonts w:hint="eastAsia"/>
          <w:kern w:val="0"/>
          <w:szCs w:val="21"/>
        </w:rPr>
      </w:pPr>
      <w:r>
        <w:rPr>
          <w:kern w:val="0"/>
          <w:szCs w:val="21"/>
        </w:rPr>
        <w:t>《电力工程达标投产管理办法》最新版</w:t>
      </w:r>
    </w:p>
    <w:p>
      <w:pPr>
        <w:adjustRightInd w:val="0"/>
        <w:snapToGrid w:val="0"/>
        <w:spacing w:line="480" w:lineRule="atLeast"/>
        <w:rPr>
          <w:rFonts w:hint="eastAsia"/>
          <w:kern w:val="0"/>
          <w:szCs w:val="21"/>
        </w:rPr>
      </w:pPr>
      <w:r>
        <w:rPr>
          <w:kern w:val="0"/>
          <w:szCs w:val="21"/>
        </w:rPr>
        <w:t>储能项目：</w:t>
      </w:r>
    </w:p>
    <w:p>
      <w:pPr>
        <w:adjustRightInd w:val="0"/>
        <w:snapToGrid w:val="0"/>
        <w:spacing w:line="480" w:lineRule="atLeast"/>
        <w:rPr>
          <w:rFonts w:hint="eastAsia"/>
          <w:kern w:val="0"/>
          <w:szCs w:val="21"/>
        </w:rPr>
      </w:pPr>
      <w:r>
        <w:rPr>
          <w:kern w:val="0"/>
          <w:szCs w:val="21"/>
        </w:rPr>
        <w:t>《储能发电工程验收规范》（GB∕T 50796-2012）</w:t>
      </w:r>
    </w:p>
    <w:p>
      <w:pPr>
        <w:adjustRightInd w:val="0"/>
        <w:snapToGrid w:val="0"/>
        <w:spacing w:line="480" w:lineRule="atLeast"/>
        <w:rPr>
          <w:rFonts w:hint="eastAsia"/>
          <w:kern w:val="0"/>
          <w:szCs w:val="21"/>
        </w:rPr>
      </w:pPr>
      <w:r>
        <w:rPr>
          <w:kern w:val="0"/>
          <w:szCs w:val="21"/>
        </w:rPr>
        <w:t>《电化学储能电站设计规范》GB51048-2014</w:t>
      </w:r>
    </w:p>
    <w:p>
      <w:pPr>
        <w:adjustRightInd w:val="0"/>
        <w:snapToGrid w:val="0"/>
        <w:spacing w:line="480" w:lineRule="atLeast"/>
        <w:rPr>
          <w:rFonts w:hint="eastAsia"/>
          <w:kern w:val="0"/>
          <w:szCs w:val="21"/>
        </w:rPr>
      </w:pPr>
      <w:r>
        <w:rPr>
          <w:kern w:val="0"/>
          <w:szCs w:val="21"/>
        </w:rPr>
        <w:t>《电力系统电化学储能系统通用技术条件》GB/T 36558-2018</w:t>
      </w:r>
    </w:p>
    <w:p>
      <w:pPr>
        <w:adjustRightInd w:val="0"/>
        <w:snapToGrid w:val="0"/>
        <w:spacing w:line="480" w:lineRule="atLeast"/>
        <w:rPr>
          <w:rFonts w:hint="eastAsia"/>
          <w:kern w:val="0"/>
          <w:szCs w:val="21"/>
        </w:rPr>
      </w:pPr>
      <w:r>
        <w:rPr>
          <w:kern w:val="0"/>
          <w:szCs w:val="21"/>
        </w:rPr>
        <w:t>《电化学储能电站用锂离子电池管理系统技术规范》GB/T 34131-2017</w:t>
      </w:r>
    </w:p>
    <w:p>
      <w:pPr>
        <w:adjustRightInd w:val="0"/>
        <w:snapToGrid w:val="0"/>
        <w:spacing w:line="480" w:lineRule="atLeast"/>
        <w:rPr>
          <w:rFonts w:hint="eastAsia"/>
          <w:kern w:val="0"/>
          <w:szCs w:val="21"/>
        </w:rPr>
      </w:pPr>
      <w:r>
        <w:rPr>
          <w:kern w:val="0"/>
          <w:szCs w:val="21"/>
        </w:rPr>
        <w:t>《电化学储能系统接入电网技术规定》GB/T 36547-2018</w:t>
      </w:r>
    </w:p>
    <w:p>
      <w:pPr>
        <w:adjustRightInd w:val="0"/>
        <w:snapToGrid w:val="0"/>
        <w:spacing w:line="480" w:lineRule="atLeast"/>
        <w:rPr>
          <w:rFonts w:hint="eastAsia"/>
          <w:kern w:val="0"/>
          <w:szCs w:val="21"/>
        </w:rPr>
      </w:pPr>
      <w:r>
        <w:rPr>
          <w:kern w:val="0"/>
          <w:szCs w:val="21"/>
        </w:rPr>
        <w:t>《电化学储能系统接入电网测试规范》GB/T 36548-2018</w:t>
      </w:r>
    </w:p>
    <w:p>
      <w:pPr>
        <w:adjustRightInd w:val="0"/>
        <w:snapToGrid w:val="0"/>
        <w:spacing w:line="480" w:lineRule="atLeast"/>
        <w:rPr>
          <w:rFonts w:hint="eastAsia"/>
          <w:kern w:val="0"/>
          <w:szCs w:val="21"/>
        </w:rPr>
      </w:pPr>
      <w:r>
        <w:rPr>
          <w:kern w:val="0"/>
          <w:szCs w:val="21"/>
        </w:rPr>
        <w:t>《电池储能电站设计技术规程》QGDW 11265</w:t>
      </w:r>
    </w:p>
    <w:p>
      <w:pPr>
        <w:adjustRightInd w:val="0"/>
        <w:snapToGrid w:val="0"/>
        <w:spacing w:line="480" w:lineRule="atLeast"/>
        <w:rPr>
          <w:rFonts w:hint="eastAsia"/>
          <w:kern w:val="0"/>
          <w:szCs w:val="21"/>
        </w:rPr>
      </w:pPr>
      <w:r>
        <w:rPr>
          <w:kern w:val="0"/>
          <w:szCs w:val="21"/>
        </w:rPr>
        <w:t>《建筑设计防火规范》GB 50016-2014（2018版）</w:t>
      </w:r>
    </w:p>
    <w:p>
      <w:pPr>
        <w:adjustRightInd w:val="0"/>
        <w:snapToGrid w:val="0"/>
        <w:spacing w:line="480" w:lineRule="atLeast"/>
        <w:rPr>
          <w:rFonts w:hint="eastAsia"/>
          <w:kern w:val="0"/>
          <w:szCs w:val="21"/>
        </w:rPr>
      </w:pPr>
      <w:r>
        <w:rPr>
          <w:kern w:val="0"/>
          <w:szCs w:val="21"/>
        </w:rPr>
        <w:t>《火力发电厂与变电站设计防火标准》GB 50229-2019</w:t>
      </w:r>
    </w:p>
    <w:p>
      <w:pPr>
        <w:adjustRightInd w:val="0"/>
        <w:snapToGrid w:val="0"/>
        <w:spacing w:line="480" w:lineRule="atLeast"/>
        <w:rPr>
          <w:rFonts w:hint="eastAsia"/>
          <w:kern w:val="0"/>
          <w:szCs w:val="21"/>
        </w:rPr>
      </w:pPr>
      <w:r>
        <w:rPr>
          <w:kern w:val="0"/>
          <w:szCs w:val="21"/>
        </w:rPr>
        <w:t>《建筑照明设计标准》GB 50034-2017</w:t>
      </w:r>
    </w:p>
    <w:p>
      <w:pPr>
        <w:adjustRightInd w:val="0"/>
        <w:snapToGrid w:val="0"/>
        <w:spacing w:line="480" w:lineRule="atLeast"/>
        <w:rPr>
          <w:rFonts w:hint="eastAsia"/>
          <w:kern w:val="0"/>
          <w:szCs w:val="21"/>
        </w:rPr>
      </w:pPr>
      <w:r>
        <w:rPr>
          <w:kern w:val="0"/>
          <w:szCs w:val="21"/>
        </w:rPr>
        <w:t>《火灾自动报警系统设计规范》GB 50116-2017</w:t>
      </w:r>
    </w:p>
    <w:p>
      <w:pPr>
        <w:adjustRightInd w:val="0"/>
        <w:snapToGrid w:val="0"/>
        <w:spacing w:line="480" w:lineRule="atLeast"/>
        <w:rPr>
          <w:rFonts w:hint="eastAsia"/>
          <w:kern w:val="0"/>
          <w:szCs w:val="21"/>
        </w:rPr>
      </w:pPr>
      <w:r>
        <w:rPr>
          <w:kern w:val="0"/>
          <w:szCs w:val="21"/>
        </w:rPr>
        <w:t>《电化学储能系统储能变流器技术规范》GB/T 34120-2017</w:t>
      </w:r>
    </w:p>
    <w:p>
      <w:pPr>
        <w:adjustRightInd w:val="0"/>
        <w:snapToGrid w:val="0"/>
        <w:spacing w:line="480" w:lineRule="atLeast"/>
        <w:rPr>
          <w:rFonts w:hint="eastAsia"/>
          <w:kern w:val="0"/>
          <w:szCs w:val="21"/>
        </w:rPr>
      </w:pPr>
      <w:r>
        <w:rPr>
          <w:kern w:val="0"/>
          <w:szCs w:val="21"/>
        </w:rPr>
        <w:t>《电力工程电缆设计标准》GB 50217-2018</w:t>
      </w:r>
    </w:p>
    <w:p>
      <w:pPr>
        <w:adjustRightInd w:val="0"/>
        <w:snapToGrid w:val="0"/>
        <w:spacing w:line="480" w:lineRule="atLeast"/>
        <w:rPr>
          <w:rFonts w:hint="eastAsia"/>
          <w:kern w:val="0"/>
          <w:szCs w:val="21"/>
        </w:rPr>
      </w:pPr>
      <w:r>
        <w:rPr>
          <w:kern w:val="0"/>
          <w:szCs w:val="21"/>
        </w:rPr>
        <w:t>《电池储能电站技术导则》QGDW 1769-2012</w:t>
      </w:r>
    </w:p>
    <w:p>
      <w:pPr>
        <w:adjustRightInd w:val="0"/>
        <w:snapToGrid w:val="0"/>
        <w:spacing w:line="480" w:lineRule="atLeast"/>
        <w:rPr>
          <w:rFonts w:hint="eastAsia"/>
          <w:kern w:val="0"/>
          <w:szCs w:val="21"/>
        </w:rPr>
      </w:pPr>
      <w:r>
        <w:rPr>
          <w:kern w:val="0"/>
          <w:szCs w:val="21"/>
        </w:rPr>
        <w:t>《电池储能电站设计技术规程》QGDW 11265-2014</w:t>
      </w:r>
    </w:p>
    <w:p>
      <w:pPr>
        <w:adjustRightInd w:val="0"/>
        <w:snapToGrid w:val="0"/>
        <w:spacing w:line="480" w:lineRule="atLeast"/>
        <w:rPr>
          <w:rFonts w:hint="eastAsia"/>
          <w:kern w:val="0"/>
          <w:szCs w:val="21"/>
        </w:rPr>
      </w:pPr>
      <w:r>
        <w:rPr>
          <w:kern w:val="0"/>
          <w:szCs w:val="21"/>
        </w:rPr>
        <w:t>《地区电网调度自动化设计技术规程》DL/T 5002-2005</w:t>
      </w:r>
    </w:p>
    <w:p>
      <w:pPr>
        <w:adjustRightInd w:val="0"/>
        <w:snapToGrid w:val="0"/>
        <w:spacing w:line="480" w:lineRule="atLeast"/>
        <w:rPr>
          <w:rFonts w:hint="eastAsia"/>
          <w:kern w:val="0"/>
          <w:szCs w:val="21"/>
        </w:rPr>
      </w:pPr>
      <w:r>
        <w:rPr>
          <w:kern w:val="0"/>
          <w:szCs w:val="21"/>
        </w:rPr>
        <w:t>《电力系统调度自动化设计技术规程》DL/T 5003-2017</w:t>
      </w:r>
    </w:p>
    <w:p>
      <w:pPr>
        <w:adjustRightInd w:val="0"/>
        <w:snapToGrid w:val="0"/>
        <w:spacing w:line="480" w:lineRule="atLeast"/>
        <w:rPr>
          <w:rFonts w:hint="eastAsia"/>
          <w:kern w:val="0"/>
          <w:szCs w:val="21"/>
        </w:rPr>
      </w:pPr>
      <w:r>
        <w:rPr>
          <w:kern w:val="0"/>
          <w:szCs w:val="21"/>
        </w:rPr>
        <w:t>《电能量计量系统设计技术规程》DL/T 5202-2004</w:t>
      </w:r>
    </w:p>
    <w:p>
      <w:pPr>
        <w:adjustRightInd w:val="0"/>
        <w:snapToGrid w:val="0"/>
        <w:spacing w:line="480" w:lineRule="atLeast"/>
        <w:rPr>
          <w:rFonts w:hint="eastAsia"/>
          <w:kern w:val="0"/>
          <w:szCs w:val="21"/>
        </w:rPr>
      </w:pPr>
      <w:r>
        <w:rPr>
          <w:kern w:val="0"/>
          <w:szCs w:val="21"/>
        </w:rPr>
        <w:t>《储能电站自动化系统接入配置技术规范》Q/GDW10 111-03-002-2018</w:t>
      </w:r>
    </w:p>
    <w:p>
      <w:pPr>
        <w:adjustRightInd w:val="0"/>
        <w:snapToGrid w:val="0"/>
        <w:spacing w:line="480" w:lineRule="atLeast"/>
        <w:rPr>
          <w:rFonts w:hint="eastAsia"/>
          <w:kern w:val="0"/>
          <w:szCs w:val="21"/>
        </w:rPr>
      </w:pPr>
      <w:r>
        <w:rPr>
          <w:kern w:val="0"/>
          <w:szCs w:val="21"/>
        </w:rPr>
        <w:t>《储能电站计算机监控系统技术规范》Q/GDW10 111-03-003-2018</w:t>
      </w:r>
    </w:p>
    <w:p>
      <w:pPr>
        <w:adjustRightInd w:val="0"/>
        <w:snapToGrid w:val="0"/>
        <w:spacing w:line="480" w:lineRule="atLeast"/>
        <w:rPr>
          <w:rFonts w:hint="eastAsia"/>
          <w:kern w:val="0"/>
          <w:szCs w:val="21"/>
        </w:rPr>
      </w:pPr>
      <w:r>
        <w:rPr>
          <w:kern w:val="0"/>
          <w:szCs w:val="21"/>
        </w:rPr>
        <w:t>《储能电站自动化监控信息传输技术规范》Q/GDW10 111-03-004-2018由于基建期时间跨度比较大，其中如以上标准版本有所变化，遵照标准动态管理原则，本办法约定采用最新版本标准为档案管理依据。</w:t>
      </w:r>
    </w:p>
    <w:p>
      <w:pPr>
        <w:adjustRightInd w:val="0"/>
        <w:snapToGrid w:val="0"/>
        <w:spacing w:line="480" w:lineRule="atLeast"/>
        <w:ind w:firstLine="422"/>
        <w:jc w:val="center"/>
        <w:rPr>
          <w:rFonts w:hint="eastAsia"/>
          <w:b/>
          <w:snapToGrid w:val="0"/>
          <w:kern w:val="0"/>
          <w:szCs w:val="21"/>
        </w:rPr>
      </w:pPr>
      <w:bookmarkStart w:id="748" w:name="_Toc10251"/>
      <w:bookmarkStart w:id="749" w:name="_Toc4107"/>
      <w:r>
        <w:rPr>
          <w:b/>
          <w:snapToGrid w:val="0"/>
          <w:kern w:val="0"/>
          <w:szCs w:val="21"/>
        </w:rPr>
        <w:t>第四章档案工作责任体系</w:t>
      </w:r>
      <w:bookmarkEnd w:id="748"/>
      <w:bookmarkEnd w:id="749"/>
    </w:p>
    <w:p>
      <w:pPr>
        <w:adjustRightInd w:val="0"/>
        <w:snapToGrid w:val="0"/>
        <w:spacing w:line="480" w:lineRule="atLeast"/>
        <w:rPr>
          <w:rFonts w:hint="eastAsia"/>
          <w:kern w:val="0"/>
          <w:szCs w:val="21"/>
        </w:rPr>
      </w:pPr>
      <w:r>
        <w:rPr>
          <w:kern w:val="0"/>
          <w:szCs w:val="21"/>
        </w:rPr>
        <w:t>第七条发包方职责</w:t>
      </w:r>
    </w:p>
    <w:p>
      <w:pPr>
        <w:adjustRightInd w:val="0"/>
        <w:snapToGrid w:val="0"/>
        <w:spacing w:line="480" w:lineRule="atLeast"/>
        <w:rPr>
          <w:rFonts w:hint="eastAsia"/>
          <w:kern w:val="0"/>
          <w:szCs w:val="21"/>
        </w:rPr>
      </w:pPr>
      <w:r>
        <w:rPr>
          <w:kern w:val="0"/>
          <w:szCs w:val="21"/>
        </w:rPr>
        <w:t>（一）负责贯彻执行国家有关档案管理的方针、政策、法令、法规、标准和上级有关规定。根据有关规定制订并完善公司的档案管理体系。</w:t>
      </w:r>
    </w:p>
    <w:p>
      <w:pPr>
        <w:adjustRightInd w:val="0"/>
        <w:snapToGrid w:val="0"/>
        <w:spacing w:line="480" w:lineRule="atLeast"/>
        <w:rPr>
          <w:rFonts w:hint="eastAsia"/>
          <w:kern w:val="0"/>
          <w:szCs w:val="21"/>
        </w:rPr>
      </w:pPr>
      <w:r>
        <w:rPr>
          <w:kern w:val="0"/>
          <w:szCs w:val="21"/>
        </w:rPr>
        <w:t>（二）设立档案管理机构、由现场负责人牵头负责管理，落实项目档案管理责任制。</w:t>
      </w:r>
    </w:p>
    <w:p>
      <w:pPr>
        <w:adjustRightInd w:val="0"/>
        <w:snapToGrid w:val="0"/>
        <w:spacing w:line="480" w:lineRule="atLeast"/>
        <w:rPr>
          <w:rFonts w:hint="eastAsia"/>
          <w:kern w:val="0"/>
          <w:szCs w:val="21"/>
        </w:rPr>
      </w:pPr>
      <w:r>
        <w:rPr>
          <w:kern w:val="0"/>
          <w:szCs w:val="21"/>
        </w:rPr>
        <w:t>（三）负责对总包方的档案工作进行监管、检查、指导和协调，并将各职能部门的档案工作纳入统一管理。</w:t>
      </w:r>
    </w:p>
    <w:p>
      <w:pPr>
        <w:adjustRightInd w:val="0"/>
        <w:snapToGrid w:val="0"/>
        <w:spacing w:line="480" w:lineRule="atLeast"/>
        <w:rPr>
          <w:rFonts w:hint="eastAsia"/>
          <w:kern w:val="0"/>
          <w:szCs w:val="21"/>
        </w:rPr>
      </w:pPr>
      <w:r>
        <w:rPr>
          <w:kern w:val="0"/>
          <w:szCs w:val="21"/>
        </w:rPr>
        <w:t>（四）制定本项目的统一管理制度和业务标准，将项目文件的形成、收集整理要求及归档范围纳入各参建单位和部门的责任制，实行全过程质量管理。</w:t>
      </w:r>
    </w:p>
    <w:p>
      <w:pPr>
        <w:adjustRightInd w:val="0"/>
        <w:snapToGrid w:val="0"/>
        <w:spacing w:line="480" w:lineRule="atLeast"/>
        <w:rPr>
          <w:rFonts w:hint="eastAsia"/>
          <w:kern w:val="0"/>
          <w:szCs w:val="21"/>
        </w:rPr>
      </w:pPr>
      <w:r>
        <w:rPr>
          <w:kern w:val="0"/>
          <w:szCs w:val="21"/>
        </w:rPr>
        <w:t>（五）审核总包方的档案管理制度和计划。</w:t>
      </w:r>
    </w:p>
    <w:p>
      <w:pPr>
        <w:adjustRightInd w:val="0"/>
        <w:snapToGrid w:val="0"/>
        <w:spacing w:line="480" w:lineRule="atLeast"/>
        <w:rPr>
          <w:rFonts w:hint="eastAsia"/>
          <w:kern w:val="0"/>
          <w:szCs w:val="21"/>
        </w:rPr>
      </w:pPr>
      <w:r>
        <w:rPr>
          <w:kern w:val="0"/>
          <w:szCs w:val="21"/>
        </w:rPr>
        <w:t>（六）负责接收总包方移交的项目竣工档案并且验收审查。</w:t>
      </w:r>
    </w:p>
    <w:p>
      <w:pPr>
        <w:adjustRightInd w:val="0"/>
        <w:snapToGrid w:val="0"/>
        <w:spacing w:line="480" w:lineRule="atLeast"/>
        <w:rPr>
          <w:rFonts w:hint="eastAsia"/>
          <w:kern w:val="0"/>
          <w:szCs w:val="21"/>
        </w:rPr>
      </w:pPr>
      <w:r>
        <w:rPr>
          <w:kern w:val="0"/>
          <w:szCs w:val="21"/>
        </w:rPr>
        <w:t>第八条总包方职责</w:t>
      </w:r>
    </w:p>
    <w:p>
      <w:pPr>
        <w:adjustRightInd w:val="0"/>
        <w:snapToGrid w:val="0"/>
        <w:spacing w:line="480" w:lineRule="atLeast"/>
        <w:rPr>
          <w:rFonts w:hint="eastAsia"/>
          <w:kern w:val="0"/>
          <w:szCs w:val="21"/>
        </w:rPr>
      </w:pPr>
      <w:r>
        <w:rPr>
          <w:kern w:val="0"/>
          <w:szCs w:val="21"/>
        </w:rPr>
        <w:t>（一）总包方的档案管理应在发包方的统一领导下，按合同约定的总承包范围，依据国家、行业有关档案管理规定对总承包范围内项目档案实施管理并对档案质量（完整、准确、系统）、有效利用及安全负责。</w:t>
      </w:r>
    </w:p>
    <w:p>
      <w:pPr>
        <w:adjustRightInd w:val="0"/>
        <w:snapToGrid w:val="0"/>
        <w:spacing w:line="480" w:lineRule="atLeast"/>
        <w:rPr>
          <w:rFonts w:hint="eastAsia"/>
          <w:kern w:val="0"/>
          <w:szCs w:val="21"/>
        </w:rPr>
      </w:pPr>
      <w:r>
        <w:rPr>
          <w:kern w:val="0"/>
          <w:szCs w:val="21"/>
        </w:rPr>
        <w:t>（二）建立完善的项目档案管理体制；设立项目档案管理机构和建立档案管理网络、由现场负责人牵头负责管理；负责制定管理制度，对各分承包单位的档案管理实行监管、检查与指导。</w:t>
      </w:r>
    </w:p>
    <w:p>
      <w:pPr>
        <w:adjustRightInd w:val="0"/>
        <w:snapToGrid w:val="0"/>
        <w:spacing w:line="480" w:lineRule="atLeast"/>
        <w:rPr>
          <w:rFonts w:hint="eastAsia"/>
          <w:kern w:val="0"/>
          <w:szCs w:val="21"/>
        </w:rPr>
      </w:pPr>
      <w:r>
        <w:rPr>
          <w:kern w:val="0"/>
          <w:szCs w:val="21"/>
        </w:rPr>
        <w:t>（三）负责对各分承包单位移交的竣工档案进行审核、验收，对项目档案管理与工程建设同步以及项目档案的齐全、完整、准确、系统、安全保管和有效利用负责。</w:t>
      </w:r>
    </w:p>
    <w:p>
      <w:pPr>
        <w:adjustRightInd w:val="0"/>
        <w:snapToGrid w:val="0"/>
        <w:spacing w:line="480" w:lineRule="atLeast"/>
        <w:rPr>
          <w:rFonts w:hint="eastAsia"/>
          <w:kern w:val="0"/>
          <w:szCs w:val="21"/>
        </w:rPr>
      </w:pPr>
      <w:r>
        <w:rPr>
          <w:kern w:val="0"/>
          <w:szCs w:val="21"/>
        </w:rPr>
        <w:t>（四）按照合同约定的总包范围，依照发包方的要求收集、整理本单位在工程建设活动中形成的档案，将各承包单位形成的档案汇总、整理、编目，经监理单位审核后向发包方档案部门移交。</w:t>
      </w:r>
    </w:p>
    <w:p>
      <w:pPr>
        <w:adjustRightInd w:val="0"/>
        <w:snapToGrid w:val="0"/>
        <w:spacing w:line="480" w:lineRule="atLeast"/>
        <w:rPr>
          <w:rFonts w:hint="eastAsia"/>
          <w:kern w:val="0"/>
          <w:szCs w:val="21"/>
        </w:rPr>
      </w:pPr>
      <w:r>
        <w:rPr>
          <w:kern w:val="0"/>
          <w:szCs w:val="21"/>
        </w:rPr>
        <w:t>（五）定期向建设单位汇报档案管理工作和归档情况，对建设单位档案管理部门组织的定期检查产生的问题进行闭环整改。</w:t>
      </w:r>
    </w:p>
    <w:p>
      <w:pPr>
        <w:adjustRightInd w:val="0"/>
        <w:snapToGrid w:val="0"/>
        <w:spacing w:line="480" w:lineRule="atLeast"/>
        <w:rPr>
          <w:rFonts w:hint="eastAsia"/>
          <w:kern w:val="0"/>
          <w:szCs w:val="21"/>
        </w:rPr>
      </w:pPr>
      <w:r>
        <w:rPr>
          <w:kern w:val="0"/>
          <w:szCs w:val="21"/>
        </w:rPr>
        <w:t>（六）负责申报及组织档案专项验收工作。</w:t>
      </w:r>
    </w:p>
    <w:p>
      <w:pPr>
        <w:adjustRightInd w:val="0"/>
        <w:snapToGrid w:val="0"/>
        <w:spacing w:line="480" w:lineRule="atLeast"/>
        <w:rPr>
          <w:rFonts w:hint="eastAsia"/>
          <w:szCs w:val="21"/>
        </w:rPr>
      </w:pPr>
      <w:r>
        <w:rPr>
          <w:kern w:val="0"/>
          <w:szCs w:val="21"/>
        </w:rPr>
        <w:t>（七）负责根据项目进展情况，定期组织专家对现场档案管理进行检查，确保满足达标创优要求。</w:t>
      </w:r>
    </w:p>
    <w:p>
      <w:pPr>
        <w:adjustRightInd w:val="0"/>
        <w:snapToGrid w:val="0"/>
        <w:spacing w:line="480" w:lineRule="atLeast"/>
        <w:ind w:firstLine="422"/>
        <w:jc w:val="center"/>
        <w:rPr>
          <w:rFonts w:hint="eastAsia"/>
          <w:b/>
          <w:snapToGrid w:val="0"/>
          <w:kern w:val="0"/>
          <w:szCs w:val="21"/>
        </w:rPr>
      </w:pPr>
      <w:bookmarkStart w:id="750" w:name="_Toc27528"/>
      <w:bookmarkStart w:id="751" w:name="_Toc16794"/>
      <w:r>
        <w:rPr>
          <w:b/>
          <w:snapToGrid w:val="0"/>
          <w:kern w:val="0"/>
          <w:szCs w:val="21"/>
        </w:rPr>
        <w:t>第五章总包方的档案管理内容及要求</w:t>
      </w:r>
      <w:bookmarkEnd w:id="750"/>
      <w:bookmarkEnd w:id="751"/>
    </w:p>
    <w:p>
      <w:pPr>
        <w:adjustRightInd w:val="0"/>
        <w:snapToGrid w:val="0"/>
        <w:spacing w:line="480" w:lineRule="atLeast"/>
        <w:rPr>
          <w:rFonts w:hint="eastAsia"/>
          <w:kern w:val="0"/>
          <w:szCs w:val="21"/>
        </w:rPr>
      </w:pPr>
      <w:r>
        <w:rPr>
          <w:kern w:val="0"/>
          <w:szCs w:val="21"/>
        </w:rPr>
        <w:t>第九条基础管理</w:t>
      </w:r>
    </w:p>
    <w:p>
      <w:pPr>
        <w:adjustRightInd w:val="0"/>
        <w:snapToGrid w:val="0"/>
        <w:spacing w:line="480" w:lineRule="atLeast"/>
        <w:rPr>
          <w:rFonts w:hint="eastAsia"/>
          <w:kern w:val="0"/>
          <w:szCs w:val="21"/>
        </w:rPr>
      </w:pPr>
      <w:r>
        <w:rPr>
          <w:kern w:val="0"/>
          <w:szCs w:val="21"/>
        </w:rPr>
        <w:t>（一）总包方要建立档案管理体系：明确分管领导，负责对分包单位进行业务监督、指导。</w:t>
      </w:r>
    </w:p>
    <w:p>
      <w:pPr>
        <w:adjustRightInd w:val="0"/>
        <w:snapToGrid w:val="0"/>
        <w:spacing w:line="480" w:lineRule="atLeast"/>
        <w:rPr>
          <w:rFonts w:hint="eastAsia"/>
          <w:kern w:val="0"/>
          <w:szCs w:val="21"/>
        </w:rPr>
      </w:pPr>
      <w:r>
        <w:rPr>
          <w:kern w:val="0"/>
          <w:szCs w:val="21"/>
        </w:rPr>
        <w:t>（二）实施归档责任制：将归档工作纳入有关部门及人员的岗位职责，并有考核控制措施。</w:t>
      </w:r>
    </w:p>
    <w:p>
      <w:pPr>
        <w:adjustRightInd w:val="0"/>
        <w:snapToGrid w:val="0"/>
        <w:spacing w:line="480" w:lineRule="atLeast"/>
        <w:rPr>
          <w:rFonts w:hint="eastAsia"/>
          <w:kern w:val="0"/>
          <w:szCs w:val="21"/>
        </w:rPr>
      </w:pPr>
      <w:r>
        <w:rPr>
          <w:kern w:val="0"/>
          <w:szCs w:val="21"/>
        </w:rPr>
        <w:t>（三）配备相应的档案设施、设备，人员：满足档案安全、保护、现代化管理需要。</w:t>
      </w:r>
    </w:p>
    <w:p>
      <w:pPr>
        <w:adjustRightInd w:val="0"/>
        <w:snapToGrid w:val="0"/>
        <w:spacing w:line="480" w:lineRule="atLeast"/>
        <w:rPr>
          <w:rFonts w:hint="eastAsia"/>
          <w:kern w:val="0"/>
          <w:szCs w:val="21"/>
        </w:rPr>
      </w:pPr>
      <w:r>
        <w:rPr>
          <w:kern w:val="0"/>
          <w:szCs w:val="21"/>
        </w:rPr>
        <w:t>（四）档案人员要持证上岗，并定期参加培训，培训时间每年达到40个课时及以上。</w:t>
      </w:r>
    </w:p>
    <w:p>
      <w:pPr>
        <w:adjustRightInd w:val="0"/>
        <w:snapToGrid w:val="0"/>
        <w:spacing w:line="480" w:lineRule="atLeast"/>
        <w:rPr>
          <w:rFonts w:hint="eastAsia"/>
          <w:kern w:val="0"/>
          <w:szCs w:val="21"/>
        </w:rPr>
      </w:pPr>
      <w:r>
        <w:rPr>
          <w:kern w:val="0"/>
          <w:szCs w:val="21"/>
        </w:rPr>
        <w:t>第十条工程项目档案的归档与整理</w:t>
      </w:r>
    </w:p>
    <w:p>
      <w:pPr>
        <w:adjustRightInd w:val="0"/>
        <w:snapToGrid w:val="0"/>
        <w:spacing w:line="480" w:lineRule="atLeast"/>
        <w:rPr>
          <w:rFonts w:hint="eastAsia"/>
          <w:kern w:val="0"/>
          <w:szCs w:val="21"/>
        </w:rPr>
      </w:pPr>
      <w:r>
        <w:rPr>
          <w:kern w:val="0"/>
          <w:szCs w:val="21"/>
        </w:rPr>
        <w:t>（一）归档范围</w:t>
      </w:r>
    </w:p>
    <w:p>
      <w:pPr>
        <w:adjustRightInd w:val="0"/>
        <w:snapToGrid w:val="0"/>
        <w:spacing w:line="480" w:lineRule="atLeast"/>
        <w:rPr>
          <w:rFonts w:hint="eastAsia"/>
          <w:kern w:val="0"/>
          <w:szCs w:val="21"/>
        </w:rPr>
      </w:pPr>
      <w:r>
        <w:rPr>
          <w:kern w:val="0"/>
          <w:szCs w:val="21"/>
        </w:rPr>
        <w:t>1、总包方负责收集合同约定的承包范围内各个阶段、专业形成的所有文字、图表以及音像、与工程质量相关的实物等各种载体形式的文件，将具有保存和查考价值的文件原件归档。</w:t>
      </w:r>
    </w:p>
    <w:p>
      <w:pPr>
        <w:adjustRightInd w:val="0"/>
        <w:snapToGrid w:val="0"/>
        <w:spacing w:line="480" w:lineRule="atLeast"/>
        <w:rPr>
          <w:rFonts w:hint="eastAsia"/>
          <w:kern w:val="0"/>
          <w:szCs w:val="21"/>
        </w:rPr>
      </w:pPr>
      <w:r>
        <w:rPr>
          <w:kern w:val="0"/>
          <w:szCs w:val="21"/>
        </w:rPr>
        <w:t>2、总包方负责将合同约定的承包范围内纸质档案、照片及音像档案、实物档案，以上所有档案（包括可编辑电子文本）及将其全部进行数字化加工形成的电子版（PDF格式）档案，按照“规范性引用文件”及________有限公司《档案管理办法》及其实施细则的要求进行收集、鉴定、整理（整理包括分类、组卷、排列、编目、扫描、装订、打印目录、填写封面和封底、装盒、编制检索工具、挂接电子版）形成完整的项目档案，在规定时间内移交给发包方。</w:t>
      </w:r>
    </w:p>
    <w:p>
      <w:pPr>
        <w:adjustRightInd w:val="0"/>
        <w:snapToGrid w:val="0"/>
        <w:spacing w:line="480" w:lineRule="atLeast"/>
        <w:rPr>
          <w:rFonts w:hint="eastAsia"/>
          <w:kern w:val="0"/>
          <w:szCs w:val="21"/>
        </w:rPr>
      </w:pPr>
      <w:r>
        <w:rPr>
          <w:kern w:val="0"/>
          <w:szCs w:val="21"/>
        </w:rPr>
        <w:t>总包方移交整理项目档案的范围包括但不限于以上内容，基建过程中产生的其他相关有效文件应一并归档。</w:t>
      </w:r>
    </w:p>
    <w:p>
      <w:pPr>
        <w:adjustRightInd w:val="0"/>
        <w:snapToGrid w:val="0"/>
        <w:spacing w:line="480" w:lineRule="atLeast"/>
        <w:rPr>
          <w:rFonts w:hint="eastAsia"/>
          <w:kern w:val="0"/>
          <w:szCs w:val="21"/>
        </w:rPr>
      </w:pPr>
      <w:r>
        <w:rPr>
          <w:kern w:val="0"/>
          <w:szCs w:val="21"/>
        </w:rPr>
        <w:t>（二）归档份数</w:t>
      </w:r>
    </w:p>
    <w:p>
      <w:pPr>
        <w:adjustRightInd w:val="0"/>
        <w:snapToGrid w:val="0"/>
        <w:spacing w:line="480" w:lineRule="atLeast"/>
        <w:rPr>
          <w:rFonts w:hint="eastAsia"/>
          <w:kern w:val="0"/>
          <w:szCs w:val="21"/>
        </w:rPr>
      </w:pPr>
      <w:r>
        <w:rPr>
          <w:kern w:val="0"/>
          <w:szCs w:val="21"/>
        </w:rPr>
        <w:t>1、纸质档案一式两份。</w:t>
      </w:r>
    </w:p>
    <w:p>
      <w:pPr>
        <w:adjustRightInd w:val="0"/>
        <w:snapToGrid w:val="0"/>
        <w:spacing w:line="480" w:lineRule="atLeast"/>
        <w:rPr>
          <w:rFonts w:hint="eastAsia"/>
          <w:kern w:val="0"/>
          <w:szCs w:val="21"/>
        </w:rPr>
      </w:pPr>
      <w:r>
        <w:rPr>
          <w:kern w:val="0"/>
          <w:szCs w:val="21"/>
        </w:rPr>
        <w:t>（1）设备资料归档二份（一份正本，一份副本）。</w:t>
      </w:r>
    </w:p>
    <w:p>
      <w:pPr>
        <w:adjustRightInd w:val="0"/>
        <w:snapToGrid w:val="0"/>
        <w:spacing w:line="480" w:lineRule="atLeast"/>
        <w:rPr>
          <w:rFonts w:hint="eastAsia"/>
          <w:kern w:val="0"/>
          <w:szCs w:val="21"/>
        </w:rPr>
      </w:pPr>
      <w:r>
        <w:rPr>
          <w:kern w:val="0"/>
          <w:szCs w:val="21"/>
        </w:rPr>
        <w:t>（2）施工图、竣工图每台机归档二套齐全、完整的图纸。</w:t>
      </w:r>
    </w:p>
    <w:p>
      <w:pPr>
        <w:adjustRightInd w:val="0"/>
        <w:snapToGrid w:val="0"/>
        <w:spacing w:line="480" w:lineRule="atLeast"/>
        <w:rPr>
          <w:rFonts w:hint="eastAsia"/>
          <w:kern w:val="0"/>
          <w:szCs w:val="21"/>
        </w:rPr>
      </w:pPr>
      <w:r>
        <w:rPr>
          <w:kern w:val="0"/>
          <w:szCs w:val="21"/>
        </w:rPr>
        <w:t>（3）所有施工、安装文件（设计图纸会检纪要、设计变更、工程联系、施工组织、开工、停工单等）归档二份有效文件（一份正本，一份副本）。</w:t>
      </w:r>
    </w:p>
    <w:p>
      <w:pPr>
        <w:adjustRightInd w:val="0"/>
        <w:snapToGrid w:val="0"/>
        <w:spacing w:line="480" w:lineRule="atLeast"/>
        <w:rPr>
          <w:rFonts w:hint="eastAsia"/>
          <w:kern w:val="0"/>
          <w:szCs w:val="21"/>
        </w:rPr>
      </w:pPr>
      <w:r>
        <w:rPr>
          <w:kern w:val="0"/>
          <w:szCs w:val="21"/>
        </w:rPr>
        <w:t>（4）工程管理文件、合同文件归档二份有效文件（合同一正一副）。</w:t>
      </w:r>
    </w:p>
    <w:p>
      <w:pPr>
        <w:adjustRightInd w:val="0"/>
        <w:snapToGrid w:val="0"/>
        <w:spacing w:line="480" w:lineRule="atLeast"/>
        <w:rPr>
          <w:rFonts w:hint="eastAsia"/>
          <w:kern w:val="0"/>
          <w:szCs w:val="21"/>
        </w:rPr>
      </w:pPr>
      <w:r>
        <w:rPr>
          <w:kern w:val="0"/>
          <w:szCs w:val="21"/>
        </w:rPr>
        <w:t>（5）工程信函归档其电子文件和一份原件（或传真打印件）。</w:t>
      </w:r>
    </w:p>
    <w:p>
      <w:pPr>
        <w:adjustRightInd w:val="0"/>
        <w:snapToGrid w:val="0"/>
        <w:spacing w:line="480" w:lineRule="atLeast"/>
        <w:rPr>
          <w:rFonts w:hint="eastAsia"/>
          <w:kern w:val="0"/>
          <w:szCs w:val="21"/>
        </w:rPr>
      </w:pPr>
      <w:r>
        <w:rPr>
          <w:kern w:val="0"/>
          <w:szCs w:val="21"/>
        </w:rPr>
        <w:t>（6）质检、监理、调试单位形成的文件归档二份有效文件。</w:t>
      </w:r>
    </w:p>
    <w:p>
      <w:pPr>
        <w:adjustRightInd w:val="0"/>
        <w:snapToGrid w:val="0"/>
        <w:spacing w:line="480" w:lineRule="atLeast"/>
        <w:rPr>
          <w:rFonts w:hint="eastAsia"/>
          <w:kern w:val="0"/>
          <w:szCs w:val="21"/>
        </w:rPr>
      </w:pPr>
      <w:r>
        <w:rPr>
          <w:kern w:val="0"/>
          <w:szCs w:val="21"/>
        </w:rPr>
        <w:t>（7）文书档案归档一份（本单位发文归档手稿和正式文件各一份）。</w:t>
      </w:r>
    </w:p>
    <w:p>
      <w:pPr>
        <w:adjustRightInd w:val="0"/>
        <w:snapToGrid w:val="0"/>
        <w:spacing w:line="480" w:lineRule="atLeast"/>
        <w:rPr>
          <w:rFonts w:hint="eastAsia"/>
          <w:kern w:val="0"/>
          <w:szCs w:val="21"/>
        </w:rPr>
      </w:pPr>
      <w:r>
        <w:rPr>
          <w:kern w:val="0"/>
          <w:szCs w:val="21"/>
        </w:rPr>
        <w:t>（8）每个单位工程归档两份有效文件。</w:t>
      </w:r>
    </w:p>
    <w:p>
      <w:pPr>
        <w:adjustRightInd w:val="0"/>
        <w:snapToGrid w:val="0"/>
        <w:spacing w:line="480" w:lineRule="atLeast"/>
        <w:rPr>
          <w:rFonts w:hint="eastAsia"/>
          <w:kern w:val="0"/>
          <w:szCs w:val="21"/>
        </w:rPr>
      </w:pPr>
      <w:r>
        <w:rPr>
          <w:kern w:val="0"/>
          <w:szCs w:val="21"/>
        </w:rPr>
        <w:t>（9）其他纸质档案没有特殊要求均归档两份有效文件。</w:t>
      </w:r>
    </w:p>
    <w:p>
      <w:pPr>
        <w:adjustRightInd w:val="0"/>
        <w:snapToGrid w:val="0"/>
        <w:spacing w:line="480" w:lineRule="atLeast"/>
        <w:rPr>
          <w:rFonts w:hint="eastAsia"/>
          <w:kern w:val="0"/>
          <w:szCs w:val="21"/>
        </w:rPr>
      </w:pPr>
      <w:r>
        <w:rPr>
          <w:kern w:val="0"/>
          <w:szCs w:val="21"/>
        </w:rPr>
        <w:t>2、以上档案的电子文本文件及数字化后产生的电子版文件分别拷贝在耐久性好且不可擦除型载体（光盘）上，注上归档标识，一式叁份，与相应纸质档案同时归档。</w:t>
      </w:r>
    </w:p>
    <w:p>
      <w:pPr>
        <w:adjustRightInd w:val="0"/>
        <w:snapToGrid w:val="0"/>
        <w:spacing w:line="480" w:lineRule="atLeast"/>
        <w:rPr>
          <w:rFonts w:hint="eastAsia"/>
          <w:kern w:val="0"/>
          <w:szCs w:val="21"/>
        </w:rPr>
      </w:pPr>
      <w:r>
        <w:rPr>
          <w:kern w:val="0"/>
          <w:szCs w:val="21"/>
        </w:rPr>
        <w:t>3、照片档案</w:t>
      </w:r>
    </w:p>
    <w:p>
      <w:pPr>
        <w:adjustRightInd w:val="0"/>
        <w:snapToGrid w:val="0"/>
        <w:spacing w:line="480" w:lineRule="atLeast"/>
        <w:rPr>
          <w:rFonts w:hint="eastAsia"/>
          <w:kern w:val="0"/>
          <w:szCs w:val="21"/>
        </w:rPr>
      </w:pPr>
      <w:r>
        <w:rPr>
          <w:kern w:val="0"/>
          <w:szCs w:val="21"/>
        </w:rPr>
        <w:t>每个单位工程移交20张反映主体结构及工程质量的照片，总包单位管理过程中反映工程进度及施工工艺质量的照片每季度每专业移交15张，其他管理型照片每年移交10张照片。纸质照片档案要经过专业冲洗一式一份，压模装册，编制册内目录及册内总说明，并将数字化底片下载到不可擦除型载体（光盘）上，一式叁份，与纸质照片档案同时归档移交。</w:t>
      </w:r>
    </w:p>
    <w:p>
      <w:pPr>
        <w:adjustRightInd w:val="0"/>
        <w:snapToGrid w:val="0"/>
        <w:spacing w:line="480" w:lineRule="atLeast"/>
        <w:rPr>
          <w:rFonts w:hint="eastAsia"/>
          <w:kern w:val="0"/>
          <w:szCs w:val="21"/>
        </w:rPr>
      </w:pPr>
      <w:r>
        <w:rPr>
          <w:kern w:val="0"/>
          <w:szCs w:val="21"/>
        </w:rPr>
        <w:t>4、录音录像档案应下载到有耐久性存储条件不可擦除型载体（光盘）上，一式叁份，附上文字说明一同归档移交。</w:t>
      </w:r>
    </w:p>
    <w:p>
      <w:pPr>
        <w:adjustRightInd w:val="0"/>
        <w:snapToGrid w:val="0"/>
        <w:spacing w:line="480" w:lineRule="atLeast"/>
        <w:rPr>
          <w:rFonts w:hint="eastAsia"/>
          <w:kern w:val="0"/>
          <w:szCs w:val="21"/>
        </w:rPr>
      </w:pPr>
      <w:r>
        <w:rPr>
          <w:kern w:val="0"/>
          <w:szCs w:val="21"/>
        </w:rPr>
        <w:t>5、实物档案要附上文字说明并翻拍底片一式一份同时归档移交。</w:t>
      </w:r>
    </w:p>
    <w:p>
      <w:pPr>
        <w:adjustRightInd w:val="0"/>
        <w:snapToGrid w:val="0"/>
        <w:spacing w:line="480" w:lineRule="atLeast"/>
        <w:rPr>
          <w:rFonts w:hint="eastAsia"/>
          <w:kern w:val="0"/>
          <w:szCs w:val="21"/>
        </w:rPr>
      </w:pPr>
      <w:r>
        <w:rPr>
          <w:kern w:val="0"/>
          <w:szCs w:val="21"/>
        </w:rPr>
        <w:t>（三）归档时间</w:t>
      </w:r>
    </w:p>
    <w:p>
      <w:pPr>
        <w:adjustRightInd w:val="0"/>
        <w:snapToGrid w:val="0"/>
        <w:spacing w:line="480" w:lineRule="atLeast"/>
        <w:rPr>
          <w:rFonts w:hint="eastAsia"/>
          <w:kern w:val="0"/>
          <w:szCs w:val="21"/>
        </w:rPr>
      </w:pPr>
      <w:r>
        <w:rPr>
          <w:kern w:val="0"/>
          <w:szCs w:val="21"/>
        </w:rPr>
        <w:t>档案整理归档与建设项目同步进行。</w:t>
      </w:r>
    </w:p>
    <w:p>
      <w:pPr>
        <w:adjustRightInd w:val="0"/>
        <w:snapToGrid w:val="0"/>
        <w:spacing w:line="480" w:lineRule="atLeast"/>
        <w:rPr>
          <w:rFonts w:hint="eastAsia"/>
          <w:kern w:val="0"/>
          <w:szCs w:val="21"/>
        </w:rPr>
      </w:pPr>
      <w:r>
        <w:rPr>
          <w:kern w:val="0"/>
          <w:szCs w:val="21"/>
        </w:rPr>
        <w:t>1、前期阶段、施工准备阶段、竣工验收阶段、生产准备等项目管理型文件，在文件办理完毕或在阶段性工作完成后15天之内整理归档移交建设单位。</w:t>
      </w:r>
    </w:p>
    <w:p>
      <w:pPr>
        <w:adjustRightInd w:val="0"/>
        <w:snapToGrid w:val="0"/>
        <w:spacing w:line="480" w:lineRule="atLeast"/>
        <w:rPr>
          <w:rFonts w:hint="eastAsia"/>
          <w:kern w:val="0"/>
          <w:szCs w:val="21"/>
        </w:rPr>
      </w:pPr>
      <w:r>
        <w:rPr>
          <w:kern w:val="0"/>
          <w:szCs w:val="21"/>
        </w:rPr>
        <w:t>2、设备、仪器及物资文件在开箱验收后及时收集登记，按专业、台等阶段性工作结束后进行系统整理，15天之内归档移交建设单位。</w:t>
      </w:r>
    </w:p>
    <w:p>
      <w:pPr>
        <w:adjustRightInd w:val="0"/>
        <w:snapToGrid w:val="0"/>
        <w:spacing w:line="480" w:lineRule="atLeast"/>
        <w:rPr>
          <w:rFonts w:hint="eastAsia"/>
          <w:kern w:val="0"/>
          <w:szCs w:val="21"/>
        </w:rPr>
      </w:pPr>
      <w:r>
        <w:rPr>
          <w:kern w:val="0"/>
          <w:szCs w:val="21"/>
        </w:rPr>
        <w:t>3、施工、调试单位形成的各专业项目文件，按节点在单位工程或阶段性工作完成后30天之内整理归档移交建设单位。</w:t>
      </w:r>
    </w:p>
    <w:p>
      <w:pPr>
        <w:adjustRightInd w:val="0"/>
        <w:snapToGrid w:val="0"/>
        <w:spacing w:line="480" w:lineRule="atLeast"/>
        <w:rPr>
          <w:rFonts w:hint="eastAsia"/>
          <w:kern w:val="0"/>
          <w:szCs w:val="21"/>
        </w:rPr>
      </w:pPr>
      <w:r>
        <w:rPr>
          <w:kern w:val="0"/>
          <w:szCs w:val="21"/>
        </w:rPr>
        <w:t>4、照片档案：单位工程照片档案于单位工程结束后15天内将整理编目的照片册、底片册等进行逻辑归档，其他单位、专业形成的照片档案每季度将整理编目的照片册、底片册进行逻辑归档；物理归档与纸质照片档案同时于合同工程完工验收后三个月内移交建设单位。</w:t>
      </w:r>
    </w:p>
    <w:p>
      <w:pPr>
        <w:adjustRightInd w:val="0"/>
        <w:snapToGrid w:val="0"/>
        <w:spacing w:line="480" w:lineRule="atLeast"/>
        <w:rPr>
          <w:rFonts w:hint="eastAsia"/>
          <w:kern w:val="0"/>
          <w:szCs w:val="21"/>
        </w:rPr>
      </w:pPr>
      <w:r>
        <w:rPr>
          <w:kern w:val="0"/>
          <w:szCs w:val="21"/>
        </w:rPr>
        <w:t>5、与工程质量有关的实物档案在工作完成后15天之内与相应的纸质档案同时归档移交建设单位。</w:t>
      </w:r>
    </w:p>
    <w:p>
      <w:pPr>
        <w:adjustRightInd w:val="0"/>
        <w:snapToGrid w:val="0"/>
        <w:spacing w:line="480" w:lineRule="atLeast"/>
        <w:rPr>
          <w:rFonts w:hint="eastAsia"/>
          <w:kern w:val="0"/>
          <w:szCs w:val="21"/>
        </w:rPr>
      </w:pPr>
      <w:r>
        <w:rPr>
          <w:kern w:val="0"/>
          <w:szCs w:val="21"/>
        </w:rPr>
        <w:t>6、所有档案的电子版档案逻辑归档，按节点或阶段性工作结束后分步归档，物理归档与其相应的纸质档案同时整理归档移交建设单位。</w:t>
      </w:r>
    </w:p>
    <w:p>
      <w:pPr>
        <w:adjustRightInd w:val="0"/>
        <w:snapToGrid w:val="0"/>
        <w:spacing w:line="480" w:lineRule="atLeast"/>
        <w:rPr>
          <w:rFonts w:hint="eastAsia"/>
          <w:kern w:val="0"/>
          <w:szCs w:val="21"/>
        </w:rPr>
      </w:pPr>
      <w:r>
        <w:rPr>
          <w:kern w:val="0"/>
          <w:szCs w:val="21"/>
        </w:rPr>
        <w:t>7、竣工图、竣工文件及所有项目档案在实体工程竣工，合同工程完工验收后三个月内移交建设单位。</w:t>
      </w:r>
    </w:p>
    <w:p>
      <w:pPr>
        <w:adjustRightInd w:val="0"/>
        <w:snapToGrid w:val="0"/>
        <w:spacing w:line="480" w:lineRule="atLeast"/>
        <w:rPr>
          <w:rFonts w:hint="eastAsia"/>
          <w:kern w:val="0"/>
          <w:szCs w:val="21"/>
        </w:rPr>
      </w:pPr>
      <w:r>
        <w:rPr>
          <w:kern w:val="0"/>
          <w:szCs w:val="21"/>
        </w:rPr>
        <w:t>8、尾工档案在尾工结束后15天之内整理归档移交建设单位。</w:t>
      </w:r>
    </w:p>
    <w:p>
      <w:pPr>
        <w:adjustRightInd w:val="0"/>
        <w:snapToGrid w:val="0"/>
        <w:spacing w:line="480" w:lineRule="atLeast"/>
        <w:rPr>
          <w:rFonts w:hint="eastAsia"/>
          <w:kern w:val="0"/>
          <w:szCs w:val="21"/>
        </w:rPr>
      </w:pPr>
      <w:r>
        <w:rPr>
          <w:kern w:val="0"/>
          <w:szCs w:val="21"/>
        </w:rPr>
        <w:t>（四）质量要求</w:t>
      </w:r>
    </w:p>
    <w:p>
      <w:pPr>
        <w:adjustRightInd w:val="0"/>
        <w:snapToGrid w:val="0"/>
        <w:spacing w:line="480" w:lineRule="atLeast"/>
        <w:rPr>
          <w:rFonts w:hint="eastAsia"/>
          <w:kern w:val="0"/>
          <w:szCs w:val="21"/>
        </w:rPr>
      </w:pPr>
      <w:r>
        <w:rPr>
          <w:kern w:val="0"/>
          <w:szCs w:val="21"/>
        </w:rPr>
        <w:t>1、项目文件材料的收集、整理、归档以及项目档案的完整性、准确性、系统性符合国家和行业标准和规范要求；项目档案形成质量、归档文件材料分类、组卷、排列、编号（件号、页号）符合规范性引用文件的规定及发包方《档案管理办法》及其实施细则的要求。</w:t>
      </w:r>
    </w:p>
    <w:p>
      <w:pPr>
        <w:adjustRightInd w:val="0"/>
        <w:snapToGrid w:val="0"/>
        <w:spacing w:line="480" w:lineRule="atLeast"/>
        <w:rPr>
          <w:rFonts w:hint="eastAsia"/>
          <w:kern w:val="0"/>
          <w:szCs w:val="21"/>
        </w:rPr>
      </w:pPr>
      <w:r>
        <w:rPr>
          <w:kern w:val="0"/>
          <w:szCs w:val="21"/>
        </w:rPr>
        <w:t>2、项目档案案卷目录规范、便于查找。装订结实美观。项目档案保管安全。</w:t>
      </w:r>
    </w:p>
    <w:p>
      <w:pPr>
        <w:adjustRightInd w:val="0"/>
        <w:snapToGrid w:val="0"/>
        <w:spacing w:line="480" w:lineRule="atLeast"/>
        <w:rPr>
          <w:rFonts w:hint="eastAsia"/>
          <w:kern w:val="0"/>
          <w:szCs w:val="21"/>
        </w:rPr>
      </w:pPr>
      <w:r>
        <w:rPr>
          <w:kern w:val="0"/>
          <w:szCs w:val="21"/>
        </w:rPr>
        <w:t>3、归档的文件材料必须达到完整、准确、系统、规范的要求，具有法律效力，以保障工程建设、生产、管理和维护的需要。</w:t>
      </w:r>
    </w:p>
    <w:p>
      <w:pPr>
        <w:adjustRightInd w:val="0"/>
        <w:snapToGrid w:val="0"/>
        <w:spacing w:line="480" w:lineRule="atLeast"/>
        <w:rPr>
          <w:rFonts w:hint="eastAsia"/>
          <w:kern w:val="0"/>
          <w:szCs w:val="21"/>
        </w:rPr>
      </w:pPr>
      <w:r>
        <w:rPr>
          <w:kern w:val="0"/>
          <w:szCs w:val="21"/>
        </w:rPr>
        <w:t>（1）完整：前期文件、设计文件、施工技术文件、竣工文件、监理文件、设备文件、竣工验收文件、声像档案、与工程质量相关的实物档案、项目建设过程中产生的电子文件等归档符合相应的国家或行业标准规定的内容将工程建设过程中形成的应该归档的各种文件材料的原件齐全完整归档。</w:t>
      </w:r>
    </w:p>
    <w:p>
      <w:pPr>
        <w:adjustRightInd w:val="0"/>
        <w:snapToGrid w:val="0"/>
        <w:spacing w:line="480" w:lineRule="atLeast"/>
        <w:rPr>
          <w:rFonts w:hint="eastAsia"/>
          <w:kern w:val="0"/>
          <w:szCs w:val="21"/>
        </w:rPr>
      </w:pPr>
      <w:r>
        <w:rPr>
          <w:kern w:val="0"/>
          <w:szCs w:val="21"/>
        </w:rPr>
        <w:t>（2）准确：档案的内容真实反映工程竣工时的实际情况和建设过程。项目文件内容真实、可靠，与工程实际相符合，具有法律效用。各类档案内容数据真实一致，手续完备；卷内目录详实；案卷题名简明、准确；档案目录及归档文件关系清晰；竣工图全部加盖竣工图章，竣工图章清晰、准确，内容详实，图物相符。总承包单位对分承包单位形成的文件负责审核并签字；对劳务分包形成的文件，总承包单位对形成文件承担全部的质量责任并签字确认，否则视为无效文件。项目文件均为原件，因故无原件归档的合法性、依据性、凭证性等永久保存的文件，应以相应有效性文件归档，以保证原件的可追溯性和归档文件的可靠性。</w:t>
      </w:r>
    </w:p>
    <w:p>
      <w:pPr>
        <w:adjustRightInd w:val="0"/>
        <w:snapToGrid w:val="0"/>
        <w:spacing w:line="480" w:lineRule="atLeast"/>
        <w:rPr>
          <w:rFonts w:hint="eastAsia"/>
          <w:kern w:val="0"/>
          <w:szCs w:val="21"/>
        </w:rPr>
      </w:pPr>
      <w:r>
        <w:rPr>
          <w:kern w:val="0"/>
          <w:szCs w:val="21"/>
        </w:rPr>
        <w:t>（3）系统：项目档案其形成规律，保持各部分之间的有机联系，分类科学，组卷规范、合理，各级类目设置清楚，能反映工程特征和工程实况；遵循文件材料形成规律，保持了卷内文件材料的系统联系；卷内文件编号条例，排列有序；案卷封面、卷内文件目录、备考表填写规范、清晰。符合《科学技术档案案卷构成的一般要求》。</w:t>
      </w:r>
    </w:p>
    <w:p>
      <w:pPr>
        <w:adjustRightInd w:val="0"/>
        <w:snapToGrid w:val="0"/>
        <w:spacing w:line="480" w:lineRule="atLeast"/>
        <w:rPr>
          <w:rFonts w:hint="eastAsia"/>
          <w:kern w:val="0"/>
          <w:szCs w:val="21"/>
        </w:rPr>
      </w:pPr>
      <w:r>
        <w:rPr>
          <w:kern w:val="0"/>
          <w:szCs w:val="21"/>
        </w:rPr>
        <w:t>（4）规范：指档案卷盒、卷皮、表格、分类、编目装订用纸规格、图纸折叠、书写格式等，符合国家、部、省及省局的规定。档案盒的大小、式样、颜色等要按照中国能源建设股份有限公司的统一要求制做。项目文件应字迹清楚，图样清晰，图表整洁，文件材料书写材料符合耐久性要求，没有热敏纸以及铅笔、圆珠笔、红墨水、纯蓝墨水、复写纸等书写的字迹。其制成材料应有利于永久保存，图文字迹应符合形成文件设备（打印机、复印机、扫描仪等）标称的质量要求，其载体、书写及制成材料应符合GB/T11822的规定。</w:t>
      </w:r>
    </w:p>
    <w:p>
      <w:pPr>
        <w:adjustRightInd w:val="0"/>
        <w:snapToGrid w:val="0"/>
        <w:spacing w:line="480" w:lineRule="atLeast"/>
        <w:rPr>
          <w:rFonts w:hint="eastAsia"/>
          <w:kern w:val="0"/>
          <w:szCs w:val="21"/>
        </w:rPr>
      </w:pPr>
      <w:r>
        <w:rPr>
          <w:kern w:val="0"/>
          <w:szCs w:val="21"/>
        </w:rPr>
        <w:t>（5）项目档案均为原件，禁止将非原件文件归档。</w:t>
      </w:r>
    </w:p>
    <w:p>
      <w:pPr>
        <w:adjustRightInd w:val="0"/>
        <w:snapToGrid w:val="0"/>
        <w:spacing w:line="480" w:lineRule="atLeast"/>
        <w:rPr>
          <w:rFonts w:hint="eastAsia"/>
          <w:kern w:val="0"/>
          <w:szCs w:val="21"/>
        </w:rPr>
      </w:pPr>
      <w:r>
        <w:rPr>
          <w:kern w:val="0"/>
          <w:szCs w:val="21"/>
        </w:rPr>
        <w:t>4、纸质档案数字化档案整理要符合《纸质档案数字化技术规范》（DA/T31）、《电子文件归档与管理规范》（GB/T18894）的要求，其格式为PDF格式，其分类与纸质档案分类一致，形成的电子版文件下载到不可擦除型载体上存储，与纸质档案一同移交。</w:t>
      </w:r>
    </w:p>
    <w:p>
      <w:pPr>
        <w:adjustRightInd w:val="0"/>
        <w:snapToGrid w:val="0"/>
        <w:spacing w:line="480" w:lineRule="atLeast"/>
        <w:rPr>
          <w:rFonts w:hint="eastAsia"/>
          <w:kern w:val="0"/>
          <w:szCs w:val="21"/>
        </w:rPr>
      </w:pPr>
      <w:r>
        <w:rPr>
          <w:kern w:val="0"/>
          <w:szCs w:val="21"/>
        </w:rPr>
        <w:t>5、照片档案整理要符合《照片档案整理规范》（GB/T11821）的要求，其分类与纸质档案分类一致。</w:t>
      </w:r>
    </w:p>
    <w:p>
      <w:pPr>
        <w:adjustRightInd w:val="0"/>
        <w:snapToGrid w:val="0"/>
        <w:spacing w:line="480" w:lineRule="atLeast"/>
        <w:rPr>
          <w:rFonts w:hint="eastAsia"/>
          <w:kern w:val="0"/>
          <w:szCs w:val="21"/>
        </w:rPr>
      </w:pPr>
      <w:r>
        <w:rPr>
          <w:kern w:val="0"/>
          <w:szCs w:val="21"/>
        </w:rPr>
        <w:t>6、电子版档案整理要符合《电子文件归档与管理规范》（GB/T18894）的要求。</w:t>
      </w:r>
    </w:p>
    <w:p>
      <w:pPr>
        <w:adjustRightInd w:val="0"/>
        <w:snapToGrid w:val="0"/>
        <w:spacing w:line="480" w:lineRule="atLeast"/>
        <w:rPr>
          <w:rFonts w:hint="eastAsia"/>
          <w:kern w:val="0"/>
          <w:szCs w:val="21"/>
        </w:rPr>
      </w:pPr>
      <w:r>
        <w:rPr>
          <w:kern w:val="0"/>
          <w:szCs w:val="21"/>
        </w:rPr>
        <w:t>7、与工程质量相关的实物档案的收集整理保管期限划分要符合国家、行业有关标准和规范的规定。</w:t>
      </w:r>
    </w:p>
    <w:p>
      <w:pPr>
        <w:adjustRightInd w:val="0"/>
        <w:snapToGrid w:val="0"/>
        <w:spacing w:line="480" w:lineRule="atLeast"/>
        <w:rPr>
          <w:rFonts w:hint="eastAsia"/>
          <w:kern w:val="0"/>
          <w:szCs w:val="21"/>
        </w:rPr>
      </w:pPr>
      <w:r>
        <w:rPr>
          <w:kern w:val="0"/>
          <w:szCs w:val="21"/>
        </w:rPr>
        <w:t>8、竣工图整理要符合《光伏发电项目文件归档与档案整理规范》（NB/T 32037）或《风力发电企业科技文件归档与整理规范》（NB/T31021）。</w:t>
      </w:r>
    </w:p>
    <w:p>
      <w:pPr>
        <w:adjustRightInd w:val="0"/>
        <w:snapToGrid w:val="0"/>
        <w:spacing w:line="480" w:lineRule="atLeast"/>
        <w:rPr>
          <w:rFonts w:hint="eastAsia"/>
          <w:kern w:val="0"/>
          <w:szCs w:val="21"/>
        </w:rPr>
      </w:pPr>
      <w:r>
        <w:rPr>
          <w:kern w:val="0"/>
          <w:szCs w:val="21"/>
        </w:rPr>
        <w:t>9、竣工图编制要符合《电力工程竣工图文件编制规定》（DL/T5229）的要求。</w:t>
      </w:r>
    </w:p>
    <w:p>
      <w:pPr>
        <w:adjustRightInd w:val="0"/>
        <w:snapToGrid w:val="0"/>
        <w:spacing w:line="480" w:lineRule="atLeast"/>
        <w:rPr>
          <w:rFonts w:hint="eastAsia"/>
          <w:kern w:val="0"/>
          <w:szCs w:val="21"/>
        </w:rPr>
      </w:pPr>
      <w:r>
        <w:rPr>
          <w:kern w:val="0"/>
          <w:szCs w:val="21"/>
        </w:rPr>
        <w:t>（1）所有根据设计修改通知单重新绘制的竣工图，必须按竣工图标题栏标释，要跟修改通知单相符，在编制说明栏里注明修改通知单编号和内容。具有可追溯性。</w:t>
      </w:r>
    </w:p>
    <w:p>
      <w:pPr>
        <w:adjustRightInd w:val="0"/>
        <w:snapToGrid w:val="0"/>
        <w:spacing w:line="480" w:lineRule="atLeast"/>
        <w:rPr>
          <w:rFonts w:hint="eastAsia"/>
          <w:kern w:val="0"/>
          <w:szCs w:val="21"/>
        </w:rPr>
      </w:pPr>
      <w:r>
        <w:rPr>
          <w:kern w:val="0"/>
          <w:szCs w:val="21"/>
        </w:rPr>
        <w:t>（2）无设计变更的施工图，设计单位应逐张审核，确认与现场相符后加盖竣工图章。</w:t>
      </w:r>
    </w:p>
    <w:p>
      <w:pPr>
        <w:adjustRightInd w:val="0"/>
        <w:snapToGrid w:val="0"/>
        <w:spacing w:line="480" w:lineRule="atLeast"/>
        <w:rPr>
          <w:rFonts w:hint="eastAsia"/>
          <w:kern w:val="0"/>
          <w:szCs w:val="21"/>
        </w:rPr>
      </w:pPr>
      <w:r>
        <w:rPr>
          <w:kern w:val="0"/>
          <w:szCs w:val="21"/>
        </w:rPr>
        <w:t>（3）竣工图必须编制“竣工图编制总说明”（叙述竣工图编制原则并包括各专业的竣工图卷册目录），对每册修改图纸，宜编制分册说明（包括修改内容、修改原因、提供修改资料单位等）。</w:t>
      </w:r>
    </w:p>
    <w:p>
      <w:pPr>
        <w:adjustRightInd w:val="0"/>
        <w:snapToGrid w:val="0"/>
        <w:spacing w:line="480" w:lineRule="atLeast"/>
        <w:rPr>
          <w:rFonts w:hint="eastAsia"/>
          <w:kern w:val="0"/>
          <w:szCs w:val="21"/>
        </w:rPr>
      </w:pPr>
      <w:r>
        <w:rPr>
          <w:kern w:val="0"/>
          <w:szCs w:val="21"/>
        </w:rPr>
        <w:t>（4）凡四级图有修改的，又需要修改五级图或清册的，应继续修改。</w:t>
      </w:r>
    </w:p>
    <w:p>
      <w:pPr>
        <w:adjustRightInd w:val="0"/>
        <w:snapToGrid w:val="0"/>
        <w:spacing w:line="480" w:lineRule="atLeast"/>
        <w:rPr>
          <w:rFonts w:hint="eastAsia"/>
          <w:kern w:val="0"/>
          <w:szCs w:val="21"/>
        </w:rPr>
      </w:pPr>
      <w:r>
        <w:rPr>
          <w:kern w:val="0"/>
          <w:szCs w:val="21"/>
        </w:rPr>
        <w:t>6、档案安全保管</w:t>
      </w:r>
    </w:p>
    <w:p>
      <w:pPr>
        <w:adjustRightInd w:val="0"/>
        <w:snapToGrid w:val="0"/>
        <w:spacing w:line="480" w:lineRule="atLeast"/>
        <w:rPr>
          <w:rFonts w:hint="eastAsia"/>
          <w:kern w:val="0"/>
          <w:szCs w:val="21"/>
        </w:rPr>
      </w:pPr>
      <w:r>
        <w:rPr>
          <w:kern w:val="0"/>
          <w:szCs w:val="21"/>
        </w:rPr>
        <w:t>（1）档案存放应依据档案载体选择柜架。底图不宜折叠；磁性载体应选择防磁设施。</w:t>
      </w:r>
    </w:p>
    <w:p>
      <w:pPr>
        <w:adjustRightInd w:val="0"/>
        <w:snapToGrid w:val="0"/>
        <w:spacing w:line="480" w:lineRule="atLeast"/>
        <w:rPr>
          <w:rFonts w:hint="eastAsia"/>
          <w:kern w:val="0"/>
          <w:szCs w:val="21"/>
        </w:rPr>
      </w:pPr>
      <w:r>
        <w:rPr>
          <w:kern w:val="0"/>
          <w:szCs w:val="21"/>
        </w:rPr>
        <w:t>（2）档案入库前要去污、消毒。受损的档案应及时修复或补救。对于易损的支撑材料和字迹，应采用复制手段加以保护。</w:t>
      </w:r>
    </w:p>
    <w:p>
      <w:pPr>
        <w:adjustRightInd w:val="0"/>
        <w:snapToGrid w:val="0"/>
        <w:spacing w:line="480" w:lineRule="atLeast"/>
        <w:rPr>
          <w:rFonts w:hint="eastAsia"/>
          <w:kern w:val="0"/>
          <w:szCs w:val="21"/>
        </w:rPr>
      </w:pPr>
      <w:r>
        <w:rPr>
          <w:kern w:val="0"/>
          <w:szCs w:val="21"/>
        </w:rPr>
        <w:t>（3）库房应保持干净、整洁，并具备防火、防盗、防光、防有害气体、防尘、防有害生物等保护功能。</w:t>
      </w:r>
    </w:p>
    <w:p>
      <w:pPr>
        <w:adjustRightInd w:val="0"/>
        <w:snapToGrid w:val="0"/>
        <w:spacing w:line="480" w:lineRule="atLeast"/>
        <w:rPr>
          <w:rFonts w:hint="eastAsia"/>
          <w:kern w:val="0"/>
          <w:szCs w:val="21"/>
        </w:rPr>
      </w:pPr>
      <w:r>
        <w:rPr>
          <w:kern w:val="0"/>
          <w:szCs w:val="21"/>
        </w:rPr>
        <w:t>（4）库房温度湿度应符合JGJ25、GB/T18894和DA/T15对各类档案载体的保管要求。</w:t>
      </w:r>
    </w:p>
    <w:p>
      <w:pPr>
        <w:adjustRightInd w:val="0"/>
        <w:snapToGrid w:val="0"/>
        <w:spacing w:line="480" w:lineRule="atLeast"/>
        <w:ind w:firstLine="422"/>
        <w:jc w:val="center"/>
        <w:rPr>
          <w:rFonts w:hint="eastAsia"/>
          <w:b/>
          <w:snapToGrid w:val="0"/>
          <w:kern w:val="0"/>
          <w:szCs w:val="21"/>
        </w:rPr>
      </w:pPr>
      <w:bookmarkStart w:id="752" w:name="_Toc9098"/>
      <w:bookmarkStart w:id="753" w:name="_Toc5381"/>
      <w:r>
        <w:rPr>
          <w:b/>
          <w:snapToGrid w:val="0"/>
          <w:kern w:val="0"/>
          <w:szCs w:val="21"/>
        </w:rPr>
        <w:t>第六章监督检查</w:t>
      </w:r>
      <w:bookmarkEnd w:id="752"/>
      <w:bookmarkEnd w:id="753"/>
    </w:p>
    <w:p>
      <w:pPr>
        <w:adjustRightInd w:val="0"/>
        <w:snapToGrid w:val="0"/>
        <w:spacing w:line="480" w:lineRule="atLeast"/>
        <w:rPr>
          <w:rFonts w:hint="eastAsia"/>
          <w:kern w:val="0"/>
          <w:szCs w:val="21"/>
        </w:rPr>
      </w:pPr>
      <w:r>
        <w:rPr>
          <w:kern w:val="0"/>
          <w:szCs w:val="21"/>
        </w:rPr>
        <w:t>第十一条发包方定期召开档案管理会议，对总包方的档案管理工作进行监督、检查、指导，总包方负责汇报本单位及对分包单位档案管理情况，并将查出的问题实施整改，进行闭环管理，实现档案可控在控管理，确保档案形成质量。</w:t>
      </w:r>
    </w:p>
    <w:p>
      <w:pPr>
        <w:adjustRightInd w:val="0"/>
        <w:snapToGrid w:val="0"/>
        <w:spacing w:line="480" w:lineRule="atLeast"/>
        <w:rPr>
          <w:rFonts w:hint="eastAsia"/>
          <w:kern w:val="0"/>
          <w:szCs w:val="21"/>
        </w:rPr>
      </w:pPr>
      <w:r>
        <w:rPr>
          <w:kern w:val="0"/>
          <w:szCs w:val="21"/>
        </w:rPr>
        <w:t>第十二条工程阶段性工作结束，总包方要进行本阶段档案总结报告，汇报相应档案的形成及整理情况，建设单位对形成档案的质量和整理过程实施阶段性验收。</w:t>
      </w:r>
    </w:p>
    <w:p>
      <w:pPr>
        <w:adjustRightInd w:val="0"/>
        <w:snapToGrid w:val="0"/>
        <w:spacing w:line="480" w:lineRule="atLeast"/>
        <w:rPr>
          <w:rFonts w:hint="eastAsia"/>
          <w:kern w:val="0"/>
          <w:szCs w:val="21"/>
        </w:rPr>
      </w:pPr>
      <w:r>
        <w:rPr>
          <w:kern w:val="0"/>
          <w:szCs w:val="21"/>
        </w:rPr>
        <w:t>第十三条发包方利用档案管理软件功能的可扩展性，通过网络对随办随归的文件进行在线验收、检查和电子文件逻辑归档，通过过程控制发现的问题，总包方要及时采取措施，有效整改，并且负责检查分包单位的实体档案。</w:t>
      </w:r>
    </w:p>
    <w:p>
      <w:pPr>
        <w:adjustRightInd w:val="0"/>
        <w:snapToGrid w:val="0"/>
        <w:spacing w:line="480" w:lineRule="atLeast"/>
        <w:ind w:firstLine="422"/>
        <w:jc w:val="center"/>
        <w:rPr>
          <w:rFonts w:hint="eastAsia"/>
          <w:b/>
          <w:snapToGrid w:val="0"/>
          <w:kern w:val="0"/>
          <w:szCs w:val="21"/>
        </w:rPr>
      </w:pPr>
      <w:bookmarkStart w:id="754" w:name="_Toc22683"/>
      <w:bookmarkStart w:id="755" w:name="_Toc2576"/>
      <w:r>
        <w:rPr>
          <w:b/>
          <w:snapToGrid w:val="0"/>
          <w:kern w:val="0"/>
          <w:szCs w:val="21"/>
        </w:rPr>
        <w:t>第七章考核措施</w:t>
      </w:r>
      <w:bookmarkEnd w:id="754"/>
      <w:bookmarkEnd w:id="755"/>
    </w:p>
    <w:p>
      <w:pPr>
        <w:adjustRightInd w:val="0"/>
        <w:snapToGrid w:val="0"/>
        <w:spacing w:line="480" w:lineRule="atLeast"/>
        <w:rPr>
          <w:rFonts w:hint="eastAsia"/>
          <w:kern w:val="0"/>
          <w:szCs w:val="21"/>
        </w:rPr>
      </w:pPr>
      <w:r>
        <w:rPr>
          <w:kern w:val="0"/>
          <w:szCs w:val="21"/>
        </w:rPr>
        <w:t>第十四条合同工程完工验收后三个月内完成竣工档案的移交，如不能按时移交：延迟1-7天扣除1-5万元工程款，延迟8-14天扣除5-10万元工程款，可以累加。</w:t>
      </w:r>
    </w:p>
    <w:p>
      <w:pPr>
        <w:adjustRightInd w:val="0"/>
        <w:snapToGrid w:val="0"/>
        <w:spacing w:line="480" w:lineRule="atLeast"/>
        <w:rPr>
          <w:rFonts w:hint="eastAsia"/>
          <w:kern w:val="0"/>
          <w:szCs w:val="21"/>
        </w:rPr>
      </w:pPr>
      <w:r>
        <w:rPr>
          <w:kern w:val="0"/>
          <w:szCs w:val="21"/>
        </w:rPr>
        <w:t>第十五条单位工程验收合格后，总包方没有在规定时间内（30天内）移交有关的竣工档案给发包方，发包方有权对总包方施以罚款：延迟1-7天罚款金额为1-3万元，延迟8-14天扣除3-5万元工程款，可以累加。</w:t>
      </w:r>
    </w:p>
    <w:p>
      <w:pPr>
        <w:adjustRightInd w:val="0"/>
        <w:snapToGrid w:val="0"/>
        <w:spacing w:line="480" w:lineRule="atLeast"/>
        <w:rPr>
          <w:rFonts w:hint="eastAsia"/>
          <w:kern w:val="0"/>
          <w:szCs w:val="21"/>
        </w:rPr>
      </w:pPr>
      <w:r>
        <w:rPr>
          <w:kern w:val="0"/>
          <w:szCs w:val="21"/>
        </w:rPr>
        <w:t>第十六条总包方移交的档案文件形成质量不符合完整、准确、系统的要求，发包方有权要求总包方在规定的时间内整改，使其符合归档验收要求，逾期不整改的，发包方有权对其实施罚款，罚款金额为工程档案保证金的3-5万元。</w:t>
      </w:r>
    </w:p>
    <w:p>
      <w:pPr>
        <w:adjustRightInd w:val="0"/>
        <w:snapToGrid w:val="0"/>
        <w:spacing w:line="480" w:lineRule="atLeast"/>
        <w:rPr>
          <w:rFonts w:hint="eastAsia"/>
          <w:kern w:val="0"/>
          <w:szCs w:val="21"/>
        </w:rPr>
      </w:pPr>
      <w:r>
        <w:rPr>
          <w:kern w:val="0"/>
          <w:szCs w:val="21"/>
        </w:rPr>
        <w:t>第十七条档案验收与工程验收挂钩，档案资料不合格的单位工程不予验收。</w:t>
      </w:r>
    </w:p>
    <w:p>
      <w:pPr>
        <w:adjustRightInd w:val="0"/>
        <w:snapToGrid w:val="0"/>
        <w:spacing w:line="480" w:lineRule="atLeast"/>
        <w:rPr>
          <w:rFonts w:hint="eastAsia"/>
          <w:kern w:val="0"/>
          <w:szCs w:val="21"/>
        </w:rPr>
      </w:pPr>
      <w:r>
        <w:rPr>
          <w:kern w:val="0"/>
          <w:szCs w:val="21"/>
        </w:rPr>
        <w:t>第十八条本工程所有技术档案必须齐全、客观真实，总包方必须汇总整理合同范围内的、完整齐全的、客观真实的工程档案原件向发包方归档，不得截留应归发包方的原件或擅自移交其他单位。如发现有缺少或弄虚作假，不予验收结算。</w:t>
      </w:r>
    </w:p>
    <w:p>
      <w:pPr>
        <w:adjustRightInd w:val="0"/>
        <w:snapToGrid w:val="0"/>
        <w:spacing w:line="480" w:lineRule="atLeast"/>
        <w:rPr>
          <w:rFonts w:hint="eastAsia"/>
          <w:kern w:val="0"/>
          <w:szCs w:val="21"/>
        </w:rPr>
      </w:pPr>
      <w:r>
        <w:rPr>
          <w:kern w:val="0"/>
          <w:szCs w:val="21"/>
        </w:rPr>
        <w:t>第十九条总包方应切实做好归档资料的保密工作，禁止未经发包方公司领导批准私自将公司内部的资料泄漏在外，一经发现，扣责任单位及责任人1000-5000元。</w:t>
      </w:r>
    </w:p>
    <w:p>
      <w:pPr>
        <w:rPr>
          <w:rFonts w:hint="eastAsia"/>
          <w:szCs w:val="21"/>
        </w:rPr>
      </w:pPr>
    </w:p>
    <w:p>
      <w:pPr>
        <w:adjustRightInd w:val="0"/>
        <w:snapToGrid w:val="0"/>
        <w:spacing w:line="480" w:lineRule="atLeast"/>
        <w:rPr>
          <w:rFonts w:hint="eastAsia"/>
          <w:kern w:val="0"/>
          <w:szCs w:val="21"/>
        </w:rPr>
      </w:pPr>
      <w:bookmarkStart w:id="756" w:name="_Toc3430"/>
      <w:bookmarkStart w:id="757" w:name="_Toc129848695"/>
      <w:bookmarkStart w:id="758" w:name="_Toc28341"/>
    </w:p>
    <w:p>
      <w:pPr>
        <w:adjustRightInd w:val="0"/>
        <w:snapToGrid w:val="0"/>
        <w:spacing w:line="480" w:lineRule="atLeast"/>
        <w:rPr>
          <w:rFonts w:hint="eastAsia"/>
          <w:kern w:val="0"/>
          <w:szCs w:val="21"/>
        </w:rPr>
      </w:pPr>
    </w:p>
    <w:p>
      <w:pPr>
        <w:adjustRightInd w:val="0"/>
        <w:snapToGrid w:val="0"/>
        <w:spacing w:line="480" w:lineRule="atLeast"/>
        <w:rPr>
          <w:rFonts w:hint="eastAsia"/>
          <w:kern w:val="0"/>
          <w:szCs w:val="21"/>
        </w:rPr>
      </w:pPr>
    </w:p>
    <w:p>
      <w:pPr>
        <w:adjustRightInd w:val="0"/>
        <w:snapToGrid w:val="0"/>
        <w:spacing w:line="480" w:lineRule="atLeast"/>
        <w:rPr>
          <w:rFonts w:hint="eastAsia"/>
          <w:kern w:val="0"/>
          <w:szCs w:val="21"/>
        </w:rPr>
      </w:pPr>
    </w:p>
    <w:p>
      <w:pPr>
        <w:adjustRightInd w:val="0"/>
        <w:snapToGrid w:val="0"/>
        <w:spacing w:line="480" w:lineRule="atLeast"/>
        <w:rPr>
          <w:rFonts w:hint="eastAsia"/>
          <w:kern w:val="0"/>
          <w:szCs w:val="21"/>
        </w:rPr>
      </w:pPr>
    </w:p>
    <w:p>
      <w:pPr>
        <w:adjustRightInd w:val="0"/>
        <w:snapToGrid w:val="0"/>
        <w:spacing w:line="480" w:lineRule="atLeast"/>
        <w:rPr>
          <w:rFonts w:hint="eastAsia"/>
          <w:kern w:val="0"/>
          <w:szCs w:val="21"/>
        </w:rPr>
      </w:pPr>
    </w:p>
    <w:p>
      <w:pPr>
        <w:adjustRightInd w:val="0"/>
        <w:snapToGrid w:val="0"/>
        <w:spacing w:line="480" w:lineRule="atLeast"/>
        <w:rPr>
          <w:rFonts w:hint="eastAsia"/>
          <w:kern w:val="0"/>
          <w:szCs w:val="21"/>
        </w:rPr>
      </w:pPr>
    </w:p>
    <w:p>
      <w:pPr>
        <w:adjustRightInd w:val="0"/>
        <w:snapToGrid w:val="0"/>
        <w:spacing w:line="480" w:lineRule="atLeast"/>
        <w:rPr>
          <w:rFonts w:hint="eastAsia"/>
          <w:kern w:val="0"/>
          <w:szCs w:val="21"/>
        </w:rPr>
      </w:pPr>
    </w:p>
    <w:p>
      <w:pPr>
        <w:adjustRightInd w:val="0"/>
        <w:snapToGrid w:val="0"/>
        <w:spacing w:line="480" w:lineRule="atLeast"/>
        <w:rPr>
          <w:rFonts w:hint="eastAsia"/>
          <w:kern w:val="0"/>
          <w:szCs w:val="21"/>
        </w:rPr>
      </w:pPr>
    </w:p>
    <w:p>
      <w:pPr>
        <w:pStyle w:val="10"/>
        <w:ind w:firstLine="420"/>
        <w:rPr>
          <w:rFonts w:hint="eastAsia"/>
        </w:rPr>
      </w:pPr>
    </w:p>
    <w:p>
      <w:pPr>
        <w:pStyle w:val="10"/>
        <w:ind w:firstLine="420"/>
        <w:rPr>
          <w:rFonts w:hint="eastAsia"/>
        </w:rPr>
      </w:pPr>
    </w:p>
    <w:p>
      <w:pPr>
        <w:adjustRightInd w:val="0"/>
        <w:snapToGrid w:val="0"/>
        <w:spacing w:line="480" w:lineRule="atLeast"/>
        <w:rPr>
          <w:rFonts w:hint="eastAsia"/>
          <w:kern w:val="0"/>
          <w:szCs w:val="21"/>
        </w:rPr>
      </w:pPr>
    </w:p>
    <w:p>
      <w:pPr>
        <w:adjustRightInd w:val="0"/>
        <w:snapToGrid w:val="0"/>
        <w:spacing w:line="480" w:lineRule="atLeast"/>
        <w:rPr>
          <w:rFonts w:hint="eastAsia"/>
          <w:kern w:val="0"/>
          <w:szCs w:val="21"/>
        </w:rPr>
      </w:pPr>
    </w:p>
    <w:p>
      <w:pPr>
        <w:pStyle w:val="19"/>
      </w:pPr>
      <w:bookmarkStart w:id="759" w:name="_Toc170377989"/>
      <w:bookmarkStart w:id="760" w:name="_Toc7335"/>
      <w:r>
        <w:t>附件六 农民工工资结清证明</w:t>
      </w:r>
      <w:bookmarkEnd w:id="756"/>
      <w:bookmarkEnd w:id="757"/>
      <w:bookmarkEnd w:id="758"/>
      <w:bookmarkEnd w:id="759"/>
      <w:bookmarkEnd w:id="760"/>
    </w:p>
    <w:p>
      <w:pPr>
        <w:jc w:val="left"/>
        <w:rPr>
          <w:rFonts w:hint="eastAsia"/>
          <w:u w:val="single"/>
        </w:rPr>
      </w:pPr>
    </w:p>
    <w:p>
      <w:pPr>
        <w:jc w:val="left"/>
        <w:rPr>
          <w:rFonts w:hint="eastAsia"/>
          <w:u w:val="single"/>
        </w:rPr>
      </w:pPr>
    </w:p>
    <w:p>
      <w:pPr>
        <w:jc w:val="left"/>
        <w:rPr>
          <w:rFonts w:hint="eastAsia"/>
          <w:u w:val="single"/>
        </w:rPr>
      </w:pPr>
    </w:p>
    <w:p>
      <w:pPr>
        <w:ind w:firstLine="723"/>
        <w:jc w:val="center"/>
        <w:rPr>
          <w:rFonts w:hint="eastAsia"/>
          <w:b/>
          <w:bCs/>
          <w:sz w:val="36"/>
          <w:szCs w:val="36"/>
        </w:rPr>
      </w:pPr>
      <w:r>
        <w:rPr>
          <w:rFonts w:hint="eastAsia"/>
          <w:b/>
          <w:bCs/>
          <w:sz w:val="36"/>
          <w:szCs w:val="36"/>
        </w:rPr>
        <w:t>农民工工资结清证明</w:t>
      </w:r>
    </w:p>
    <w:p>
      <w:pPr>
        <w:jc w:val="left"/>
        <w:rPr>
          <w:rFonts w:hint="eastAsia"/>
          <w:u w:val="single"/>
        </w:rPr>
      </w:pPr>
    </w:p>
    <w:p>
      <w:pPr>
        <w:spacing w:line="520" w:lineRule="exact"/>
        <w:rPr>
          <w:rFonts w:hint="eastAsia"/>
        </w:rPr>
      </w:pPr>
      <w:r>
        <w:rPr>
          <w:rFonts w:hint="eastAsia"/>
          <w:u w:val="single"/>
        </w:rPr>
        <w:t xml:space="preserve"> </w:t>
      </w:r>
      <w:r>
        <w:rPr>
          <w:u w:val="single"/>
        </w:rPr>
        <w:t xml:space="preserve">              </w:t>
      </w:r>
      <w:r>
        <w:t>公司</w:t>
      </w:r>
      <w:r>
        <w:rPr>
          <w:rFonts w:hint="eastAsia"/>
        </w:rPr>
        <w:t>：</w:t>
      </w:r>
    </w:p>
    <w:p>
      <w:pPr>
        <w:spacing w:line="520" w:lineRule="exact"/>
        <w:rPr>
          <w:rFonts w:hint="eastAsia"/>
        </w:rPr>
      </w:pPr>
      <w:r>
        <w:rPr>
          <w:rFonts w:hint="eastAsia"/>
        </w:rPr>
        <w:t>由我公司承建的</w:t>
      </w:r>
      <w:r>
        <w:rPr>
          <w:u w:val="single"/>
        </w:rPr>
        <w:t xml:space="preserve">                  </w:t>
      </w:r>
      <w:r>
        <w:rPr>
          <w:rFonts w:hint="eastAsia"/>
          <w:u w:val="single"/>
        </w:rPr>
        <w:t xml:space="preserve"> </w:t>
      </w:r>
      <w:r>
        <w:rPr>
          <w:rFonts w:hint="eastAsia"/>
        </w:rPr>
        <w:t>（合同编号：</w:t>
      </w:r>
      <w:r>
        <w:rPr>
          <w:u w:val="single"/>
        </w:rPr>
        <w:t xml:space="preserve">             </w:t>
      </w:r>
      <w:r>
        <w:rPr>
          <w:rFonts w:hint="eastAsia"/>
        </w:rPr>
        <w:t>）已完工，贵公司也已按合同要求支付了工程款。</w:t>
      </w:r>
    </w:p>
    <w:p>
      <w:pPr>
        <w:spacing w:line="520" w:lineRule="exact"/>
        <w:rPr>
          <w:rFonts w:hint="eastAsia"/>
        </w:rPr>
      </w:pPr>
      <w:r>
        <w:rPr>
          <w:rFonts w:hint="eastAsia"/>
        </w:rPr>
        <w:t>我公司按《国务院办公厅关于全面治理拖欠农民工工资问题的意见》（国办发〔</w:t>
      </w:r>
      <w:r>
        <w:t>2016</w:t>
      </w:r>
      <w:r>
        <w:rPr>
          <w:rFonts w:hint="eastAsia"/>
        </w:rPr>
        <w:t>〕</w:t>
      </w:r>
      <w:r>
        <w:t>1</w:t>
      </w:r>
      <w:r>
        <w:rPr>
          <w:rFonts w:hint="eastAsia"/>
        </w:rPr>
        <w:t>号）文件精神的要求，已向参与本合同工程建设的全部农民工发放了应发的工资，农民工工资已结清，无拖欠现象。</w:t>
      </w:r>
    </w:p>
    <w:p>
      <w:pPr>
        <w:spacing w:line="520" w:lineRule="exact"/>
        <w:rPr>
          <w:rFonts w:hint="eastAsia"/>
        </w:rPr>
      </w:pPr>
      <w:r>
        <w:rPr>
          <w:rFonts w:hint="eastAsia"/>
        </w:rPr>
        <w:t>我公司向贵公司承诺：如因发生拖欠农民工工资问题而引起的纠纷、讨薪、围堵、上访、游行、示威等，一切后果均由我公司负责。</w:t>
      </w:r>
    </w:p>
    <w:p>
      <w:pPr>
        <w:jc w:val="left"/>
        <w:rPr>
          <w:rFonts w:hint="eastAsia"/>
          <w:u w:val="single"/>
        </w:rPr>
      </w:pPr>
    </w:p>
    <w:p>
      <w:pPr>
        <w:jc w:val="left"/>
        <w:rPr>
          <w:rFonts w:hint="eastAsia"/>
          <w:u w:val="single"/>
        </w:rPr>
      </w:pPr>
    </w:p>
    <w:p>
      <w:pPr>
        <w:jc w:val="left"/>
        <w:rPr>
          <w:rFonts w:hint="eastAsia"/>
          <w:u w:val="single"/>
        </w:rPr>
      </w:pPr>
    </w:p>
    <w:p>
      <w:pPr>
        <w:jc w:val="left"/>
        <w:rPr>
          <w:rFonts w:hint="eastAsia"/>
          <w:u w:val="single"/>
        </w:rPr>
      </w:pPr>
    </w:p>
    <w:p>
      <w:pPr>
        <w:jc w:val="left"/>
        <w:rPr>
          <w:rFonts w:hint="eastAsia"/>
        </w:rPr>
      </w:pPr>
      <w:r>
        <w:t xml:space="preserve">                                       </w:t>
      </w:r>
      <w:r>
        <w:rPr>
          <w:rFonts w:hint="eastAsia"/>
        </w:rPr>
        <w:t xml:space="preserve"> </w:t>
      </w:r>
      <w:r>
        <w:t xml:space="preserve">                公</w:t>
      </w:r>
      <w:r>
        <w:rPr>
          <w:rFonts w:hint="eastAsia"/>
        </w:rPr>
        <w:t xml:space="preserve"> </w:t>
      </w:r>
      <w:r>
        <w:t>司</w:t>
      </w:r>
      <w:r>
        <w:rPr>
          <w:rFonts w:hint="eastAsia"/>
        </w:rPr>
        <w:t>（盖章）：</w:t>
      </w:r>
    </w:p>
    <w:p>
      <w:pPr>
        <w:jc w:val="left"/>
        <w:rPr>
          <w:rFonts w:hint="eastAsia"/>
        </w:rPr>
      </w:pPr>
      <w:r>
        <w:t xml:space="preserve">                              </w:t>
      </w:r>
    </w:p>
    <w:p>
      <w:pPr>
        <w:jc w:val="left"/>
        <w:rPr>
          <w:rFonts w:hint="eastAsia"/>
        </w:rPr>
      </w:pPr>
      <w:r>
        <w:t xml:space="preserve">                                                </w:t>
      </w:r>
      <w:r>
        <w:rPr>
          <w:rFonts w:hint="eastAsia"/>
        </w:rPr>
        <w:t>法人代表或授权委托人：</w:t>
      </w:r>
    </w:p>
    <w:p>
      <w:pPr>
        <w:jc w:val="left"/>
        <w:rPr>
          <w:rFonts w:hint="eastAsia"/>
        </w:rPr>
      </w:pPr>
      <w:r>
        <w:t xml:space="preserve">                                    </w:t>
      </w:r>
    </w:p>
    <w:p>
      <w:pPr>
        <w:jc w:val="left"/>
        <w:rPr>
          <w:rFonts w:hint="eastAsia"/>
        </w:rPr>
        <w:sectPr>
          <w:pgSz w:w="12240" w:h="15840"/>
          <w:pgMar w:top="1440" w:right="1080" w:bottom="1440" w:left="1080" w:header="851" w:footer="858" w:gutter="0"/>
          <w:cols w:space="720" w:num="1"/>
        </w:sectPr>
      </w:pPr>
      <w:r>
        <w:t xml:space="preserve">                                                         </w:t>
      </w:r>
      <w:r>
        <w:rPr>
          <w:rFonts w:hint="eastAsia"/>
        </w:rPr>
        <w:t>年</w:t>
      </w:r>
      <w:r>
        <w:t xml:space="preserve">   </w:t>
      </w:r>
      <w:r>
        <w:rPr>
          <w:rFonts w:hint="eastAsia"/>
        </w:rPr>
        <w:t>月</w:t>
      </w:r>
      <w:r>
        <w:t xml:space="preserve">   </w:t>
      </w:r>
      <w:r>
        <w:rPr>
          <w:rFonts w:hint="eastAsia"/>
        </w:rPr>
        <w:t>日</w:t>
      </w:r>
      <w:r>
        <w:t xml:space="preserve">   </w:t>
      </w:r>
    </w:p>
    <w:p>
      <w:pPr>
        <w:pStyle w:val="19"/>
      </w:pPr>
      <w:bookmarkStart w:id="761" w:name="_Toc170377990"/>
      <w:bookmarkStart w:id="762" w:name="_Toc31364"/>
      <w:bookmarkStart w:id="763" w:name="_Toc14643"/>
      <w:bookmarkStart w:id="764" w:name="_Toc129848696"/>
      <w:bookmarkStart w:id="765" w:name="_Toc27469"/>
      <w:r>
        <w:t>附件七 工程建设项目廉政责任书</w:t>
      </w:r>
      <w:bookmarkEnd w:id="761"/>
      <w:bookmarkEnd w:id="762"/>
      <w:bookmarkEnd w:id="763"/>
      <w:bookmarkEnd w:id="764"/>
      <w:bookmarkEnd w:id="765"/>
    </w:p>
    <w:p>
      <w:pPr>
        <w:ind w:firstLine="460"/>
        <w:rPr>
          <w:rFonts w:hint="eastAsia"/>
          <w:spacing w:val="10"/>
          <w:kern w:val="0"/>
          <w:szCs w:val="21"/>
        </w:rPr>
      </w:pPr>
    </w:p>
    <w:p>
      <w:pPr>
        <w:ind w:firstLine="460"/>
        <w:rPr>
          <w:rFonts w:hint="eastAsia"/>
          <w:color w:val="FF0000"/>
          <w:spacing w:val="10"/>
          <w:kern w:val="0"/>
          <w:szCs w:val="21"/>
        </w:rPr>
      </w:pPr>
      <w:r>
        <w:rPr>
          <w:rFonts w:hint="eastAsia"/>
          <w:spacing w:val="10"/>
          <w:kern w:val="0"/>
          <w:szCs w:val="21"/>
        </w:rPr>
        <w:t>工程名称：</w:t>
      </w:r>
      <w:r>
        <w:rPr>
          <w:rFonts w:hint="eastAsia"/>
          <w:color w:val="FF0000"/>
          <w:u w:val="single"/>
        </w:rPr>
        <w:t>绍兴华茂化纤有限公司4.8MW/10.4MWh电化学储能电站项目</w:t>
      </w:r>
    </w:p>
    <w:p>
      <w:pPr>
        <w:ind w:firstLine="460"/>
        <w:rPr>
          <w:rFonts w:hint="eastAsia"/>
          <w:spacing w:val="10"/>
          <w:kern w:val="0"/>
          <w:szCs w:val="21"/>
        </w:rPr>
      </w:pPr>
      <w:r>
        <w:rPr>
          <w:rFonts w:hint="eastAsia"/>
          <w:spacing w:val="10"/>
          <w:kern w:val="0"/>
          <w:szCs w:val="21"/>
        </w:rPr>
        <w:t>工程地址：</w:t>
      </w:r>
      <w:r>
        <w:rPr>
          <w:rFonts w:hint="eastAsia"/>
          <w:color w:val="FF0000"/>
          <w:u w:val="single"/>
        </w:rPr>
        <w:t>浙江省绍兴市柯桥区钱清街道绍兴华茂化纤有限公司厂区内</w:t>
      </w:r>
      <w:r>
        <w:rPr>
          <w:rFonts w:hint="eastAsia"/>
          <w:color w:val="FF0000"/>
          <w:spacing w:val="10"/>
          <w:kern w:val="0"/>
          <w:szCs w:val="21"/>
        </w:rPr>
        <w:t xml:space="preserve"> </w:t>
      </w:r>
      <w:r>
        <w:rPr>
          <w:rFonts w:hint="eastAsia"/>
          <w:spacing w:val="10"/>
          <w:kern w:val="0"/>
          <w:szCs w:val="21"/>
        </w:rPr>
        <w:t xml:space="preserve">                      </w:t>
      </w:r>
    </w:p>
    <w:p>
      <w:pPr>
        <w:ind w:firstLine="460"/>
        <w:rPr>
          <w:rFonts w:hint="eastAsia"/>
          <w:spacing w:val="10"/>
          <w:kern w:val="0"/>
          <w:szCs w:val="21"/>
        </w:rPr>
      </w:pPr>
      <w:r>
        <w:rPr>
          <w:rFonts w:hint="eastAsia"/>
          <w:spacing w:val="10"/>
          <w:kern w:val="0"/>
          <w:szCs w:val="21"/>
        </w:rPr>
        <w:t>甲方(发包人）：</w:t>
      </w:r>
      <w:r>
        <w:rPr>
          <w:rFonts w:hint="eastAsia"/>
          <w:spacing w:val="10"/>
          <w:kern w:val="0"/>
          <w:szCs w:val="21"/>
          <w:u w:val="single"/>
        </w:rPr>
        <w:t xml:space="preserve">北京京能数字科技有限公司                                </w:t>
      </w:r>
      <w:r>
        <w:rPr>
          <w:rFonts w:hint="eastAsia"/>
          <w:spacing w:val="10"/>
          <w:kern w:val="0"/>
          <w:szCs w:val="21"/>
        </w:rPr>
        <w:t xml:space="preserve">                    </w:t>
      </w:r>
    </w:p>
    <w:p>
      <w:pPr>
        <w:ind w:firstLine="460"/>
        <w:rPr>
          <w:rFonts w:hint="eastAsia"/>
          <w:spacing w:val="10"/>
          <w:kern w:val="0"/>
          <w:szCs w:val="21"/>
        </w:rPr>
      </w:pPr>
      <w:r>
        <w:rPr>
          <w:rFonts w:hint="eastAsia"/>
          <w:spacing w:val="10"/>
          <w:kern w:val="0"/>
          <w:szCs w:val="21"/>
        </w:rPr>
        <w:t>乙方(承包人）：</w:t>
      </w:r>
      <w:r>
        <w:rPr>
          <w:rFonts w:hint="eastAsia"/>
          <w:color w:val="FF0000"/>
          <w:spacing w:val="10"/>
          <w:kern w:val="0"/>
          <w:szCs w:val="21"/>
          <w:u w:val="single"/>
        </w:rPr>
        <w:t xml:space="preserve">许继电气股份有限公司                </w:t>
      </w:r>
      <w:r>
        <w:rPr>
          <w:rFonts w:hint="eastAsia"/>
          <w:color w:val="FF0000"/>
          <w:spacing w:val="10"/>
          <w:kern w:val="0"/>
          <w:szCs w:val="21"/>
        </w:rPr>
        <w:t xml:space="preserve"> </w:t>
      </w:r>
      <w:r>
        <w:rPr>
          <w:rFonts w:hint="eastAsia"/>
          <w:spacing w:val="10"/>
          <w:kern w:val="0"/>
          <w:szCs w:val="21"/>
        </w:rPr>
        <w:t xml:space="preserve">              </w:t>
      </w:r>
    </w:p>
    <w:p>
      <w:pPr>
        <w:jc w:val="left"/>
        <w:rPr>
          <w:rFonts w:hint="eastAsia"/>
        </w:rPr>
      </w:pPr>
      <w:r>
        <w:rPr>
          <w:rFonts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jc w:val="left"/>
        <w:rPr>
          <w:rFonts w:hint="eastAsia"/>
        </w:rPr>
      </w:pPr>
      <w:r>
        <w:rPr>
          <w:rFonts w:hint="eastAsia"/>
        </w:rPr>
        <w:t>1. 甲乙双方的责任</w:t>
      </w:r>
    </w:p>
    <w:p>
      <w:pPr>
        <w:jc w:val="left"/>
        <w:rPr>
          <w:rFonts w:hint="eastAsia"/>
        </w:rPr>
      </w:pPr>
      <w:r>
        <w:rPr>
          <w:rFonts w:hint="eastAsia"/>
        </w:rPr>
        <w:t>1.1应严格遵守国家关于市场准入、项目招标投标、工程施工和市场活动等有关法律、法规，相关政策，以及廉政建设的各项规定。</w:t>
      </w:r>
    </w:p>
    <w:p>
      <w:pPr>
        <w:jc w:val="left"/>
        <w:rPr>
          <w:rFonts w:hint="eastAsia"/>
        </w:rPr>
      </w:pPr>
      <w:r>
        <w:rPr>
          <w:rFonts w:hint="eastAsia"/>
        </w:rPr>
        <w:t>1.2严格执行建设工程项目承发包合同文件，自觉按合同组织施工活动。</w:t>
      </w:r>
    </w:p>
    <w:p>
      <w:pPr>
        <w:jc w:val="left"/>
        <w:rPr>
          <w:rFonts w:hint="eastAsia"/>
        </w:rPr>
      </w:pPr>
      <w:r>
        <w:rPr>
          <w:rFonts w:hint="eastAsia"/>
        </w:rPr>
        <w:t>1.3工程建设活动必须坚持公开、公平、公正、诚信、透明的原则（除法律法规另有规定者外），不得为获取不正当的利益，损害国家、集体和对方利益，不得违反工程建设相关的规章制度。</w:t>
      </w:r>
    </w:p>
    <w:p>
      <w:pPr>
        <w:jc w:val="left"/>
        <w:rPr>
          <w:rFonts w:hint="eastAsia"/>
        </w:rPr>
      </w:pPr>
      <w:r>
        <w:rPr>
          <w:rFonts w:hint="eastAsia"/>
        </w:rPr>
        <w:t>1.4发现对方在业务活动中有违规、违纪、违法行为的，应及时提醒对方，情节严重的，应向其上级主管部门或纪检监察、司法等有关机关举报。</w:t>
      </w:r>
    </w:p>
    <w:p>
      <w:pPr>
        <w:jc w:val="left"/>
        <w:rPr>
          <w:rFonts w:hint="eastAsia"/>
        </w:rPr>
      </w:pPr>
      <w:r>
        <w:rPr>
          <w:rFonts w:hint="eastAsia"/>
        </w:rPr>
        <w:t>2.甲方的责任</w:t>
      </w:r>
    </w:p>
    <w:p>
      <w:pPr>
        <w:jc w:val="left"/>
        <w:rPr>
          <w:rFonts w:hint="eastAsia"/>
        </w:rPr>
      </w:pPr>
      <w:r>
        <w:rPr>
          <w:rFonts w:hint="eastAsia"/>
        </w:rPr>
        <w:t>甲方的领导和从事该建设工程项目的工作人员，在工程建设的事前、事中、事后应遵守以下规定：</w:t>
      </w:r>
    </w:p>
    <w:p>
      <w:pPr>
        <w:jc w:val="left"/>
        <w:rPr>
          <w:rFonts w:hint="eastAsia"/>
        </w:rPr>
      </w:pPr>
      <w:r>
        <w:rPr>
          <w:rFonts w:hint="eastAsia"/>
        </w:rPr>
        <w:t>2.1不准向乙方和相关单位索要或接受回扣、礼金、有价证券、贵重物品和好处费、感谢费等。</w:t>
      </w:r>
    </w:p>
    <w:p>
      <w:pPr>
        <w:jc w:val="left"/>
        <w:rPr>
          <w:rFonts w:hint="eastAsia"/>
        </w:rPr>
      </w:pPr>
      <w:r>
        <w:rPr>
          <w:rFonts w:hint="eastAsia"/>
        </w:rPr>
        <w:t>2.2不准在乙方和相关单位报销任何应由甲方或个人支付的费用。</w:t>
      </w:r>
    </w:p>
    <w:p>
      <w:pPr>
        <w:jc w:val="left"/>
        <w:rPr>
          <w:rFonts w:hint="eastAsia"/>
        </w:rPr>
      </w:pPr>
      <w:r>
        <w:rPr>
          <w:rFonts w:hint="eastAsia"/>
        </w:rPr>
        <w:t>2.3不准要求、暗示和接受乙方和相关单位为个人装修住房、婚丧嫁娶、配偶子女的工作安排以及出国（境）、旅游等提供方便。</w:t>
      </w:r>
    </w:p>
    <w:p>
      <w:pPr>
        <w:jc w:val="left"/>
        <w:rPr>
          <w:rFonts w:hint="eastAsia"/>
        </w:rPr>
      </w:pPr>
      <w:r>
        <w:rPr>
          <w:rFonts w:hint="eastAsia"/>
        </w:rPr>
        <w:t>2.4不准参加有可能影响公正执行公务的乙方和相关单位的宴请和健身、娱乐等活动。</w:t>
      </w:r>
    </w:p>
    <w:p>
      <w:pPr>
        <w:jc w:val="left"/>
        <w:rPr>
          <w:rFonts w:hint="eastAsia"/>
        </w:rPr>
      </w:pPr>
      <w:r>
        <w:rPr>
          <w:rFonts w:hint="eastAsia"/>
        </w:rPr>
        <w:t>2.5不准向乙方介绍或为配偶、子女、亲属参与同甲方项目工程PC工程总承包合同有关的设备、材料、工程分包、劳务等经济活动。不得以任何理由向乙方和相关单位推荐分包单位和要求乙方购买项目工程PC工程总承包合同规定以外的材料、设备等。</w:t>
      </w:r>
    </w:p>
    <w:p>
      <w:pPr>
        <w:jc w:val="left"/>
        <w:rPr>
          <w:rFonts w:hint="eastAsia"/>
        </w:rPr>
      </w:pPr>
      <w:r>
        <w:rPr>
          <w:rFonts w:hint="eastAsia"/>
        </w:rPr>
        <w:t>3. 乙方的责任</w:t>
      </w:r>
    </w:p>
    <w:p>
      <w:pPr>
        <w:jc w:val="left"/>
        <w:rPr>
          <w:rFonts w:hint="eastAsia"/>
        </w:rPr>
      </w:pPr>
      <w:r>
        <w:rPr>
          <w:rFonts w:hint="eastAsia"/>
        </w:rPr>
        <w:t>应与甲方保持正常的业务交往，按照有关法律法规和程序开展业务工作，严格执行工程建设的有关方针、政策，尤其是有关建设施工的强制性标准和规范，并遵守以下规定：</w:t>
      </w:r>
    </w:p>
    <w:p>
      <w:pPr>
        <w:jc w:val="left"/>
        <w:rPr>
          <w:rFonts w:hint="eastAsia"/>
        </w:rPr>
      </w:pPr>
      <w:r>
        <w:rPr>
          <w:rFonts w:hint="eastAsia"/>
        </w:rPr>
        <w:t>3.1不准以任何理由向甲方、相关单位及其工作人员索要、接受或赠送礼金、有价证券、贵重物品和回扣、好处费、感谢费等。</w:t>
      </w:r>
    </w:p>
    <w:p>
      <w:pPr>
        <w:jc w:val="left"/>
        <w:rPr>
          <w:rFonts w:hint="eastAsia"/>
        </w:rPr>
      </w:pPr>
      <w:r>
        <w:rPr>
          <w:rFonts w:hint="eastAsia"/>
        </w:rPr>
        <w:t>3.2不准以任何理由为甲方和相关单位报销应由对方或个人支付的费用。</w:t>
      </w:r>
    </w:p>
    <w:p>
      <w:pPr>
        <w:jc w:val="left"/>
        <w:rPr>
          <w:rFonts w:hint="eastAsia"/>
        </w:rPr>
      </w:pPr>
      <w:r>
        <w:rPr>
          <w:rFonts w:hint="eastAsia"/>
        </w:rPr>
        <w:t>3.3不准接受或暗示为甲方、相关单位或个人装修住房、婚丧嫁娶、配偶子女的工作安排以及出国（境）、旅游等提供方便。</w:t>
      </w:r>
    </w:p>
    <w:p>
      <w:pPr>
        <w:jc w:val="left"/>
        <w:rPr>
          <w:rFonts w:hint="eastAsia"/>
        </w:rPr>
      </w:pPr>
      <w:r>
        <w:rPr>
          <w:rFonts w:hint="eastAsia"/>
        </w:rPr>
        <w:t>3.4不准以任何理由为甲方、相关单位或个人组织有可能影响公正执行公务的宴请、健身、娱乐等活动。</w:t>
      </w:r>
    </w:p>
    <w:p>
      <w:pPr>
        <w:jc w:val="left"/>
        <w:rPr>
          <w:rFonts w:hint="eastAsia"/>
        </w:rPr>
      </w:pPr>
      <w:r>
        <w:rPr>
          <w:rFonts w:hint="eastAsia"/>
        </w:rPr>
        <w:t>4. 违约责任</w:t>
      </w:r>
    </w:p>
    <w:p>
      <w:pPr>
        <w:jc w:val="left"/>
        <w:rPr>
          <w:rFonts w:hint="eastAsia"/>
        </w:rPr>
      </w:pPr>
      <w:r>
        <w:rPr>
          <w:rFonts w:hint="eastAsia"/>
        </w:rPr>
        <w:t>4.1甲方工作人员有违反本责任书第一、二条责任行为的，按照管理权限，依据有关法律法规和规定给予党纪、政纪处分或组织处理；涉嫌犯罪的，移交司法机关追究刑事责任；给乙方单位造成经济损失的，应予以赔偿。</w:t>
      </w:r>
    </w:p>
    <w:p>
      <w:pPr>
        <w:jc w:val="left"/>
        <w:rPr>
          <w:rFonts w:hint="eastAsia"/>
        </w:rPr>
      </w:pPr>
      <w:r>
        <w:rPr>
          <w:rFonts w:hint="eastAsia"/>
        </w:rPr>
        <w:t>4.2乙方工作人员有违反本责任书第一、三条责任行为的，按照管理权限，依据有关法律法规和规定给予党纪、政纪处分或组织处理；涉嫌犯罪的，移交司法机关追究刑事责任；给甲方单位造成经济损失的，应予以赔偿。</w:t>
      </w:r>
    </w:p>
    <w:p>
      <w:pPr>
        <w:jc w:val="left"/>
        <w:rPr>
          <w:rFonts w:hint="eastAsia"/>
        </w:rPr>
      </w:pPr>
      <w:r>
        <w:rPr>
          <w:rFonts w:hint="eastAsia"/>
        </w:rPr>
        <w:t>5.本责任书作为工程总承包合同的附件，与工程PC工程总承包合同具有同等法律效力。经双方签署后立即生效。</w:t>
      </w:r>
    </w:p>
    <w:p>
      <w:pPr>
        <w:jc w:val="left"/>
        <w:rPr>
          <w:rFonts w:hint="eastAsia"/>
        </w:rPr>
      </w:pPr>
      <w:r>
        <w:rPr>
          <w:rFonts w:hint="eastAsia"/>
        </w:rPr>
        <w:t>6.本责任书的有效期为双方签署之日起至该工程项目竣工验收合格时止。</w:t>
      </w:r>
    </w:p>
    <w:p>
      <w:pPr>
        <w:jc w:val="left"/>
        <w:rPr>
          <w:rFonts w:hint="eastAsia"/>
        </w:rPr>
      </w:pPr>
      <w:r>
        <w:rPr>
          <w:rFonts w:hint="eastAsia"/>
        </w:rPr>
        <w:t>7.本责任书一式二份，由甲乙双方各执一份，送交甲乙双方的监督单位各一份。</w:t>
      </w:r>
    </w:p>
    <w:p>
      <w:pPr>
        <w:jc w:val="left"/>
        <w:rPr>
          <w:rFonts w:hint="eastAsia"/>
        </w:rPr>
      </w:pPr>
    </w:p>
    <w:p>
      <w:pPr>
        <w:jc w:val="left"/>
        <w:rPr>
          <w:rFonts w:hint="eastAsia"/>
        </w:rPr>
      </w:pPr>
    </w:p>
    <w:p>
      <w:pPr>
        <w:jc w:val="left"/>
        <w:rPr>
          <w:rFonts w:hint="eastAsia"/>
        </w:rPr>
      </w:pPr>
    </w:p>
    <w:p>
      <w:pPr>
        <w:jc w:val="left"/>
        <w:rPr>
          <w:rFonts w:hint="eastAsia"/>
        </w:rPr>
      </w:pPr>
    </w:p>
    <w:p>
      <w:pPr>
        <w:ind w:firstLine="422"/>
        <w:jc w:val="center"/>
        <w:rPr>
          <w:rFonts w:hint="eastAsia"/>
          <w:b/>
          <w:bCs/>
        </w:rPr>
      </w:pPr>
      <w:r>
        <w:rPr>
          <w:rFonts w:hint="eastAsia"/>
          <w:b/>
          <w:bCs/>
        </w:rPr>
        <w:t xml:space="preserve"> 甲方： </w:t>
      </w:r>
      <w:r>
        <w:rPr>
          <w:b/>
          <w:bCs/>
        </w:rPr>
        <w:t xml:space="preserve">                                 </w:t>
      </w:r>
      <w:r>
        <w:rPr>
          <w:rFonts w:hint="eastAsia"/>
          <w:b/>
          <w:bCs/>
        </w:rPr>
        <w:tab/>
      </w:r>
      <w:r>
        <w:rPr>
          <w:rFonts w:hint="eastAsia"/>
          <w:b/>
          <w:bCs/>
        </w:rPr>
        <w:t>乙方：</w:t>
      </w:r>
    </w:p>
    <w:p>
      <w:pPr>
        <w:jc w:val="left"/>
        <w:rPr>
          <w:rFonts w:hint="eastAsia"/>
        </w:rPr>
      </w:pPr>
    </w:p>
    <w:p>
      <w:pPr>
        <w:jc w:val="center"/>
        <w:rPr>
          <w:rFonts w:hint="eastAsia"/>
        </w:rPr>
      </w:pPr>
      <w:r>
        <w:t xml:space="preserve"> </w:t>
      </w:r>
      <w:r>
        <w:rPr>
          <w:rFonts w:hint="eastAsia"/>
        </w:rPr>
        <w:t xml:space="preserve">(公章)                            </w:t>
      </w:r>
      <w:r>
        <w:t xml:space="preserve">      </w:t>
      </w:r>
      <w:r>
        <w:rPr>
          <w:rFonts w:hint="eastAsia"/>
        </w:rPr>
        <w:t xml:space="preserve"> （公章）</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sectPr>
          <w:footerReference r:id="rId17" w:type="even"/>
          <w:pgSz w:w="11907" w:h="16840"/>
          <w:pgMar w:top="1440" w:right="1080" w:bottom="1440" w:left="1080" w:header="964" w:footer="964" w:gutter="0"/>
          <w:cols w:space="720" w:num="1"/>
          <w:titlePg/>
          <w:docGrid w:linePitch="326" w:charSpace="0"/>
        </w:sectPr>
      </w:pPr>
    </w:p>
    <w:p>
      <w:pPr>
        <w:pStyle w:val="19"/>
      </w:pPr>
      <w:bookmarkStart w:id="766" w:name="_Toc129848697"/>
      <w:bookmarkStart w:id="767" w:name="_Toc21278"/>
      <w:bookmarkStart w:id="768" w:name="_Toc170377991"/>
      <w:bookmarkStart w:id="769" w:name="_Toc15719"/>
      <w:bookmarkStart w:id="770" w:name="_Toc31864"/>
      <w:r>
        <w:t>附件八 合同价格清单表</w:t>
      </w:r>
      <w:bookmarkEnd w:id="766"/>
      <w:bookmarkEnd w:id="767"/>
      <w:bookmarkEnd w:id="768"/>
      <w:bookmarkEnd w:id="769"/>
      <w:bookmarkEnd w:id="770"/>
    </w:p>
    <w:p>
      <w:pPr>
        <w:jc w:val="left"/>
        <w:rPr>
          <w:rFonts w:hint="eastAsia"/>
        </w:rPr>
      </w:pPr>
      <w:r>
        <w:rPr>
          <w:rFonts w:hint="eastAsia"/>
        </w:rPr>
        <w:t>说明：由于本项目属施工</w:t>
      </w:r>
      <w:r>
        <w:t>总承包，合同清单中所列的清单项目以及具体建安工程量仅供参考，在合同范围内</w:t>
      </w:r>
      <w:r>
        <w:rPr>
          <w:rFonts w:hint="eastAsia"/>
        </w:rPr>
        <w:t>基于竣工图的最终清单和合同清单的量差及清单漏项，以及满足合同要求的所有工作及费用均已包含在合同总价中，不再调整合同价款(</w:t>
      </w:r>
      <w:r>
        <w:t>除约定可调整价格的</w:t>
      </w:r>
      <w:r>
        <w:rPr>
          <w:rFonts w:hint="eastAsia"/>
        </w:rPr>
        <w:t>以</w:t>
      </w:r>
      <w:r>
        <w:t>外</w:t>
      </w:r>
      <w:r>
        <w:rPr>
          <w:rFonts w:hint="eastAsia"/>
        </w:rPr>
        <w:t>)。</w:t>
      </w:r>
    </w:p>
    <w:p>
      <w:pPr>
        <w:jc w:val="left"/>
        <w:rPr>
          <w:rFonts w:hint="eastAsia"/>
        </w:rPr>
      </w:pPr>
      <w:r>
        <w:rPr>
          <w:rFonts w:hint="eastAsia"/>
        </w:rPr>
        <w:t>合同价格另见：价格表。</w:t>
      </w:r>
    </w:p>
    <w:p>
      <w:pPr>
        <w:rPr>
          <w:rFonts w:hint="eastAsia"/>
        </w:rPr>
      </w:pPr>
    </w:p>
    <w:p>
      <w:pPr>
        <w:ind w:firstLine="562"/>
        <w:rPr>
          <w:rFonts w:hint="eastAsia"/>
          <w:b/>
          <w:sz w:val="28"/>
        </w:rPr>
      </w:pPr>
      <w:r>
        <w:rPr>
          <w:rFonts w:hint="eastAsia"/>
          <w:b/>
          <w:sz w:val="28"/>
        </w:rPr>
        <w:br w:type="page"/>
      </w:r>
    </w:p>
    <w:p>
      <w:pPr>
        <w:pStyle w:val="19"/>
      </w:pPr>
      <w:bookmarkStart w:id="771" w:name="_Toc170377993"/>
      <w:bookmarkStart w:id="772" w:name="_Toc12115"/>
      <w:r>
        <w:rPr>
          <w:szCs w:val="28"/>
        </w:rPr>
        <w:t>附件九：外委单位安全管理考核实施细则</w:t>
      </w:r>
      <w:bookmarkEnd w:id="771"/>
      <w:bookmarkEnd w:id="772"/>
    </w:p>
    <w:p>
      <w:pPr>
        <w:autoSpaceDE w:val="0"/>
        <w:autoSpaceDN w:val="0"/>
        <w:adjustRightInd w:val="0"/>
        <w:snapToGrid w:val="0"/>
        <w:rPr>
          <w:rFonts w:hint="eastAsia" w:ascii="仿宋_GB2312" w:hAnsi="仿宋_GB2312" w:cs="仿宋_GB2312"/>
          <w:szCs w:val="32"/>
        </w:rPr>
      </w:pPr>
    </w:p>
    <w:p>
      <w:pPr>
        <w:spacing w:line="240" w:lineRule="auto"/>
        <w:ind w:firstLine="0" w:firstLineChars="0"/>
        <w:rPr>
          <w:rFonts w:hint="eastAsia" w:ascii="方正小标宋简体" w:hAnsi="方正小标宋简体" w:eastAsia="方正小标宋简体" w:cs="方正小标宋简体"/>
          <w:sz w:val="44"/>
          <w:szCs w:val="44"/>
        </w:rPr>
        <w:sectPr>
          <w:headerReference r:id="rId18" w:type="default"/>
          <w:footerReference r:id="rId19" w:type="default"/>
          <w:pgSz w:w="11906" w:h="16838"/>
          <w:pgMar w:top="1440" w:right="1800" w:bottom="1440" w:left="1800" w:header="851" w:footer="992" w:gutter="0"/>
          <w:pgNumType w:fmt="upperRoman" w:start="1"/>
          <w:cols w:space="425" w:num="1"/>
          <w:docGrid w:type="lines" w:linePitch="312" w:charSpace="0"/>
        </w:sectPr>
      </w:pPr>
    </w:p>
    <w:p>
      <w:pPr>
        <w:spacing w:line="24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外委单位安全管理考核实施细则</w:t>
      </w:r>
    </w:p>
    <w:p>
      <w:pPr>
        <w:rPr>
          <w:rFonts w:hint="eastAsia"/>
        </w:rPr>
      </w:pPr>
      <w:r>
        <w:t xml:space="preserve"> </w:t>
      </w:r>
      <w:bookmarkStart w:id="773" w:name="_Toc9817"/>
      <w:bookmarkStart w:id="774" w:name="_Toc10401"/>
      <w:r>
        <w:rPr>
          <w:rFonts w:hint="eastAsia"/>
        </w:rPr>
        <w:t>范围</w:t>
      </w:r>
      <w:bookmarkEnd w:id="773"/>
      <w:bookmarkEnd w:id="774"/>
    </w:p>
    <w:p>
      <w:pPr>
        <w:snapToGrid w:val="0"/>
        <w:ind w:firstLine="424" w:firstLineChars="202"/>
        <w:rPr>
          <w:rFonts w:hint="eastAsia"/>
          <w:szCs w:val="21"/>
        </w:rPr>
      </w:pPr>
      <w:r>
        <w:rPr>
          <w:rFonts w:hint="eastAsia"/>
          <w:szCs w:val="21"/>
        </w:rPr>
        <w:t>本办法适用于</w:t>
      </w:r>
      <w:r>
        <w:rPr>
          <w:rFonts w:hint="eastAsia"/>
          <w:kern w:val="0"/>
          <w:szCs w:val="21"/>
        </w:rPr>
        <w:t>北京京能数字科技有限公司</w:t>
      </w:r>
      <w:r>
        <w:rPr>
          <w:rFonts w:hint="eastAsia"/>
          <w:szCs w:val="21"/>
        </w:rPr>
        <w:t>对建设和运维项目承包方的安全生产监督管理活动，作为承包合同的附件实施。</w:t>
      </w:r>
      <w:bookmarkStart w:id="775" w:name="_Toc14696747"/>
      <w:bookmarkStart w:id="776" w:name="_Toc14792577"/>
    </w:p>
    <w:p>
      <w:pPr>
        <w:keepNext/>
        <w:keepLines/>
        <w:numPr>
          <w:ilvl w:val="0"/>
          <w:numId w:val="5"/>
        </w:numPr>
        <w:ind w:left="495" w:firstLine="138" w:firstLineChars="66"/>
        <w:outlineLvl w:val="0"/>
        <w:rPr>
          <w:rFonts w:hint="eastAsia"/>
          <w:szCs w:val="21"/>
        </w:rPr>
      </w:pPr>
      <w:bookmarkStart w:id="777" w:name="_Toc16969"/>
      <w:bookmarkStart w:id="778" w:name="_Toc170377994"/>
      <w:bookmarkStart w:id="779" w:name="_Toc16407"/>
      <w:bookmarkStart w:id="780" w:name="_Toc2717"/>
      <w:r>
        <w:rPr>
          <w:rFonts w:hint="eastAsia"/>
          <w:szCs w:val="21"/>
        </w:rPr>
        <w:t>规范性引用文件</w:t>
      </w:r>
      <w:bookmarkEnd w:id="775"/>
      <w:bookmarkEnd w:id="776"/>
      <w:bookmarkEnd w:id="777"/>
      <w:bookmarkEnd w:id="778"/>
      <w:bookmarkEnd w:id="779"/>
      <w:bookmarkEnd w:id="780"/>
    </w:p>
    <w:p>
      <w:pPr>
        <w:snapToGrid w:val="0"/>
        <w:ind w:firstLine="424" w:firstLineChars="202"/>
        <w:rPr>
          <w:rFonts w:hint="eastAsia"/>
          <w:szCs w:val="21"/>
        </w:rPr>
      </w:pPr>
      <w:r>
        <w:rPr>
          <w:rFonts w:hint="eastAsia"/>
          <w:szCs w:val="21"/>
        </w:rPr>
        <w:t>下列文件对于本文件的应用是必不可少的，包含但不限于以下法律法规。凡是注日期的引用文件，仅注日期的版本适用于本文件。凡是不注日期的引用文件，其最新版本（包括所有的修改单）适用于本文件。</w:t>
      </w:r>
    </w:p>
    <w:p>
      <w:pPr>
        <w:snapToGrid w:val="0"/>
        <w:ind w:firstLine="424" w:firstLineChars="202"/>
        <w:rPr>
          <w:rFonts w:hint="eastAsia"/>
          <w:szCs w:val="21"/>
        </w:rPr>
      </w:pPr>
      <w:r>
        <w:rPr>
          <w:rFonts w:hint="eastAsia"/>
          <w:szCs w:val="21"/>
        </w:rPr>
        <w:t>中华人民共和国主席令第</w:t>
      </w:r>
      <w:r>
        <w:rPr>
          <w:szCs w:val="21"/>
        </w:rPr>
        <w:t xml:space="preserve">88号        </w:t>
      </w:r>
      <w:r>
        <w:rPr>
          <w:rFonts w:hint="eastAsia"/>
          <w:szCs w:val="21"/>
        </w:rPr>
        <w:t>《中华人民共和国安全生产法》</w:t>
      </w:r>
    </w:p>
    <w:p>
      <w:pPr>
        <w:snapToGrid w:val="0"/>
        <w:ind w:firstLine="424" w:firstLineChars="202"/>
        <w:rPr>
          <w:rFonts w:hint="eastAsia"/>
          <w:szCs w:val="21"/>
        </w:rPr>
      </w:pPr>
      <w:r>
        <w:rPr>
          <w:rFonts w:hint="eastAsia"/>
          <w:szCs w:val="21"/>
        </w:rPr>
        <w:t>中华人民共和国主席令第</w:t>
      </w:r>
      <w:r>
        <w:rPr>
          <w:szCs w:val="21"/>
        </w:rPr>
        <w:t xml:space="preserve"> 81 号         《中华人民共和国消防法》</w:t>
      </w:r>
    </w:p>
    <w:p>
      <w:pPr>
        <w:snapToGrid w:val="0"/>
        <w:ind w:firstLine="424" w:firstLineChars="202"/>
        <w:rPr>
          <w:rFonts w:hint="eastAsia"/>
          <w:szCs w:val="21"/>
        </w:rPr>
      </w:pPr>
      <w:r>
        <w:rPr>
          <w:rFonts w:hint="eastAsia"/>
          <w:szCs w:val="21"/>
        </w:rPr>
        <w:t>中华人民共和国主席令第</w:t>
      </w:r>
      <w:r>
        <w:rPr>
          <w:szCs w:val="21"/>
        </w:rPr>
        <w:t xml:space="preserve"> 4 </w:t>
      </w:r>
      <w:r>
        <w:rPr>
          <w:rFonts w:hint="eastAsia"/>
          <w:szCs w:val="21"/>
        </w:rPr>
        <w:t>号</w:t>
      </w:r>
      <w:r>
        <w:rPr>
          <w:szCs w:val="21"/>
        </w:rPr>
        <w:t xml:space="preserve">         </w:t>
      </w:r>
      <w:r>
        <w:rPr>
          <w:rFonts w:hint="eastAsia"/>
          <w:szCs w:val="21"/>
        </w:rPr>
        <w:t>《中华人民共和国特种设备安全法》</w:t>
      </w:r>
    </w:p>
    <w:p>
      <w:pPr>
        <w:snapToGrid w:val="0"/>
        <w:ind w:firstLine="424" w:firstLineChars="202"/>
        <w:rPr>
          <w:rFonts w:hint="eastAsia"/>
          <w:szCs w:val="21"/>
        </w:rPr>
      </w:pPr>
      <w:r>
        <w:rPr>
          <w:rFonts w:hint="eastAsia"/>
          <w:szCs w:val="21"/>
        </w:rPr>
        <w:t>全国人大常委会</w:t>
      </w:r>
      <w:r>
        <w:rPr>
          <w:szCs w:val="21"/>
        </w:rPr>
        <w:t xml:space="preserve">                      </w:t>
      </w:r>
      <w:r>
        <w:rPr>
          <w:rFonts w:hint="eastAsia"/>
          <w:szCs w:val="21"/>
        </w:rPr>
        <w:t>《中华人民共和国合同法》</w:t>
      </w:r>
    </w:p>
    <w:p>
      <w:pPr>
        <w:snapToGrid w:val="0"/>
        <w:ind w:firstLine="424" w:firstLineChars="202"/>
        <w:rPr>
          <w:rFonts w:hint="eastAsia"/>
          <w:szCs w:val="21"/>
        </w:rPr>
      </w:pPr>
      <w:r>
        <w:rPr>
          <w:rFonts w:hint="eastAsia"/>
          <w:szCs w:val="21"/>
        </w:rPr>
        <w:t>国务院令第</w:t>
      </w:r>
      <w:r>
        <w:rPr>
          <w:szCs w:val="21"/>
        </w:rPr>
        <w:t xml:space="preserve"> 393 </w:t>
      </w:r>
      <w:r>
        <w:rPr>
          <w:rFonts w:hint="eastAsia"/>
          <w:szCs w:val="21"/>
        </w:rPr>
        <w:t>号</w:t>
      </w:r>
      <w:r>
        <w:rPr>
          <w:szCs w:val="21"/>
        </w:rPr>
        <w:t xml:space="preserve">                    </w:t>
      </w:r>
      <w:r>
        <w:rPr>
          <w:rFonts w:hint="eastAsia"/>
          <w:szCs w:val="21"/>
        </w:rPr>
        <w:t>《建设工程安全生产管理条例》</w:t>
      </w:r>
    </w:p>
    <w:p>
      <w:pPr>
        <w:snapToGrid w:val="0"/>
        <w:ind w:firstLine="424" w:firstLineChars="202"/>
        <w:rPr>
          <w:rFonts w:hint="eastAsia"/>
          <w:szCs w:val="21"/>
        </w:rPr>
      </w:pPr>
      <w:r>
        <w:rPr>
          <w:rFonts w:hint="eastAsia"/>
          <w:szCs w:val="21"/>
        </w:rPr>
        <w:t>国家安全生产监督管理总局令第</w:t>
      </w:r>
      <w:r>
        <w:rPr>
          <w:szCs w:val="21"/>
        </w:rPr>
        <w:t xml:space="preserve"> 44 </w:t>
      </w:r>
      <w:r>
        <w:rPr>
          <w:rFonts w:hint="eastAsia"/>
          <w:szCs w:val="21"/>
        </w:rPr>
        <w:t>号</w:t>
      </w:r>
      <w:r>
        <w:rPr>
          <w:szCs w:val="21"/>
        </w:rPr>
        <w:t xml:space="preserve">   </w:t>
      </w:r>
      <w:r>
        <w:rPr>
          <w:rFonts w:hint="eastAsia"/>
          <w:szCs w:val="21"/>
        </w:rPr>
        <w:t>《安全生产培训管理办法》</w:t>
      </w:r>
    </w:p>
    <w:p>
      <w:pPr>
        <w:snapToGrid w:val="0"/>
        <w:ind w:firstLine="424" w:firstLineChars="202"/>
        <w:rPr>
          <w:rFonts w:hint="eastAsia"/>
          <w:szCs w:val="21"/>
        </w:rPr>
      </w:pPr>
      <w:r>
        <w:rPr>
          <w:rFonts w:hint="eastAsia"/>
          <w:szCs w:val="21"/>
        </w:rPr>
        <w:t>国家发展改革委第</w:t>
      </w:r>
      <w:r>
        <w:rPr>
          <w:szCs w:val="21"/>
        </w:rPr>
        <w:t xml:space="preserve">21号令               《电力安全生产监督管理办法》 </w:t>
      </w:r>
    </w:p>
    <w:p>
      <w:pPr>
        <w:snapToGrid w:val="0"/>
        <w:ind w:firstLine="424" w:firstLineChars="202"/>
        <w:rPr>
          <w:rFonts w:hint="eastAsia"/>
          <w:szCs w:val="21"/>
        </w:rPr>
      </w:pPr>
      <w:r>
        <w:rPr>
          <w:rFonts w:hint="eastAsia"/>
          <w:szCs w:val="21"/>
        </w:rPr>
        <w:t>国家发展改革委第</w:t>
      </w:r>
      <w:r>
        <w:rPr>
          <w:szCs w:val="21"/>
        </w:rPr>
        <w:t xml:space="preserve">28号令               </w:t>
      </w:r>
      <w:r>
        <w:rPr>
          <w:rFonts w:hint="eastAsia"/>
          <w:szCs w:val="21"/>
        </w:rPr>
        <w:t>《电力建设工程施工安全监督管理办法》</w:t>
      </w:r>
    </w:p>
    <w:p>
      <w:pPr>
        <w:snapToGrid w:val="0"/>
        <w:ind w:firstLine="424" w:firstLineChars="202"/>
        <w:rPr>
          <w:rFonts w:hint="eastAsia"/>
          <w:szCs w:val="21"/>
        </w:rPr>
      </w:pPr>
      <w:r>
        <w:rPr>
          <w:rFonts w:hint="eastAsia"/>
          <w:szCs w:val="21"/>
        </w:rPr>
        <w:t>国能综安全</w:t>
      </w:r>
      <w:r>
        <w:rPr>
          <w:szCs w:val="21"/>
        </w:rPr>
        <w:t xml:space="preserve">[2015] 694号         </w:t>
      </w:r>
      <w:r>
        <w:rPr>
          <w:rFonts w:hint="eastAsia"/>
          <w:szCs w:val="21"/>
        </w:rPr>
        <w:t>《关于进一步强化发电企业生产项目外包安全管理防范人身伤亡事故的通知》</w:t>
      </w:r>
    </w:p>
    <w:p>
      <w:pPr>
        <w:snapToGrid w:val="0"/>
        <w:ind w:firstLine="424" w:firstLineChars="202"/>
        <w:rPr>
          <w:rFonts w:hint="eastAsia"/>
          <w:szCs w:val="21"/>
        </w:rPr>
      </w:pPr>
      <w:r>
        <w:rPr>
          <w:rFonts w:hint="eastAsia"/>
          <w:szCs w:val="21"/>
        </w:rPr>
        <w:t>华北监能安全</w:t>
      </w:r>
      <w:r>
        <w:rPr>
          <w:szCs w:val="21"/>
        </w:rPr>
        <w:t xml:space="preserve">[2016]24号         </w:t>
      </w:r>
      <w:r>
        <w:rPr>
          <w:rFonts w:hint="eastAsia"/>
          <w:szCs w:val="21"/>
        </w:rPr>
        <w:t>《关于华北区域预防电力生产人身事故的监管指导意见》</w:t>
      </w:r>
    </w:p>
    <w:p>
      <w:pPr>
        <w:keepNext/>
        <w:keepLines/>
        <w:numPr>
          <w:ilvl w:val="0"/>
          <w:numId w:val="5"/>
        </w:numPr>
        <w:ind w:left="495" w:firstLine="139" w:firstLineChars="66"/>
        <w:outlineLvl w:val="0"/>
        <w:rPr>
          <w:rFonts w:hint="eastAsia"/>
          <w:b/>
          <w:bCs/>
          <w:szCs w:val="21"/>
        </w:rPr>
      </w:pPr>
      <w:bookmarkStart w:id="781" w:name="_Toc64448755"/>
      <w:bookmarkStart w:id="782" w:name="_Toc64772427"/>
      <w:bookmarkStart w:id="783" w:name="_Toc3855"/>
      <w:bookmarkStart w:id="784" w:name="_Toc64901995"/>
      <w:bookmarkStart w:id="785" w:name="_Toc64772464"/>
      <w:bookmarkStart w:id="786" w:name="_Toc64253574"/>
      <w:bookmarkStart w:id="787" w:name="_Toc6302"/>
      <w:bookmarkStart w:id="788" w:name="_Toc64433562"/>
      <w:bookmarkStart w:id="789" w:name="_Toc18746"/>
      <w:bookmarkStart w:id="790" w:name="_Toc179689834"/>
      <w:bookmarkStart w:id="791" w:name="_Toc384047418"/>
      <w:bookmarkStart w:id="792" w:name="_Toc343697413"/>
      <w:bookmarkStart w:id="793" w:name="_Toc64432411"/>
      <w:bookmarkStart w:id="794" w:name="_Toc64432098"/>
      <w:bookmarkStart w:id="795" w:name="_Toc25638"/>
      <w:bookmarkStart w:id="796" w:name="_Toc64772874"/>
      <w:bookmarkStart w:id="797" w:name="_Toc170377995"/>
      <w:bookmarkStart w:id="798" w:name="_Toc26118"/>
      <w:bookmarkStart w:id="799" w:name="_Toc9163"/>
      <w:bookmarkStart w:id="800" w:name="_Toc64772331"/>
      <w:bookmarkStart w:id="801" w:name="_Toc64772545"/>
      <w:bookmarkStart w:id="802" w:name="_Toc64432511"/>
      <w:bookmarkStart w:id="803" w:name="_Toc304882846"/>
      <w:bookmarkStart w:id="804" w:name="_Toc64772156"/>
      <w:bookmarkStart w:id="805" w:name="_Toc64772417"/>
      <w:bookmarkStart w:id="806" w:name="_Toc64991077"/>
      <w:bookmarkStart w:id="807" w:name="_Toc26722"/>
      <w:r>
        <w:rPr>
          <w:rFonts w:hint="eastAsia"/>
          <w:b/>
          <w:bCs/>
          <w:szCs w:val="21"/>
        </w:rPr>
        <w:t>术语与定义</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numPr>
          <w:ilvl w:val="1"/>
          <w:numId w:val="5"/>
        </w:numPr>
        <w:adjustRightInd w:val="0"/>
        <w:snapToGrid w:val="0"/>
        <w:ind w:left="705" w:hanging="705" w:firstLineChars="0"/>
        <w:jc w:val="left"/>
        <w:rPr>
          <w:rFonts w:hint="eastAsia"/>
          <w:szCs w:val="21"/>
        </w:rPr>
      </w:pPr>
      <w:r>
        <w:rPr>
          <w:rFonts w:hint="eastAsia"/>
          <w:szCs w:val="21"/>
        </w:rPr>
        <w:t>相关方</w:t>
      </w:r>
    </w:p>
    <w:p>
      <w:pPr>
        <w:snapToGrid w:val="0"/>
        <w:ind w:firstLine="424" w:firstLineChars="202"/>
        <w:rPr>
          <w:rFonts w:hint="eastAsia"/>
          <w:szCs w:val="21"/>
        </w:rPr>
      </w:pPr>
      <w:r>
        <w:rPr>
          <w:rFonts w:hint="eastAsia"/>
          <w:szCs w:val="21"/>
        </w:rPr>
        <w:t>相关方是指与企业的安全绩效相关联或受其影响的团体和个人，包括外委单位。</w:t>
      </w:r>
    </w:p>
    <w:p>
      <w:pPr>
        <w:numPr>
          <w:ilvl w:val="1"/>
          <w:numId w:val="5"/>
        </w:numPr>
        <w:adjustRightInd w:val="0"/>
        <w:snapToGrid w:val="0"/>
        <w:ind w:left="705" w:hanging="705" w:firstLineChars="0"/>
        <w:jc w:val="left"/>
        <w:rPr>
          <w:rFonts w:hint="eastAsia"/>
          <w:szCs w:val="21"/>
        </w:rPr>
      </w:pPr>
      <w:r>
        <w:rPr>
          <w:rFonts w:hint="eastAsia"/>
          <w:szCs w:val="21"/>
        </w:rPr>
        <w:t>外委单位</w:t>
      </w:r>
      <w:r>
        <w:rPr>
          <w:szCs w:val="21"/>
        </w:rPr>
        <w:t xml:space="preserve"> </w:t>
      </w:r>
    </w:p>
    <w:p>
      <w:pPr>
        <w:snapToGrid w:val="0"/>
        <w:ind w:firstLine="424" w:firstLineChars="202"/>
        <w:rPr>
          <w:rFonts w:hint="eastAsia"/>
          <w:szCs w:val="21"/>
        </w:rPr>
      </w:pPr>
      <w:r>
        <w:rPr>
          <w:rFonts w:hint="eastAsia"/>
          <w:szCs w:val="21"/>
        </w:rPr>
        <w:t>外委项目是指公司根据自身的经营方式和管理模式，需要由外委单位承揽实施的项目，外委单位就是指承揽公司外委项目的单位。</w:t>
      </w:r>
      <w:r>
        <w:rPr>
          <w:szCs w:val="21"/>
        </w:rPr>
        <w:t xml:space="preserve"> </w:t>
      </w:r>
    </w:p>
    <w:p>
      <w:pPr>
        <w:numPr>
          <w:ilvl w:val="1"/>
          <w:numId w:val="5"/>
        </w:numPr>
        <w:adjustRightInd w:val="0"/>
        <w:snapToGrid w:val="0"/>
        <w:ind w:left="705" w:hanging="705" w:firstLineChars="0"/>
        <w:jc w:val="left"/>
        <w:rPr>
          <w:rFonts w:hint="eastAsia"/>
          <w:szCs w:val="21"/>
        </w:rPr>
      </w:pPr>
      <w:r>
        <w:rPr>
          <w:rFonts w:hint="eastAsia"/>
          <w:szCs w:val="21"/>
        </w:rPr>
        <w:t>承包</w:t>
      </w:r>
    </w:p>
    <w:p>
      <w:pPr>
        <w:snapToGrid w:val="0"/>
        <w:ind w:firstLine="424" w:firstLineChars="202"/>
        <w:rPr>
          <w:rFonts w:hint="eastAsia"/>
          <w:szCs w:val="21"/>
        </w:rPr>
      </w:pPr>
      <w:r>
        <w:rPr>
          <w:rFonts w:hint="eastAsia"/>
          <w:szCs w:val="21"/>
        </w:rPr>
        <w:t>是指具有相应资质的承包者通过与发包方签订承包合同，负责承揽其相应项目的行为。发包方指的是承包项目的甲方，承包者指的是承包项目的乙方。</w:t>
      </w:r>
    </w:p>
    <w:p>
      <w:pPr>
        <w:numPr>
          <w:ilvl w:val="1"/>
          <w:numId w:val="5"/>
        </w:numPr>
        <w:adjustRightInd w:val="0"/>
        <w:snapToGrid w:val="0"/>
        <w:ind w:left="705" w:hanging="705" w:firstLineChars="0"/>
        <w:jc w:val="left"/>
        <w:rPr>
          <w:rFonts w:hint="eastAsia"/>
          <w:szCs w:val="21"/>
        </w:rPr>
      </w:pPr>
      <w:r>
        <w:rPr>
          <w:rFonts w:hint="eastAsia"/>
          <w:szCs w:val="21"/>
        </w:rPr>
        <w:t>分包</w:t>
      </w:r>
    </w:p>
    <w:p>
      <w:pPr>
        <w:snapToGrid w:val="0"/>
        <w:ind w:firstLine="424" w:firstLineChars="202"/>
        <w:rPr>
          <w:rFonts w:hint="eastAsia"/>
          <w:szCs w:val="21"/>
        </w:rPr>
      </w:pPr>
      <w:r>
        <w:rPr>
          <w:rFonts w:hint="eastAsia"/>
          <w:szCs w:val="21"/>
        </w:rPr>
        <w:t>是指总承包单位将所承包的项目的一部分或部分依法发包给具有相应资质的承包单位的行为，该总承包人并不退出承包关系，其与第三人就第三人完成的工作成果向发包人承担连带责任。</w:t>
      </w:r>
    </w:p>
    <w:p>
      <w:pPr>
        <w:numPr>
          <w:ilvl w:val="1"/>
          <w:numId w:val="5"/>
        </w:numPr>
        <w:adjustRightInd w:val="0"/>
        <w:snapToGrid w:val="0"/>
        <w:ind w:left="705" w:hanging="705" w:firstLineChars="0"/>
        <w:jc w:val="left"/>
        <w:rPr>
          <w:rFonts w:hint="eastAsia"/>
          <w:szCs w:val="21"/>
        </w:rPr>
      </w:pPr>
      <w:r>
        <w:rPr>
          <w:rFonts w:hint="eastAsia"/>
          <w:szCs w:val="21"/>
        </w:rPr>
        <w:t>转包</w:t>
      </w:r>
    </w:p>
    <w:p>
      <w:pPr>
        <w:snapToGrid w:val="0"/>
        <w:ind w:firstLine="424" w:firstLineChars="202"/>
        <w:rPr>
          <w:rFonts w:hint="eastAsia"/>
          <w:szCs w:val="21"/>
        </w:rPr>
      </w:pPr>
      <w:r>
        <w:rPr>
          <w:rFonts w:hint="eastAsia"/>
          <w:szCs w:val="21"/>
        </w:rPr>
        <w:t>承包商甲向项目法人承包了某一项目之后，又将该项目转包给承包商乙，并与其签订的工程承包合同。合同当事人的权利和义务在项目法人与承包商乙之间发生效力。</w:t>
      </w:r>
    </w:p>
    <w:p>
      <w:pPr>
        <w:numPr>
          <w:ilvl w:val="1"/>
          <w:numId w:val="5"/>
        </w:numPr>
        <w:adjustRightInd w:val="0"/>
        <w:snapToGrid w:val="0"/>
        <w:ind w:left="705" w:hanging="705" w:firstLineChars="0"/>
        <w:jc w:val="left"/>
        <w:rPr>
          <w:rFonts w:hint="eastAsia"/>
          <w:szCs w:val="21"/>
        </w:rPr>
      </w:pPr>
      <w:r>
        <w:rPr>
          <w:rFonts w:hint="eastAsia"/>
          <w:szCs w:val="21"/>
        </w:rPr>
        <w:t>特别重大事故</w:t>
      </w:r>
    </w:p>
    <w:p>
      <w:pPr>
        <w:adjustRightInd w:val="0"/>
        <w:snapToGrid w:val="0"/>
        <w:rPr>
          <w:rFonts w:hint="eastAsia"/>
          <w:szCs w:val="21"/>
        </w:rPr>
      </w:pPr>
      <w:r>
        <w:rPr>
          <w:rFonts w:hint="eastAsia"/>
          <w:szCs w:val="21"/>
        </w:rPr>
        <w:t>造成</w:t>
      </w:r>
      <w:r>
        <w:rPr>
          <w:szCs w:val="21"/>
        </w:rPr>
        <w:t>30人及以上死亡，或者100人及以上重伤（包括急性工业中毒，下同），或者1亿元以上直接经济损失的事故。</w:t>
      </w:r>
    </w:p>
    <w:p>
      <w:pPr>
        <w:numPr>
          <w:ilvl w:val="1"/>
          <w:numId w:val="5"/>
        </w:numPr>
        <w:adjustRightInd w:val="0"/>
        <w:snapToGrid w:val="0"/>
        <w:ind w:left="705" w:hanging="705" w:firstLineChars="0"/>
        <w:jc w:val="left"/>
        <w:rPr>
          <w:rFonts w:hint="eastAsia"/>
          <w:szCs w:val="21"/>
        </w:rPr>
      </w:pPr>
      <w:r>
        <w:rPr>
          <w:rFonts w:hint="eastAsia"/>
          <w:szCs w:val="21"/>
        </w:rPr>
        <w:t>重大事故</w:t>
      </w:r>
    </w:p>
    <w:p>
      <w:pPr>
        <w:adjustRightInd w:val="0"/>
        <w:snapToGrid w:val="0"/>
        <w:rPr>
          <w:rFonts w:hint="eastAsia"/>
          <w:szCs w:val="21"/>
        </w:rPr>
      </w:pPr>
      <w:r>
        <w:rPr>
          <w:rFonts w:hint="eastAsia"/>
          <w:szCs w:val="21"/>
        </w:rPr>
        <w:t>造成</w:t>
      </w:r>
      <w:r>
        <w:rPr>
          <w:szCs w:val="21"/>
        </w:rPr>
        <w:t>10人及以上30人以下死亡，或者50人及以上100人以下重伤，或者5000万元以上1亿元以下直接经济损失的事故。</w:t>
      </w:r>
    </w:p>
    <w:p>
      <w:pPr>
        <w:numPr>
          <w:ilvl w:val="1"/>
          <w:numId w:val="5"/>
        </w:numPr>
        <w:adjustRightInd w:val="0"/>
        <w:snapToGrid w:val="0"/>
        <w:ind w:left="705" w:hanging="705" w:firstLineChars="0"/>
        <w:jc w:val="left"/>
        <w:rPr>
          <w:rFonts w:hint="eastAsia"/>
          <w:szCs w:val="21"/>
        </w:rPr>
      </w:pPr>
      <w:r>
        <w:rPr>
          <w:rFonts w:hint="eastAsia"/>
          <w:szCs w:val="21"/>
        </w:rPr>
        <w:t>较大事故</w:t>
      </w:r>
    </w:p>
    <w:p>
      <w:pPr>
        <w:adjustRightInd w:val="0"/>
        <w:snapToGrid w:val="0"/>
        <w:rPr>
          <w:rFonts w:hint="eastAsia"/>
          <w:szCs w:val="21"/>
        </w:rPr>
      </w:pPr>
      <w:r>
        <w:rPr>
          <w:rFonts w:hint="eastAsia"/>
          <w:szCs w:val="21"/>
        </w:rPr>
        <w:t>造成</w:t>
      </w:r>
      <w:r>
        <w:rPr>
          <w:szCs w:val="21"/>
        </w:rPr>
        <w:t>3人及以上10人以下死亡，或者10人及以上50人以下重伤，或者1000万元以上5000万元以下直接经济损失的事故。</w:t>
      </w:r>
    </w:p>
    <w:p>
      <w:pPr>
        <w:numPr>
          <w:ilvl w:val="1"/>
          <w:numId w:val="5"/>
        </w:numPr>
        <w:adjustRightInd w:val="0"/>
        <w:snapToGrid w:val="0"/>
        <w:ind w:left="705" w:hanging="705" w:firstLineChars="0"/>
        <w:jc w:val="left"/>
        <w:rPr>
          <w:rFonts w:hint="eastAsia"/>
          <w:szCs w:val="21"/>
        </w:rPr>
      </w:pPr>
      <w:r>
        <w:rPr>
          <w:rFonts w:hint="eastAsia"/>
          <w:szCs w:val="21"/>
        </w:rPr>
        <w:t>一般事故</w:t>
      </w:r>
    </w:p>
    <w:p>
      <w:pPr>
        <w:adjustRightInd w:val="0"/>
        <w:snapToGrid w:val="0"/>
        <w:rPr>
          <w:rFonts w:hint="eastAsia"/>
          <w:szCs w:val="21"/>
        </w:rPr>
      </w:pPr>
      <w:r>
        <w:rPr>
          <w:rFonts w:hint="eastAsia"/>
          <w:szCs w:val="21"/>
        </w:rPr>
        <w:t>造成</w:t>
      </w:r>
      <w:r>
        <w:rPr>
          <w:szCs w:val="21"/>
        </w:rPr>
        <w:t>3人以下死亡，或者10人以下重伤，或者10万以上1000万元以下直接经济损失的事故。</w:t>
      </w:r>
    </w:p>
    <w:p>
      <w:pPr>
        <w:numPr>
          <w:ilvl w:val="1"/>
          <w:numId w:val="5"/>
        </w:numPr>
        <w:adjustRightInd w:val="0"/>
        <w:snapToGrid w:val="0"/>
        <w:ind w:left="705" w:hanging="705" w:firstLineChars="0"/>
        <w:jc w:val="left"/>
        <w:rPr>
          <w:rFonts w:hint="eastAsia"/>
          <w:szCs w:val="21"/>
        </w:rPr>
      </w:pPr>
      <w:r>
        <w:rPr>
          <w:rFonts w:hint="eastAsia"/>
          <w:szCs w:val="21"/>
        </w:rPr>
        <w:t>一类障碍</w:t>
      </w:r>
    </w:p>
    <w:p>
      <w:pPr>
        <w:numPr>
          <w:ilvl w:val="2"/>
          <w:numId w:val="5"/>
        </w:numPr>
        <w:adjustRightInd w:val="0"/>
        <w:snapToGrid w:val="0"/>
        <w:ind w:left="0" w:firstLine="0" w:firstLineChars="0"/>
        <w:jc w:val="left"/>
        <w:rPr>
          <w:rFonts w:hint="eastAsia"/>
          <w:szCs w:val="21"/>
        </w:rPr>
      </w:pPr>
      <w:r>
        <w:rPr>
          <w:szCs w:val="21"/>
        </w:rPr>
        <w:t>10KV及供电设备（包括直配线、母线）的异常运行或被迫停运引起了对用户的少送电。</w:t>
      </w:r>
    </w:p>
    <w:p>
      <w:pPr>
        <w:numPr>
          <w:ilvl w:val="2"/>
          <w:numId w:val="5"/>
        </w:numPr>
        <w:adjustRightInd w:val="0"/>
        <w:snapToGrid w:val="0"/>
        <w:ind w:left="0" w:firstLine="0" w:firstLineChars="0"/>
        <w:jc w:val="left"/>
        <w:rPr>
          <w:rFonts w:hint="eastAsia"/>
          <w:szCs w:val="21"/>
        </w:rPr>
      </w:pPr>
      <w:r>
        <w:rPr>
          <w:rFonts w:hint="eastAsia"/>
          <w:szCs w:val="21"/>
        </w:rPr>
        <w:t>装机容量</w:t>
      </w:r>
      <w:r>
        <w:rPr>
          <w:szCs w:val="21"/>
        </w:rPr>
        <w:t>5MWp及以上的光伏电站因故障造成全站对外停电（不含因电网原因引起的）。</w:t>
      </w:r>
    </w:p>
    <w:p>
      <w:pPr>
        <w:numPr>
          <w:ilvl w:val="2"/>
          <w:numId w:val="5"/>
        </w:numPr>
        <w:adjustRightInd w:val="0"/>
        <w:snapToGrid w:val="0"/>
        <w:ind w:left="0" w:firstLine="0" w:firstLineChars="0"/>
        <w:jc w:val="left"/>
        <w:rPr>
          <w:rFonts w:hint="eastAsia"/>
          <w:szCs w:val="21"/>
        </w:rPr>
      </w:pPr>
      <w:r>
        <w:rPr>
          <w:rFonts w:hint="eastAsia"/>
          <w:szCs w:val="21"/>
        </w:rPr>
        <w:t>装机容量</w:t>
      </w:r>
      <w:r>
        <w:rPr>
          <w:szCs w:val="21"/>
        </w:rPr>
        <w:t>5MWp以下的分布式光伏电站因故障造成全站对外停电（不含因电网原因引起的）的天数与装机容量（单位kW）的乘积大于20000（单位kW.d）。</w:t>
      </w:r>
    </w:p>
    <w:p>
      <w:pPr>
        <w:numPr>
          <w:ilvl w:val="2"/>
          <w:numId w:val="5"/>
        </w:numPr>
        <w:adjustRightInd w:val="0"/>
        <w:snapToGrid w:val="0"/>
        <w:ind w:left="0" w:firstLine="0" w:firstLineChars="0"/>
        <w:jc w:val="left"/>
        <w:rPr>
          <w:rFonts w:hint="eastAsia"/>
          <w:szCs w:val="21"/>
        </w:rPr>
      </w:pPr>
      <w:r>
        <w:rPr>
          <w:szCs w:val="21"/>
        </w:rPr>
        <w:t>35kV断路器、电压互感器、电流互感器、避雷器爆炸。</w:t>
      </w:r>
    </w:p>
    <w:p>
      <w:pPr>
        <w:numPr>
          <w:ilvl w:val="2"/>
          <w:numId w:val="5"/>
        </w:numPr>
        <w:adjustRightInd w:val="0"/>
        <w:snapToGrid w:val="0"/>
        <w:ind w:left="0" w:firstLine="0" w:firstLineChars="0"/>
        <w:jc w:val="left"/>
        <w:rPr>
          <w:rFonts w:hint="eastAsia"/>
          <w:szCs w:val="21"/>
        </w:rPr>
      </w:pPr>
      <w:r>
        <w:rPr>
          <w:rFonts w:hint="eastAsia"/>
          <w:szCs w:val="21"/>
        </w:rPr>
        <w:t>因一般电气误操作因使主设备异常运行或被迫停运，误操作包含：误（漏）拉合断路器（开关）；下达错误调度命令、错误安排运行方式、错误下达继电保护及安全自动装置定值或错误下达其投、停命令；继电保护及安全自动装置（包括热工保护、自动保护）的误整定、误（漏）接线、误（漏）投或误停（包括压板）；人员误动、误碰设备。</w:t>
      </w:r>
    </w:p>
    <w:p>
      <w:pPr>
        <w:numPr>
          <w:ilvl w:val="2"/>
          <w:numId w:val="5"/>
        </w:numPr>
        <w:adjustRightInd w:val="0"/>
        <w:snapToGrid w:val="0"/>
        <w:ind w:left="0" w:firstLine="0" w:firstLineChars="0"/>
        <w:jc w:val="left"/>
        <w:rPr>
          <w:rFonts w:hint="eastAsia"/>
          <w:szCs w:val="21"/>
        </w:rPr>
      </w:pPr>
      <w:r>
        <w:rPr>
          <w:rFonts w:hint="eastAsia"/>
          <w:szCs w:val="21"/>
        </w:rPr>
        <w:t>设备、运输工具损坏、化学用品泄漏等，经济损失达到</w:t>
      </w:r>
      <w:r>
        <w:rPr>
          <w:szCs w:val="21"/>
        </w:rPr>
        <w:t>10万元及以上。</w:t>
      </w:r>
    </w:p>
    <w:p>
      <w:pPr>
        <w:numPr>
          <w:ilvl w:val="2"/>
          <w:numId w:val="5"/>
        </w:numPr>
        <w:adjustRightInd w:val="0"/>
        <w:snapToGrid w:val="0"/>
        <w:ind w:left="0" w:firstLine="0" w:firstLineChars="0"/>
        <w:jc w:val="left"/>
        <w:rPr>
          <w:rFonts w:hint="eastAsia"/>
          <w:szCs w:val="21"/>
        </w:rPr>
      </w:pPr>
      <w:r>
        <w:rPr>
          <w:rFonts w:hint="eastAsia"/>
          <w:szCs w:val="21"/>
        </w:rPr>
        <w:t>采暖季因供热设施出现故障、遭受外力破坏、遇自然灾害侵袭等原因，导致非正常停热，面积达</w:t>
      </w:r>
      <w:r>
        <w:rPr>
          <w:szCs w:val="21"/>
        </w:rPr>
        <w:t>5万平方米以上20万平米以下，或影响居民供热面积1万平方米以上5万平米以下，并24小时内未恢复的，国家、行业或属地政府规定严于本条款的按照从严原则执行。</w:t>
      </w:r>
    </w:p>
    <w:p>
      <w:pPr>
        <w:numPr>
          <w:ilvl w:val="2"/>
          <w:numId w:val="5"/>
        </w:numPr>
        <w:adjustRightInd w:val="0"/>
        <w:snapToGrid w:val="0"/>
        <w:ind w:left="0" w:firstLine="0" w:firstLineChars="0"/>
        <w:jc w:val="left"/>
        <w:rPr>
          <w:rFonts w:hint="eastAsia"/>
          <w:szCs w:val="21"/>
        </w:rPr>
      </w:pPr>
      <w:r>
        <w:rPr>
          <w:rFonts w:hint="eastAsia"/>
          <w:szCs w:val="21"/>
        </w:rPr>
        <w:t>性质比较严重的不安全现象，经项目安委会认定为一类障碍者。</w:t>
      </w:r>
    </w:p>
    <w:p>
      <w:pPr>
        <w:numPr>
          <w:ilvl w:val="1"/>
          <w:numId w:val="5"/>
        </w:numPr>
        <w:adjustRightInd w:val="0"/>
        <w:snapToGrid w:val="0"/>
        <w:ind w:left="705" w:hanging="705" w:firstLineChars="0"/>
        <w:jc w:val="left"/>
        <w:rPr>
          <w:rFonts w:hint="eastAsia"/>
          <w:szCs w:val="21"/>
        </w:rPr>
      </w:pPr>
      <w:r>
        <w:rPr>
          <w:rFonts w:hint="eastAsia"/>
          <w:szCs w:val="21"/>
        </w:rPr>
        <w:t>二类障碍</w:t>
      </w:r>
    </w:p>
    <w:p>
      <w:pPr>
        <w:numPr>
          <w:ilvl w:val="2"/>
          <w:numId w:val="5"/>
        </w:numPr>
        <w:adjustRightInd w:val="0"/>
        <w:snapToGrid w:val="0"/>
        <w:ind w:left="0" w:firstLine="0" w:firstLineChars="0"/>
        <w:jc w:val="left"/>
        <w:rPr>
          <w:rFonts w:hint="eastAsia"/>
          <w:szCs w:val="21"/>
        </w:rPr>
      </w:pPr>
      <w:r>
        <w:rPr>
          <w:rFonts w:hint="eastAsia"/>
          <w:szCs w:val="21"/>
        </w:rPr>
        <w:t>因设备的故障导致被迫停运引起了对用户少送热或少供冷，超过</w:t>
      </w:r>
      <w:r>
        <w:rPr>
          <w:szCs w:val="21"/>
        </w:rPr>
        <w:t>48小时的。</w:t>
      </w:r>
    </w:p>
    <w:p>
      <w:pPr>
        <w:numPr>
          <w:ilvl w:val="2"/>
          <w:numId w:val="5"/>
        </w:numPr>
        <w:adjustRightInd w:val="0"/>
        <w:snapToGrid w:val="0"/>
        <w:ind w:left="0" w:firstLine="0" w:firstLineChars="0"/>
        <w:jc w:val="left"/>
        <w:rPr>
          <w:rFonts w:hint="eastAsia"/>
          <w:szCs w:val="21"/>
        </w:rPr>
      </w:pPr>
      <w:r>
        <w:rPr>
          <w:rFonts w:hint="eastAsia"/>
          <w:szCs w:val="21"/>
        </w:rPr>
        <w:t>生产场所起火直接损失在</w:t>
      </w:r>
      <w:r>
        <w:rPr>
          <w:szCs w:val="21"/>
        </w:rPr>
        <w:t>1万元（含）至5.0万元（不含）者。</w:t>
      </w:r>
    </w:p>
    <w:p>
      <w:pPr>
        <w:numPr>
          <w:ilvl w:val="2"/>
          <w:numId w:val="5"/>
        </w:numPr>
        <w:adjustRightInd w:val="0"/>
        <w:snapToGrid w:val="0"/>
        <w:ind w:left="0" w:firstLine="0" w:firstLineChars="0"/>
        <w:jc w:val="left"/>
        <w:rPr>
          <w:rFonts w:hint="eastAsia"/>
          <w:szCs w:val="21"/>
        </w:rPr>
      </w:pPr>
      <w:r>
        <w:rPr>
          <w:rFonts w:hint="eastAsia"/>
          <w:szCs w:val="21"/>
        </w:rPr>
        <w:t>气瓶以及非生产用压力容器爆炸。</w:t>
      </w:r>
    </w:p>
    <w:p>
      <w:pPr>
        <w:numPr>
          <w:ilvl w:val="2"/>
          <w:numId w:val="5"/>
        </w:numPr>
        <w:adjustRightInd w:val="0"/>
        <w:snapToGrid w:val="0"/>
        <w:ind w:left="0" w:firstLine="0" w:firstLineChars="0"/>
        <w:jc w:val="left"/>
        <w:rPr>
          <w:rFonts w:hint="eastAsia"/>
          <w:szCs w:val="21"/>
        </w:rPr>
      </w:pPr>
      <w:r>
        <w:rPr>
          <w:rFonts w:hint="eastAsia"/>
          <w:szCs w:val="21"/>
        </w:rPr>
        <w:t>厂房或主要设备或公用系统设备被水淹者。</w:t>
      </w:r>
    </w:p>
    <w:p>
      <w:pPr>
        <w:numPr>
          <w:ilvl w:val="2"/>
          <w:numId w:val="5"/>
        </w:numPr>
        <w:adjustRightInd w:val="0"/>
        <w:snapToGrid w:val="0"/>
        <w:ind w:left="0" w:firstLine="0" w:firstLineChars="0"/>
        <w:jc w:val="left"/>
        <w:rPr>
          <w:rFonts w:hint="eastAsia"/>
          <w:szCs w:val="21"/>
        </w:rPr>
      </w:pPr>
      <w:r>
        <w:rPr>
          <w:rFonts w:hint="eastAsia"/>
          <w:szCs w:val="21"/>
        </w:rPr>
        <w:t>设备、运输工具等损坏，经济损失达</w:t>
      </w:r>
      <w:r>
        <w:rPr>
          <w:szCs w:val="21"/>
        </w:rPr>
        <w:t>5（含）至10万元（不含）者。</w:t>
      </w:r>
    </w:p>
    <w:p>
      <w:pPr>
        <w:numPr>
          <w:ilvl w:val="2"/>
          <w:numId w:val="5"/>
        </w:numPr>
        <w:adjustRightInd w:val="0"/>
        <w:snapToGrid w:val="0"/>
        <w:ind w:left="0" w:firstLine="0" w:firstLineChars="0"/>
        <w:jc w:val="left"/>
        <w:rPr>
          <w:rFonts w:hint="eastAsia"/>
          <w:szCs w:val="21"/>
        </w:rPr>
      </w:pPr>
      <w:r>
        <w:rPr>
          <w:rFonts w:hint="eastAsia"/>
          <w:szCs w:val="21"/>
        </w:rPr>
        <w:t>装机容量</w:t>
      </w:r>
      <w:r>
        <w:rPr>
          <w:szCs w:val="21"/>
        </w:rPr>
        <w:t>5MWp以下的分布式光伏电站因故障造成全站对外停电（不含因电网原因引起的）的天数与装机容量（单位kW）的乘积大于10000小于等于20000（单位kW.d）。</w:t>
      </w:r>
    </w:p>
    <w:p>
      <w:pPr>
        <w:numPr>
          <w:ilvl w:val="2"/>
          <w:numId w:val="5"/>
        </w:numPr>
        <w:adjustRightInd w:val="0"/>
        <w:snapToGrid w:val="0"/>
        <w:ind w:left="0" w:firstLine="0" w:firstLineChars="0"/>
        <w:jc w:val="left"/>
        <w:rPr>
          <w:rFonts w:hint="eastAsia"/>
          <w:szCs w:val="21"/>
        </w:rPr>
      </w:pPr>
      <w:r>
        <w:rPr>
          <w:rFonts w:hint="eastAsia"/>
          <w:szCs w:val="21"/>
        </w:rPr>
        <w:t>光伏电站单台分布式逆变器故障停运时间超过</w:t>
      </w:r>
      <w:r>
        <w:rPr>
          <w:szCs w:val="21"/>
        </w:rPr>
        <w:t>90天。</w:t>
      </w:r>
    </w:p>
    <w:p>
      <w:pPr>
        <w:numPr>
          <w:ilvl w:val="2"/>
          <w:numId w:val="5"/>
        </w:numPr>
        <w:adjustRightInd w:val="0"/>
        <w:snapToGrid w:val="0"/>
        <w:ind w:left="0" w:firstLine="0" w:firstLineChars="0"/>
        <w:jc w:val="left"/>
        <w:rPr>
          <w:rFonts w:hint="eastAsia"/>
          <w:szCs w:val="21"/>
        </w:rPr>
      </w:pPr>
      <w:r>
        <w:rPr>
          <w:rFonts w:hint="eastAsia"/>
          <w:szCs w:val="21"/>
        </w:rPr>
        <w:t>光伏电站单台集中式逆变器因故障停止发电（不含因电网原因引起的）的天数与本机容量（单位</w:t>
      </w:r>
      <w:r>
        <w:rPr>
          <w:szCs w:val="21"/>
        </w:rPr>
        <w:t>kW）的乘积大于10000小于等于20000（单位kW.d）。</w:t>
      </w:r>
    </w:p>
    <w:p>
      <w:pPr>
        <w:numPr>
          <w:ilvl w:val="2"/>
          <w:numId w:val="5"/>
        </w:numPr>
        <w:adjustRightInd w:val="0"/>
        <w:snapToGrid w:val="0"/>
        <w:ind w:left="0" w:firstLine="0" w:firstLineChars="0"/>
        <w:jc w:val="left"/>
        <w:rPr>
          <w:rFonts w:hint="eastAsia"/>
          <w:szCs w:val="21"/>
        </w:rPr>
      </w:pPr>
      <w:r>
        <w:rPr>
          <w:rFonts w:hint="eastAsia"/>
          <w:szCs w:val="21"/>
        </w:rPr>
        <w:t>性质比较严重的不安全现象，经项目安委会认定为二类障碍者。</w:t>
      </w:r>
      <w:r>
        <w:rPr>
          <w:szCs w:val="21"/>
        </w:rPr>
        <w:t xml:space="preserve"> </w:t>
      </w:r>
    </w:p>
    <w:p>
      <w:pPr>
        <w:keepNext/>
        <w:keepLines/>
        <w:numPr>
          <w:ilvl w:val="0"/>
          <w:numId w:val="5"/>
        </w:numPr>
        <w:ind w:left="495" w:firstLine="138" w:firstLineChars="66"/>
        <w:outlineLvl w:val="0"/>
        <w:rPr>
          <w:rFonts w:hint="eastAsia"/>
          <w:szCs w:val="21"/>
        </w:rPr>
      </w:pPr>
      <w:bookmarkStart w:id="808" w:name="_Toc14792580"/>
      <w:bookmarkStart w:id="809" w:name="_Toc170377996"/>
      <w:bookmarkStart w:id="810" w:name="_Toc11663435"/>
      <w:bookmarkStart w:id="811" w:name="_Toc5523"/>
      <w:bookmarkStart w:id="812" w:name="_Toc2581"/>
      <w:bookmarkStart w:id="813" w:name="_Toc24212"/>
      <w:r>
        <w:rPr>
          <w:rFonts w:hint="eastAsia"/>
          <w:szCs w:val="21"/>
        </w:rPr>
        <w:t>管理活动的内容与方法</w:t>
      </w:r>
      <w:bookmarkEnd w:id="808"/>
      <w:bookmarkEnd w:id="809"/>
      <w:bookmarkEnd w:id="810"/>
      <w:bookmarkEnd w:id="811"/>
      <w:bookmarkEnd w:id="812"/>
      <w:bookmarkEnd w:id="813"/>
    </w:p>
    <w:p>
      <w:pPr>
        <w:numPr>
          <w:ilvl w:val="1"/>
          <w:numId w:val="5"/>
        </w:numPr>
        <w:adjustRightInd w:val="0"/>
        <w:snapToGrid w:val="0"/>
        <w:ind w:left="705" w:hanging="705" w:firstLineChars="0"/>
        <w:jc w:val="left"/>
        <w:rPr>
          <w:rFonts w:hint="eastAsia"/>
          <w:szCs w:val="21"/>
        </w:rPr>
      </w:pPr>
      <w:r>
        <w:rPr>
          <w:rFonts w:hint="eastAsia"/>
          <w:szCs w:val="21"/>
        </w:rPr>
        <w:t>事故责任追究管理</w:t>
      </w:r>
    </w:p>
    <w:p>
      <w:pPr>
        <w:numPr>
          <w:ilvl w:val="2"/>
          <w:numId w:val="5"/>
        </w:numPr>
        <w:adjustRightInd w:val="0"/>
        <w:snapToGrid w:val="0"/>
        <w:ind w:left="0" w:firstLine="0" w:firstLineChars="0"/>
        <w:jc w:val="left"/>
        <w:rPr>
          <w:rFonts w:hint="eastAsia"/>
          <w:szCs w:val="21"/>
        </w:rPr>
      </w:pPr>
      <w:r>
        <w:rPr>
          <w:rFonts w:hint="eastAsia"/>
          <w:szCs w:val="21"/>
        </w:rPr>
        <w:t>项目发生人身伤亡事故、设备事故、火灾事故后，承包方应当与事故发生</w:t>
      </w:r>
      <w:r>
        <w:rPr>
          <w:szCs w:val="21"/>
        </w:rPr>
        <w:t>15分钟内向公司该项目经理报告，每推迟1小时支付违约金1000元。</w:t>
      </w:r>
    </w:p>
    <w:p>
      <w:pPr>
        <w:numPr>
          <w:ilvl w:val="2"/>
          <w:numId w:val="5"/>
        </w:numPr>
        <w:adjustRightInd w:val="0"/>
        <w:snapToGrid w:val="0"/>
        <w:ind w:left="0" w:firstLine="0" w:firstLineChars="0"/>
        <w:jc w:val="left"/>
        <w:rPr>
          <w:rFonts w:hint="eastAsia"/>
          <w:szCs w:val="21"/>
        </w:rPr>
      </w:pPr>
      <w:r>
        <w:rPr>
          <w:rFonts w:hint="eastAsia"/>
          <w:szCs w:val="21"/>
        </w:rPr>
        <w:t>相关方负责人接到事故报告后，应当立即启动事故相应应急救援预案，采取有效措施，组织抢救，防止事故扩大，减少人员伤亡和财产损失，未启动事故应急救援预案的支付违约金</w:t>
      </w:r>
      <w:r>
        <w:rPr>
          <w:szCs w:val="21"/>
        </w:rPr>
        <w:t>5000元，组织抢救不利造成事态扩大，视情节轻重支付违约金5000～10000元。</w:t>
      </w:r>
    </w:p>
    <w:p>
      <w:pPr>
        <w:numPr>
          <w:ilvl w:val="2"/>
          <w:numId w:val="5"/>
        </w:numPr>
        <w:adjustRightInd w:val="0"/>
        <w:snapToGrid w:val="0"/>
        <w:ind w:left="0" w:firstLine="0" w:firstLineChars="0"/>
        <w:jc w:val="left"/>
        <w:rPr>
          <w:rFonts w:hint="eastAsia"/>
          <w:szCs w:val="21"/>
        </w:rPr>
      </w:pPr>
      <w:r>
        <w:rPr>
          <w:rFonts w:hint="eastAsia"/>
          <w:szCs w:val="21"/>
        </w:rPr>
        <w:t>事故发生后，相关方有关人员应当妥善保护事故现场以及相关证据，任何单位和个人不得破坏事故现场、毁灭相关证据，如有前述情况的支付违约金</w:t>
      </w:r>
      <w:r>
        <w:rPr>
          <w:szCs w:val="21"/>
        </w:rPr>
        <w:t>5000元。</w:t>
      </w:r>
    </w:p>
    <w:p>
      <w:pPr>
        <w:numPr>
          <w:ilvl w:val="2"/>
          <w:numId w:val="5"/>
        </w:numPr>
        <w:adjustRightInd w:val="0"/>
        <w:snapToGrid w:val="0"/>
        <w:ind w:left="0" w:firstLine="0" w:firstLineChars="0"/>
        <w:jc w:val="left"/>
        <w:rPr>
          <w:rFonts w:hint="eastAsia"/>
          <w:szCs w:val="21"/>
        </w:rPr>
      </w:pPr>
      <w:r>
        <w:rPr>
          <w:rFonts w:hint="eastAsia"/>
          <w:szCs w:val="21"/>
        </w:rPr>
        <w:t>事故发生后，相关方必须组织人员开展事故调查，查明事故发生的原因，制定针对性的整改措施，同时要按照“四不放过的原则”对责任人员进行处理，对提出的整改措施进行落实，对有关人员进行教育，否则，支付违约金</w:t>
      </w:r>
      <w:r>
        <w:rPr>
          <w:szCs w:val="21"/>
        </w:rPr>
        <w:t>1000元/项。</w:t>
      </w:r>
    </w:p>
    <w:p>
      <w:pPr>
        <w:numPr>
          <w:ilvl w:val="2"/>
          <w:numId w:val="5"/>
        </w:numPr>
        <w:adjustRightInd w:val="0"/>
        <w:snapToGrid w:val="0"/>
        <w:ind w:left="0" w:firstLine="0" w:firstLineChars="0"/>
        <w:jc w:val="left"/>
        <w:rPr>
          <w:rFonts w:hint="eastAsia"/>
          <w:szCs w:val="21"/>
        </w:rPr>
      </w:pPr>
      <w:r>
        <w:rPr>
          <w:rFonts w:hint="eastAsia"/>
          <w:szCs w:val="21"/>
        </w:rPr>
        <w:t>承包项目发生较大及以上事故，由相关方承担所有经济损失，根据事故级别，按照合同价款的</w:t>
      </w:r>
      <w:r>
        <w:rPr>
          <w:szCs w:val="21"/>
        </w:rPr>
        <w:t>15％～20％向甲方支付违约金，并承担政府部门对其的处罚。</w:t>
      </w:r>
    </w:p>
    <w:p>
      <w:pPr>
        <w:numPr>
          <w:ilvl w:val="2"/>
          <w:numId w:val="5"/>
        </w:numPr>
        <w:adjustRightInd w:val="0"/>
        <w:snapToGrid w:val="0"/>
        <w:ind w:left="0" w:firstLine="0" w:firstLineChars="0"/>
        <w:jc w:val="left"/>
        <w:rPr>
          <w:rFonts w:hint="eastAsia"/>
          <w:szCs w:val="21"/>
        </w:rPr>
      </w:pPr>
      <w:r>
        <w:rPr>
          <w:rFonts w:hint="eastAsia"/>
          <w:szCs w:val="21"/>
        </w:rPr>
        <w:t>承包项目发生一般事故，由相关方承担所有经济损失，同时按照合同价款的</w:t>
      </w:r>
      <w:r>
        <w:rPr>
          <w:szCs w:val="21"/>
        </w:rPr>
        <w:t>10％向甲方支付违约金，并承担政府部门对其的处罚。</w:t>
      </w:r>
    </w:p>
    <w:p>
      <w:pPr>
        <w:numPr>
          <w:ilvl w:val="2"/>
          <w:numId w:val="5"/>
        </w:numPr>
        <w:adjustRightInd w:val="0"/>
        <w:snapToGrid w:val="0"/>
        <w:ind w:firstLineChars="0"/>
        <w:jc w:val="left"/>
        <w:rPr>
          <w:rFonts w:hint="eastAsia"/>
          <w:szCs w:val="21"/>
        </w:rPr>
      </w:pPr>
      <w:r>
        <w:rPr>
          <w:rFonts w:hint="eastAsia"/>
          <w:szCs w:val="21"/>
        </w:rPr>
        <w:t>承包项目发生人身重伤事故，由相关方承担所有经济损失，每重伤一人，相关方向甲方支付违约金</w:t>
      </w:r>
      <w:r>
        <w:rPr>
          <w:szCs w:val="21"/>
        </w:rPr>
        <w:t>5万元。</w:t>
      </w:r>
    </w:p>
    <w:p>
      <w:pPr>
        <w:numPr>
          <w:ilvl w:val="2"/>
          <w:numId w:val="5"/>
        </w:numPr>
        <w:adjustRightInd w:val="0"/>
        <w:snapToGrid w:val="0"/>
        <w:ind w:left="0" w:firstLine="0" w:firstLineChars="0"/>
        <w:jc w:val="left"/>
        <w:rPr>
          <w:rFonts w:hint="eastAsia"/>
          <w:szCs w:val="21"/>
        </w:rPr>
      </w:pPr>
      <w:r>
        <w:rPr>
          <w:rFonts w:hint="eastAsia"/>
          <w:szCs w:val="21"/>
        </w:rPr>
        <w:t>承包项目发生轻伤事故、一类障碍，由相关方承担所有经济损失，同时相关方向甲方支付违约金</w:t>
      </w:r>
      <w:r>
        <w:rPr>
          <w:szCs w:val="21"/>
        </w:rPr>
        <w:t>1万元。</w:t>
      </w:r>
    </w:p>
    <w:p>
      <w:pPr>
        <w:numPr>
          <w:ilvl w:val="2"/>
          <w:numId w:val="5"/>
        </w:numPr>
        <w:adjustRightInd w:val="0"/>
        <w:snapToGrid w:val="0"/>
        <w:ind w:left="0" w:firstLine="0" w:firstLineChars="0"/>
        <w:jc w:val="left"/>
        <w:rPr>
          <w:rFonts w:hint="eastAsia"/>
          <w:szCs w:val="21"/>
        </w:rPr>
      </w:pPr>
      <w:r>
        <w:rPr>
          <w:rFonts w:hint="eastAsia"/>
          <w:szCs w:val="21"/>
        </w:rPr>
        <w:t>承包项目发生二类障碍，由相关方承担所有经济损失，同时相关方向甲方支付违约金</w:t>
      </w:r>
      <w:r>
        <w:rPr>
          <w:szCs w:val="21"/>
        </w:rPr>
        <w:t>5000元。</w:t>
      </w:r>
    </w:p>
    <w:p>
      <w:pPr>
        <w:numPr>
          <w:ilvl w:val="2"/>
          <w:numId w:val="5"/>
        </w:numPr>
        <w:adjustRightInd w:val="0"/>
        <w:snapToGrid w:val="0"/>
        <w:ind w:left="0" w:firstLine="0" w:firstLineChars="0"/>
        <w:jc w:val="left"/>
        <w:rPr>
          <w:rFonts w:hint="eastAsia"/>
          <w:szCs w:val="21"/>
        </w:rPr>
      </w:pPr>
      <w:r>
        <w:rPr>
          <w:rFonts w:hint="eastAsia"/>
          <w:szCs w:val="21"/>
        </w:rPr>
        <w:t>承包项目发生环境污染事故，除接受当地环保部门的处罚外，视情节轻重向甲方支付违约金</w:t>
      </w:r>
      <w:r>
        <w:rPr>
          <w:szCs w:val="21"/>
        </w:rPr>
        <w:t>2000～10000元；生产、生活废水未能达标排放，支付违约金2000元；现场施工设备噪声超过国家标准，支付违约金2000元。</w:t>
      </w:r>
    </w:p>
    <w:p>
      <w:pPr>
        <w:numPr>
          <w:ilvl w:val="1"/>
          <w:numId w:val="5"/>
        </w:numPr>
        <w:adjustRightInd w:val="0"/>
        <w:snapToGrid w:val="0"/>
        <w:ind w:left="705" w:hanging="705" w:firstLineChars="0"/>
        <w:jc w:val="left"/>
        <w:rPr>
          <w:rFonts w:hint="eastAsia"/>
          <w:szCs w:val="21"/>
        </w:rPr>
      </w:pPr>
      <w:r>
        <w:rPr>
          <w:rFonts w:hint="eastAsia"/>
          <w:szCs w:val="21"/>
        </w:rPr>
        <w:t>安全基础管理规定</w:t>
      </w:r>
    </w:p>
    <w:p>
      <w:pPr>
        <w:numPr>
          <w:ilvl w:val="2"/>
          <w:numId w:val="5"/>
        </w:numPr>
        <w:adjustRightInd w:val="0"/>
        <w:snapToGrid w:val="0"/>
        <w:ind w:left="0" w:firstLine="0" w:firstLineChars="0"/>
        <w:jc w:val="left"/>
        <w:rPr>
          <w:rFonts w:hint="eastAsia"/>
          <w:szCs w:val="21"/>
        </w:rPr>
      </w:pPr>
      <w:r>
        <w:rPr>
          <w:rFonts w:hint="eastAsia"/>
          <w:szCs w:val="21"/>
        </w:rPr>
        <w:t>安全管理制度、规程措施管理</w:t>
      </w:r>
    </w:p>
    <w:p>
      <w:pPr>
        <w:numPr>
          <w:ilvl w:val="3"/>
          <w:numId w:val="5"/>
        </w:numPr>
        <w:adjustRightInd w:val="0"/>
        <w:snapToGrid w:val="0"/>
        <w:ind w:left="0" w:firstLine="0" w:firstLineChars="0"/>
        <w:jc w:val="left"/>
        <w:rPr>
          <w:rFonts w:hint="eastAsia"/>
          <w:szCs w:val="21"/>
        </w:rPr>
      </w:pPr>
      <w:r>
        <w:rPr>
          <w:rFonts w:hint="eastAsia"/>
          <w:szCs w:val="21"/>
        </w:rPr>
        <w:t>未制定项目安全管理制度、现场应急处置方案、建立安全生产责任制的，或制度、方案、责任制未落实的，支付违约金</w:t>
      </w:r>
      <w:r>
        <w:rPr>
          <w:szCs w:val="21"/>
        </w:rPr>
        <w:t>2000元/次。</w:t>
      </w:r>
    </w:p>
    <w:p>
      <w:pPr>
        <w:numPr>
          <w:ilvl w:val="3"/>
          <w:numId w:val="5"/>
        </w:numPr>
        <w:adjustRightInd w:val="0"/>
        <w:snapToGrid w:val="0"/>
        <w:ind w:left="0" w:firstLine="0" w:firstLineChars="0"/>
        <w:jc w:val="left"/>
        <w:rPr>
          <w:rFonts w:hint="eastAsia"/>
          <w:szCs w:val="21"/>
        </w:rPr>
      </w:pPr>
      <w:r>
        <w:rPr>
          <w:rFonts w:hint="eastAsia"/>
          <w:szCs w:val="21"/>
        </w:rPr>
        <w:t>项目部未建立以各级行政正职为第一责任人的安全文明生产责任制，未确立符合工程总体要求的安全生产总目标及各级分解目标，支付违约金</w:t>
      </w:r>
      <w:r>
        <w:rPr>
          <w:szCs w:val="21"/>
        </w:rPr>
        <w:t>500元。</w:t>
      </w:r>
    </w:p>
    <w:p>
      <w:pPr>
        <w:numPr>
          <w:ilvl w:val="3"/>
          <w:numId w:val="5"/>
        </w:numPr>
        <w:adjustRightInd w:val="0"/>
        <w:snapToGrid w:val="0"/>
        <w:ind w:left="0" w:firstLine="0" w:firstLineChars="0"/>
        <w:jc w:val="left"/>
        <w:rPr>
          <w:rFonts w:hint="eastAsia"/>
          <w:szCs w:val="21"/>
        </w:rPr>
      </w:pPr>
      <w:r>
        <w:rPr>
          <w:rFonts w:hint="eastAsia"/>
          <w:szCs w:val="21"/>
        </w:rPr>
        <w:t>应编制施工方案、规程、安全技术措施（如运维规程、操作规程、动火作业安全技术措施、防水作业安全技术措施、冬季施工安全技术措施、吊装作业安全技术措施、临时用电安全技术措施等）而未编制的，施工无设计或施工组织设计中无安全技术措施内容的，支付违约金</w:t>
      </w:r>
      <w:r>
        <w:rPr>
          <w:szCs w:val="21"/>
        </w:rPr>
        <w:t>2000元/次；方案、规程、措施不全面、无针对性、未落实的，未进行复查、修订、公布、印发的，支付违约金300元/项。</w:t>
      </w:r>
    </w:p>
    <w:p>
      <w:pPr>
        <w:numPr>
          <w:ilvl w:val="2"/>
          <w:numId w:val="5"/>
        </w:numPr>
        <w:adjustRightInd w:val="0"/>
        <w:snapToGrid w:val="0"/>
        <w:ind w:left="0" w:firstLine="0" w:firstLineChars="0"/>
        <w:jc w:val="left"/>
        <w:rPr>
          <w:rFonts w:hint="eastAsia"/>
          <w:szCs w:val="21"/>
        </w:rPr>
      </w:pPr>
      <w:r>
        <w:rPr>
          <w:rFonts w:hint="eastAsia"/>
          <w:szCs w:val="21"/>
        </w:rPr>
        <w:t>安全培训教育</w:t>
      </w:r>
    </w:p>
    <w:p>
      <w:pPr>
        <w:numPr>
          <w:ilvl w:val="3"/>
          <w:numId w:val="5"/>
        </w:numPr>
        <w:adjustRightInd w:val="0"/>
        <w:snapToGrid w:val="0"/>
        <w:ind w:left="0" w:firstLine="0" w:firstLineChars="0"/>
        <w:jc w:val="left"/>
        <w:rPr>
          <w:rFonts w:hint="eastAsia"/>
          <w:szCs w:val="21"/>
        </w:rPr>
      </w:pPr>
      <w:r>
        <w:rPr>
          <w:rFonts w:hint="eastAsia"/>
          <w:szCs w:val="21"/>
        </w:rPr>
        <w:t>未制定安全培训教育制度，支付违约金</w:t>
      </w:r>
      <w:r>
        <w:rPr>
          <w:szCs w:val="21"/>
        </w:rPr>
        <w:t>1000元。</w:t>
      </w:r>
    </w:p>
    <w:p>
      <w:pPr>
        <w:numPr>
          <w:ilvl w:val="3"/>
          <w:numId w:val="5"/>
        </w:numPr>
        <w:adjustRightInd w:val="0"/>
        <w:snapToGrid w:val="0"/>
        <w:ind w:left="0" w:firstLine="0" w:firstLineChars="0"/>
        <w:jc w:val="left"/>
        <w:rPr>
          <w:rFonts w:hint="eastAsia"/>
          <w:szCs w:val="21"/>
        </w:rPr>
      </w:pPr>
      <w:r>
        <w:rPr>
          <w:rFonts w:hint="eastAsia"/>
          <w:szCs w:val="21"/>
        </w:rPr>
        <w:t>未进行三级安全教育培训，支付违约金</w:t>
      </w:r>
      <w:r>
        <w:rPr>
          <w:szCs w:val="21"/>
        </w:rPr>
        <w:t>200元/人次。</w:t>
      </w:r>
    </w:p>
    <w:p>
      <w:pPr>
        <w:numPr>
          <w:ilvl w:val="3"/>
          <w:numId w:val="5"/>
        </w:numPr>
        <w:adjustRightInd w:val="0"/>
        <w:snapToGrid w:val="0"/>
        <w:ind w:left="0" w:firstLine="0" w:firstLineChars="0"/>
        <w:jc w:val="left"/>
        <w:rPr>
          <w:rFonts w:hint="eastAsia"/>
          <w:szCs w:val="21"/>
        </w:rPr>
      </w:pPr>
      <w:r>
        <w:rPr>
          <w:rFonts w:hint="eastAsia"/>
          <w:szCs w:val="21"/>
        </w:rPr>
        <w:t>安全教育培训弄虚作假，支付违约金</w:t>
      </w:r>
      <w:r>
        <w:rPr>
          <w:szCs w:val="21"/>
        </w:rPr>
        <w:t>500元/次。</w:t>
      </w:r>
    </w:p>
    <w:p>
      <w:pPr>
        <w:numPr>
          <w:ilvl w:val="3"/>
          <w:numId w:val="5"/>
        </w:numPr>
        <w:adjustRightInd w:val="0"/>
        <w:snapToGrid w:val="0"/>
        <w:ind w:left="0" w:firstLine="0" w:firstLineChars="0"/>
        <w:jc w:val="left"/>
        <w:rPr>
          <w:rFonts w:hint="eastAsia"/>
          <w:szCs w:val="21"/>
        </w:rPr>
      </w:pPr>
      <w:r>
        <w:rPr>
          <w:rFonts w:hint="eastAsia"/>
          <w:szCs w:val="21"/>
        </w:rPr>
        <w:t>施工方案、规程、安全技术措施、制度等未培训、考试，支付违约金</w:t>
      </w:r>
      <w:r>
        <w:rPr>
          <w:szCs w:val="21"/>
        </w:rPr>
        <w:t>500元/次；员工培训考试不合格上岗者，支付违约金200元/人。</w:t>
      </w:r>
    </w:p>
    <w:p>
      <w:pPr>
        <w:numPr>
          <w:ilvl w:val="2"/>
          <w:numId w:val="5"/>
        </w:numPr>
        <w:adjustRightInd w:val="0"/>
        <w:snapToGrid w:val="0"/>
        <w:ind w:left="0" w:firstLine="0" w:firstLineChars="0"/>
        <w:jc w:val="left"/>
        <w:rPr>
          <w:rFonts w:hint="eastAsia"/>
          <w:szCs w:val="21"/>
        </w:rPr>
      </w:pPr>
      <w:r>
        <w:rPr>
          <w:rFonts w:hint="eastAsia"/>
          <w:szCs w:val="21"/>
        </w:rPr>
        <w:t>安全检查和隐患治理</w:t>
      </w:r>
    </w:p>
    <w:p>
      <w:pPr>
        <w:numPr>
          <w:ilvl w:val="3"/>
          <w:numId w:val="5"/>
        </w:numPr>
        <w:adjustRightInd w:val="0"/>
        <w:snapToGrid w:val="0"/>
        <w:ind w:left="0" w:firstLine="0" w:firstLineChars="0"/>
        <w:jc w:val="left"/>
        <w:rPr>
          <w:rFonts w:hint="eastAsia"/>
          <w:szCs w:val="21"/>
        </w:rPr>
      </w:pPr>
      <w:r>
        <w:rPr>
          <w:rFonts w:hint="eastAsia"/>
          <w:szCs w:val="21"/>
        </w:rPr>
        <w:t>施工单位未建立安全检查和隐患治理制度，主要负责人及其他管理人员没有定期开展安全检查和隐患治理，检查、排查没有记录，支付违约金</w:t>
      </w:r>
      <w:r>
        <w:rPr>
          <w:szCs w:val="21"/>
        </w:rPr>
        <w:t>1000元/次。</w:t>
      </w:r>
    </w:p>
    <w:p>
      <w:pPr>
        <w:numPr>
          <w:ilvl w:val="3"/>
          <w:numId w:val="5"/>
        </w:numPr>
        <w:adjustRightInd w:val="0"/>
        <w:snapToGrid w:val="0"/>
        <w:ind w:left="0" w:firstLine="0" w:firstLineChars="0"/>
        <w:jc w:val="left"/>
        <w:rPr>
          <w:rFonts w:hint="eastAsia"/>
          <w:szCs w:val="21"/>
        </w:rPr>
      </w:pPr>
      <w:r>
        <w:rPr>
          <w:rFonts w:hint="eastAsia"/>
          <w:szCs w:val="21"/>
        </w:rPr>
        <w:t>未按要求整改落实甲方、监理方安全检查、隐患排查查出的问题、违章、隐患等支付违约金</w:t>
      </w:r>
      <w:r>
        <w:rPr>
          <w:szCs w:val="21"/>
        </w:rPr>
        <w:t>2000～5000元/次。</w:t>
      </w:r>
    </w:p>
    <w:p>
      <w:pPr>
        <w:numPr>
          <w:ilvl w:val="2"/>
          <w:numId w:val="5"/>
        </w:numPr>
        <w:adjustRightInd w:val="0"/>
        <w:snapToGrid w:val="0"/>
        <w:ind w:left="0" w:firstLine="0" w:firstLineChars="0"/>
        <w:jc w:val="left"/>
        <w:rPr>
          <w:rFonts w:hint="eastAsia"/>
          <w:szCs w:val="21"/>
        </w:rPr>
      </w:pPr>
      <w:r>
        <w:rPr>
          <w:rFonts w:hint="eastAsia"/>
          <w:szCs w:val="21"/>
        </w:rPr>
        <w:t>资料管理</w:t>
      </w:r>
    </w:p>
    <w:p>
      <w:pPr>
        <w:numPr>
          <w:ilvl w:val="3"/>
          <w:numId w:val="5"/>
        </w:numPr>
        <w:adjustRightInd w:val="0"/>
        <w:snapToGrid w:val="0"/>
        <w:ind w:left="0" w:firstLine="0" w:firstLineChars="0"/>
        <w:jc w:val="left"/>
        <w:rPr>
          <w:rFonts w:hint="eastAsia"/>
          <w:szCs w:val="21"/>
        </w:rPr>
      </w:pPr>
      <w:r>
        <w:rPr>
          <w:rFonts w:hint="eastAsia"/>
          <w:szCs w:val="21"/>
        </w:rPr>
        <w:t>工程资料的填写、编制、审批、收集、整理、组卷、移交及归档必须符合规范，否则支付违约金</w:t>
      </w:r>
      <w:r>
        <w:rPr>
          <w:szCs w:val="21"/>
        </w:rPr>
        <w:t>1000元/次。</w:t>
      </w:r>
    </w:p>
    <w:p>
      <w:pPr>
        <w:numPr>
          <w:ilvl w:val="3"/>
          <w:numId w:val="5"/>
        </w:numPr>
        <w:adjustRightInd w:val="0"/>
        <w:snapToGrid w:val="0"/>
        <w:ind w:left="0" w:firstLine="0" w:firstLineChars="0"/>
        <w:jc w:val="left"/>
        <w:rPr>
          <w:rFonts w:hint="eastAsia"/>
          <w:szCs w:val="21"/>
        </w:rPr>
      </w:pPr>
      <w:r>
        <w:rPr>
          <w:rFonts w:hint="eastAsia"/>
          <w:szCs w:val="21"/>
        </w:rPr>
        <w:t>工程开工条件必须满足要求，施工组织设计及方案、工程开工报告等已获总监理工程师批准，总监理工程师向建设方报送完工程开工报审表后方可开工，否则承包方支付违约金</w:t>
      </w:r>
      <w:r>
        <w:rPr>
          <w:szCs w:val="21"/>
        </w:rPr>
        <w:t>2000元，监理方支付违约金1000元。</w:t>
      </w:r>
    </w:p>
    <w:p>
      <w:pPr>
        <w:numPr>
          <w:ilvl w:val="3"/>
          <w:numId w:val="5"/>
        </w:numPr>
        <w:adjustRightInd w:val="0"/>
        <w:snapToGrid w:val="0"/>
        <w:ind w:left="0" w:firstLine="0" w:firstLineChars="0"/>
        <w:jc w:val="left"/>
        <w:rPr>
          <w:rFonts w:hint="eastAsia"/>
          <w:szCs w:val="21"/>
        </w:rPr>
      </w:pPr>
      <w:r>
        <w:rPr>
          <w:rFonts w:hint="eastAsia"/>
          <w:szCs w:val="21"/>
        </w:rPr>
        <w:t>施工技术交底记录齐全，交底范围、交底时间和交底的签认清晰。如施工单位的工程项目管理机构技术负责人将“施工组织设计”的主要内容向项目主要管理人员交底；专业技术负责人就新技术、新材料、新工艺的施工技术要求向施工作业人员交底；专业技术员针对分项工程和关键部位从施工前准备、施工工艺、质量标准等重点注意事项向施工作业人员交底。否则缺一项交底，支付违约金</w:t>
      </w:r>
      <w:r>
        <w:rPr>
          <w:szCs w:val="21"/>
        </w:rPr>
        <w:t>1000元；交底内容不齐全200元/处。</w:t>
      </w:r>
    </w:p>
    <w:p>
      <w:pPr>
        <w:numPr>
          <w:ilvl w:val="3"/>
          <w:numId w:val="5"/>
        </w:numPr>
        <w:adjustRightInd w:val="0"/>
        <w:snapToGrid w:val="0"/>
        <w:ind w:left="0" w:firstLine="0" w:firstLineChars="0"/>
        <w:jc w:val="left"/>
        <w:rPr>
          <w:rFonts w:hint="eastAsia"/>
          <w:szCs w:val="21"/>
        </w:rPr>
      </w:pPr>
      <w:r>
        <w:rPr>
          <w:rFonts w:hint="eastAsia"/>
          <w:szCs w:val="21"/>
        </w:rPr>
        <w:t>图纸齐全，内容满足要求和标准，会审记录齐全，程序符合要求，否则支付违约金</w:t>
      </w:r>
      <w:r>
        <w:rPr>
          <w:szCs w:val="21"/>
        </w:rPr>
        <w:t>500元/项。</w:t>
      </w:r>
    </w:p>
    <w:p>
      <w:pPr>
        <w:numPr>
          <w:ilvl w:val="3"/>
          <w:numId w:val="5"/>
        </w:numPr>
        <w:adjustRightInd w:val="0"/>
        <w:snapToGrid w:val="0"/>
        <w:ind w:left="0" w:firstLine="0" w:firstLineChars="0"/>
        <w:jc w:val="left"/>
        <w:rPr>
          <w:rFonts w:hint="eastAsia"/>
          <w:szCs w:val="21"/>
        </w:rPr>
      </w:pPr>
      <w:r>
        <w:rPr>
          <w:rFonts w:hint="eastAsia"/>
          <w:szCs w:val="21"/>
        </w:rPr>
        <w:t>设计存在缺陷进行变更设计时，原设计单位必须编制《设计变更通知单》，变更方式、程序必须符合要求，建设、施工、监理单位签收后方可实施，否则支付违约金</w:t>
      </w:r>
      <w:r>
        <w:rPr>
          <w:szCs w:val="21"/>
        </w:rPr>
        <w:t>2000元/次。</w:t>
      </w:r>
    </w:p>
    <w:p>
      <w:pPr>
        <w:numPr>
          <w:ilvl w:val="3"/>
          <w:numId w:val="5"/>
        </w:numPr>
        <w:adjustRightInd w:val="0"/>
        <w:snapToGrid w:val="0"/>
        <w:ind w:left="0" w:firstLine="0" w:firstLineChars="0"/>
        <w:jc w:val="left"/>
        <w:rPr>
          <w:rFonts w:hint="eastAsia"/>
          <w:szCs w:val="21"/>
        </w:rPr>
      </w:pPr>
      <w:r>
        <w:rPr>
          <w:rFonts w:hint="eastAsia"/>
          <w:szCs w:val="21"/>
        </w:rPr>
        <w:t>检验、检测资料齐全，内容真实有效。如建筑材料、半成品、构配件、设备进场验收、检验记录，混凝土强度评定记录，分布式光伏电站电气设备及系统测试记录（满足并网光伏发电系统工程验收基本要求）等。否则支付违约金</w:t>
      </w:r>
      <w:r>
        <w:rPr>
          <w:szCs w:val="21"/>
        </w:rPr>
        <w:t>500元/项。</w:t>
      </w:r>
    </w:p>
    <w:p>
      <w:pPr>
        <w:numPr>
          <w:ilvl w:val="3"/>
          <w:numId w:val="5"/>
        </w:numPr>
        <w:adjustRightInd w:val="0"/>
        <w:snapToGrid w:val="0"/>
        <w:ind w:left="0" w:firstLine="0" w:firstLineChars="0"/>
        <w:jc w:val="left"/>
        <w:rPr>
          <w:rFonts w:hint="eastAsia"/>
          <w:szCs w:val="21"/>
        </w:rPr>
      </w:pPr>
      <w:r>
        <w:rPr>
          <w:rFonts w:hint="eastAsia"/>
          <w:szCs w:val="21"/>
        </w:rPr>
        <w:t>施工过程记录资料齐全，内容真实有效。如工程定位、测量放线检查记录（工程定位测量记录）、施工检查记录、构件吊装检查记录、设备开箱检验记录、设备及管道附件试验记录、隐蔽工程验收记录等。否则支付违约金</w:t>
      </w:r>
      <w:r>
        <w:rPr>
          <w:szCs w:val="21"/>
        </w:rPr>
        <w:t>500元/项。</w:t>
      </w:r>
    </w:p>
    <w:p>
      <w:pPr>
        <w:numPr>
          <w:ilvl w:val="3"/>
          <w:numId w:val="5"/>
        </w:numPr>
        <w:adjustRightInd w:val="0"/>
        <w:snapToGrid w:val="0"/>
        <w:ind w:left="0" w:firstLine="0" w:firstLineChars="0"/>
        <w:jc w:val="left"/>
        <w:rPr>
          <w:rFonts w:hint="eastAsia"/>
          <w:szCs w:val="21"/>
        </w:rPr>
      </w:pPr>
      <w:r>
        <w:rPr>
          <w:rFonts w:hint="eastAsia"/>
          <w:szCs w:val="21"/>
        </w:rPr>
        <w:t>检验批质量验收记录、分部分项工程质量验收记录、工程竣工验收记录、工程质量控制资料核查记录等验收记录齐全，内容、验收程序等符合规范。否则支付违约金</w:t>
      </w:r>
      <w:r>
        <w:rPr>
          <w:szCs w:val="21"/>
        </w:rPr>
        <w:t>500元/项。</w:t>
      </w:r>
    </w:p>
    <w:p>
      <w:pPr>
        <w:numPr>
          <w:ilvl w:val="2"/>
          <w:numId w:val="5"/>
        </w:numPr>
        <w:adjustRightInd w:val="0"/>
        <w:snapToGrid w:val="0"/>
        <w:ind w:left="0" w:firstLine="0" w:firstLineChars="0"/>
        <w:jc w:val="left"/>
        <w:rPr>
          <w:rFonts w:hint="eastAsia"/>
          <w:szCs w:val="21"/>
        </w:rPr>
      </w:pPr>
      <w:r>
        <w:rPr>
          <w:rFonts w:hint="eastAsia"/>
          <w:szCs w:val="21"/>
        </w:rPr>
        <w:t>施工</w:t>
      </w:r>
      <w:r>
        <w:rPr>
          <w:szCs w:val="21"/>
        </w:rPr>
        <w:t>/运维现场员工临时宿舍管理</w:t>
      </w:r>
    </w:p>
    <w:p>
      <w:pPr>
        <w:numPr>
          <w:ilvl w:val="3"/>
          <w:numId w:val="5"/>
        </w:numPr>
        <w:adjustRightInd w:val="0"/>
        <w:snapToGrid w:val="0"/>
        <w:ind w:left="0" w:firstLine="0" w:firstLineChars="0"/>
        <w:jc w:val="left"/>
        <w:rPr>
          <w:rFonts w:hint="eastAsia"/>
          <w:szCs w:val="21"/>
        </w:rPr>
      </w:pPr>
      <w:r>
        <w:rPr>
          <w:rFonts w:hint="eastAsia"/>
          <w:szCs w:val="21"/>
        </w:rPr>
        <w:t>员工宿舍必须有管理制度，否则支付违约金</w:t>
      </w:r>
      <w:r>
        <w:rPr>
          <w:szCs w:val="21"/>
        </w:rPr>
        <w:t>500元。</w:t>
      </w:r>
    </w:p>
    <w:p>
      <w:pPr>
        <w:numPr>
          <w:ilvl w:val="3"/>
          <w:numId w:val="5"/>
        </w:numPr>
        <w:adjustRightInd w:val="0"/>
        <w:snapToGrid w:val="0"/>
        <w:ind w:left="0" w:firstLine="0" w:firstLineChars="0"/>
        <w:jc w:val="left"/>
        <w:rPr>
          <w:rFonts w:hint="eastAsia"/>
          <w:szCs w:val="21"/>
        </w:rPr>
      </w:pPr>
      <w:r>
        <w:rPr>
          <w:rFonts w:hint="eastAsia"/>
          <w:szCs w:val="21"/>
        </w:rPr>
        <w:t>员工宿舍供电电缆、插座功率和电流必须满足使用电器设备的需要，否则支付违约金</w:t>
      </w:r>
      <w:r>
        <w:rPr>
          <w:szCs w:val="21"/>
        </w:rPr>
        <w:t>1000元。</w:t>
      </w:r>
    </w:p>
    <w:p>
      <w:pPr>
        <w:numPr>
          <w:ilvl w:val="3"/>
          <w:numId w:val="5"/>
        </w:numPr>
        <w:adjustRightInd w:val="0"/>
        <w:snapToGrid w:val="0"/>
        <w:ind w:left="0" w:firstLine="0" w:firstLineChars="0"/>
        <w:jc w:val="left"/>
        <w:rPr>
          <w:rFonts w:hint="eastAsia"/>
          <w:szCs w:val="21"/>
        </w:rPr>
      </w:pPr>
      <w:r>
        <w:rPr>
          <w:rFonts w:hint="eastAsia"/>
          <w:szCs w:val="21"/>
        </w:rPr>
        <w:t>员工宿舍严禁吸烟，否则每个烟头支付违约金</w:t>
      </w:r>
      <w:r>
        <w:rPr>
          <w:szCs w:val="21"/>
        </w:rPr>
        <w:t>200元。</w:t>
      </w:r>
    </w:p>
    <w:p>
      <w:pPr>
        <w:numPr>
          <w:ilvl w:val="3"/>
          <w:numId w:val="5"/>
        </w:numPr>
        <w:adjustRightInd w:val="0"/>
        <w:snapToGrid w:val="0"/>
        <w:ind w:left="0" w:firstLine="0" w:firstLineChars="0"/>
        <w:jc w:val="left"/>
        <w:rPr>
          <w:rFonts w:hint="eastAsia"/>
          <w:szCs w:val="21"/>
        </w:rPr>
      </w:pPr>
      <w:r>
        <w:rPr>
          <w:rFonts w:hint="eastAsia"/>
          <w:szCs w:val="21"/>
        </w:rPr>
        <w:t>员工宿舍的电器设备在人员离开宿舍时必须断电，否则支付违约金</w:t>
      </w:r>
      <w:r>
        <w:rPr>
          <w:szCs w:val="21"/>
        </w:rPr>
        <w:t>500元/次。</w:t>
      </w:r>
    </w:p>
    <w:p>
      <w:pPr>
        <w:numPr>
          <w:ilvl w:val="1"/>
          <w:numId w:val="5"/>
        </w:numPr>
        <w:adjustRightInd w:val="0"/>
        <w:snapToGrid w:val="0"/>
        <w:ind w:left="705" w:hanging="705" w:firstLineChars="0"/>
        <w:jc w:val="left"/>
        <w:rPr>
          <w:rFonts w:hint="eastAsia"/>
          <w:szCs w:val="21"/>
        </w:rPr>
      </w:pPr>
      <w:r>
        <w:rPr>
          <w:rFonts w:hint="eastAsia"/>
          <w:szCs w:val="21"/>
        </w:rPr>
        <w:t>违章考核细则</w:t>
      </w:r>
    </w:p>
    <w:p>
      <w:pPr>
        <w:numPr>
          <w:ilvl w:val="2"/>
          <w:numId w:val="5"/>
        </w:numPr>
        <w:adjustRightInd w:val="0"/>
        <w:snapToGrid w:val="0"/>
        <w:ind w:left="0" w:firstLine="0" w:firstLineChars="0"/>
        <w:jc w:val="left"/>
        <w:rPr>
          <w:rFonts w:hint="eastAsia"/>
          <w:szCs w:val="21"/>
        </w:rPr>
      </w:pPr>
      <w:r>
        <w:rPr>
          <w:rFonts w:hint="eastAsia"/>
          <w:szCs w:val="21"/>
        </w:rPr>
        <w:t>作业性违章</w:t>
      </w:r>
    </w:p>
    <w:p>
      <w:pPr>
        <w:adjustRightInd w:val="0"/>
        <w:snapToGrid w:val="0"/>
        <w:jc w:val="left"/>
        <w:rPr>
          <w:rFonts w:hint="eastAsia"/>
          <w:szCs w:val="21"/>
        </w:rPr>
      </w:pPr>
      <w:r>
        <w:rPr>
          <w:rFonts w:hint="eastAsia"/>
          <w:szCs w:val="21"/>
        </w:rPr>
        <w:t>作业性违章是指在工程设计、施工、生产过程中，不遵守国家、行业、主管单位以及本单位颁发的各项规定、制度及反事故措施，违反保证安全的各项规定、制度、措施及正确的安全作业习惯的一切不安全行为。作业性违章的主体是直接作业人员和作业负责人。具体责任细则见下表。</w:t>
      </w:r>
    </w:p>
    <w:p>
      <w:pPr>
        <w:adjustRightInd w:val="0"/>
        <w:snapToGrid w:val="0"/>
        <w:ind w:firstLine="0" w:firstLineChars="0"/>
        <w:jc w:val="center"/>
        <w:rPr>
          <w:rFonts w:hint="eastAsia"/>
          <w:szCs w:val="21"/>
        </w:rPr>
      </w:pPr>
      <w:r>
        <w:rPr>
          <w:rFonts w:hint="eastAsia"/>
          <w:szCs w:val="21"/>
        </w:rPr>
        <w:t>常见作业性违章责任细则</w:t>
      </w:r>
    </w:p>
    <w:tbl>
      <w:tblPr>
        <w:tblStyle w:val="13"/>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52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34" w:type="dxa"/>
            <w:vAlign w:val="center"/>
          </w:tcPr>
          <w:p>
            <w:pPr>
              <w:autoSpaceDE w:val="0"/>
              <w:autoSpaceDN w:val="0"/>
              <w:adjustRightInd w:val="0"/>
              <w:snapToGrid w:val="0"/>
              <w:spacing w:line="240" w:lineRule="auto"/>
              <w:ind w:firstLine="0" w:firstLineChars="0"/>
              <w:jc w:val="center"/>
              <w:rPr>
                <w:rFonts w:hint="eastAsia"/>
                <w:szCs w:val="21"/>
              </w:rPr>
            </w:pPr>
            <w:r>
              <w:rPr>
                <w:rFonts w:hint="eastAsia"/>
                <w:szCs w:val="21"/>
              </w:rPr>
              <w:t>条款</w:t>
            </w:r>
          </w:p>
        </w:tc>
        <w:tc>
          <w:tcPr>
            <w:tcW w:w="6521" w:type="dxa"/>
            <w:vAlign w:val="center"/>
          </w:tcPr>
          <w:p>
            <w:pPr>
              <w:autoSpaceDE w:val="0"/>
              <w:autoSpaceDN w:val="0"/>
              <w:adjustRightInd w:val="0"/>
              <w:snapToGrid w:val="0"/>
              <w:spacing w:line="240" w:lineRule="auto"/>
              <w:ind w:firstLine="0" w:firstLineChars="0"/>
              <w:jc w:val="center"/>
              <w:rPr>
                <w:rFonts w:hint="eastAsia"/>
                <w:szCs w:val="21"/>
              </w:rPr>
            </w:pPr>
            <w:r>
              <w:rPr>
                <w:rFonts w:hint="eastAsia"/>
                <w:szCs w:val="21"/>
              </w:rPr>
              <w:t>违</w:t>
            </w:r>
            <w:r>
              <w:rPr>
                <w:szCs w:val="21"/>
              </w:rPr>
              <w:t xml:space="preserve">      </w:t>
            </w:r>
            <w:r>
              <w:rPr>
                <w:rFonts w:hint="eastAsia"/>
                <w:szCs w:val="21"/>
              </w:rPr>
              <w:t>章</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rFonts w:hint="eastAsia"/>
                <w:szCs w:val="21"/>
              </w:rPr>
              <w:t>支付违约金金额</w:t>
            </w:r>
          </w:p>
          <w:p>
            <w:pPr>
              <w:autoSpaceDE w:val="0"/>
              <w:autoSpaceDN w:val="0"/>
              <w:adjustRightInd w:val="0"/>
              <w:snapToGrid w:val="0"/>
              <w:spacing w:line="240" w:lineRule="auto"/>
              <w:ind w:firstLine="0" w:firstLineChars="0"/>
              <w:jc w:val="center"/>
              <w:rPr>
                <w:rFonts w:hint="eastAsia"/>
                <w:szCs w:val="21"/>
              </w:rPr>
            </w:pPr>
            <w:r>
              <w:rPr>
                <w:rFonts w:hint="eastAsia"/>
                <w:szCs w:val="21"/>
              </w:rPr>
              <w:t>元</w:t>
            </w:r>
            <w:r>
              <w:rPr>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进入施工现场不戴或不正确佩戴安全帽。</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穿高跟鞋、前后敞露的凉鞋、短裤、裙子、或赤身露体穿背心者进入施工现场。</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饮酒、吸毒后上岗。</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szCs w:val="21"/>
              </w:rPr>
              <w:t>特种作业人员无证上岗</w:t>
            </w:r>
            <w:r>
              <w:rPr>
                <w:rFonts w:hint="eastAsia"/>
                <w:szCs w:val="21"/>
              </w:rPr>
              <w:t>。</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szCs w:val="21"/>
              </w:rPr>
              <w:t>特种作业人员未持证上岗</w:t>
            </w:r>
            <w:r>
              <w:rPr>
                <w:rFonts w:hint="eastAsia"/>
                <w:szCs w:val="21"/>
              </w:rPr>
              <w:t>。</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施工现场追跑、打闹、打架等</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施工现场吸烟。</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在易燃易爆物品旁吸烟。</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随意移动、损坏、拆除安全设施或移作它用。</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未按规定使用安全防护用品（工作服、手套、防护眼镜、面罩、绝缘鞋）。</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使用电动工具金属外壳不接地，不戴绝缘手套。</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使用的手持电动工具（手枪电钻、电动扳手、电锤、手提磨光机、提式砂轮机等）或建筑电动机械（潜水泵、打夯机水、磨石机、无齿锯、木工机械等）未经漏电保护器。</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p>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将电源直接插入插座内使用</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使用其他金属代替熔丝或使用不符合规范要求的熔丝</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kern w:val="13"/>
                <w:szCs w:val="21"/>
              </w:rPr>
              <w:t>临时用电私拉乱接电源，使用不符合规范要求的电缆，未使用施工专用配电箱。</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施工用电源线，电焊机二次接线，经过道路无可靠的保护措施。</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电焊机二次线铜芯裸露，未包扎绝缘。</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在金属容器或坑井内工作时，金属容器无可靠接地，或将行灯变压器带入金属容器或坑井内。</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现场配电箱、盘门不关闭。</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用氧气作为通风的风源或吹风扫衣着。</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高处作业不扎安全带，或未将安全带挂在上方牢固可靠处。</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不按规程、设计要求搭设脚手架。</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在不合格的脚手架或不牢固的构件上工作，无可靠防坠落措施。</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不按规定拆除脚手架，拆除时上下同时作业或脚手架整体推倒。</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高处作业时上、下抛工器具或物件。</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高处作业时工、器具不系保险绳，无防坠落措施。</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高处作业时，施工材料、工器具放在临空面或孔洞附件。</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高处作业切割、焊接的下角料不及时清理，有可能造成高空落物</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氧气、乙炔瓶、压力表损坏继续使用的。</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造成高空落物的。</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在无任何防护的单梁上行走。</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随意拆除已搭好的脚手架、脚手板。高处作业使用单块脚手板或不绑扎脚手板。</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在高处平台、孔洞边缘、安全网内休息或倚坐栏杆。</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擅自拆除上下爬梯、孔洞盖板栏杆、隔离层、或拆除上述设施不设明显警告标志并及时恢复的。</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使用不规范的梯子、两个人在梯子上工作或站在最高两档上。</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上下梯子时面部朝外或手拿工具，器材等。</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站在石棉瓦、油毡、苇席等轻型简易结构的屋面上施工。</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凭借管道、栏杆、脚手架或瓷件起吊物件。</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擅自穿越安全警戒区。</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施工中不走安全通道、爬斜梁或沿脚手架、绳索、栏杆、吊车臂、上料提升架的结构及墙体、支柱上下攀登。</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搭乘载货吊笼。</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吊物捆绑，吊装方法不当，在吊物上堆放、悬挂零星物件。</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指挥信号不明、重量不明起吊</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指挥只用手势不用信号起吊。</w:t>
            </w:r>
            <w:r>
              <w:rPr>
                <w:szCs w:val="21"/>
              </w:rPr>
              <w:t xml:space="preserve"> </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起吊超过额定负荷的吊物且无措施。</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吊车吊物直接进行加工。</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起重作业时歪拉、斜吊。</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物件上站人或物件上附有活动物时起吊。</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起吊或吊挂物体时受力钢丝绳的棱角处不加保护角的。</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氧气、乙炔瓶等易燃、易爆危险品无安全措施起吊。</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使用倒链的起重链直接缠绕吊物。</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起吊埋在地下的不明物。</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起吊钢板、管子等较长易滑构件时，未采用兜吊的方式。</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起吊大件或不规则组件时，未栓牢固的溜绳。</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kern w:val="13"/>
                <w:szCs w:val="21"/>
              </w:rPr>
              <w:t>吊装作业未按规定设置作业警戒区。</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kern w:val="13"/>
                <w:szCs w:val="21"/>
              </w:rPr>
              <w:t>吊装作业警戒区未设专人监护。</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跨越或手扶正在运行的卷扬机及设备的钢丝绳。</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将双链条葫芦拆改成单链条使用。</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操作链条葫芦时，操作者站在葫芦的正下方。</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拖拉机，翻斗车、三轮车、四轮车等违章带人。</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转动机械的操作人员在工作时戴手套作业。</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使用砂龙机、车、钳、钻等机械不戴防护眼镜，使用无齿锯不戴面罩。</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运行中将转动的机械防护罩打开，将手伸入遮拦内，戴手套或用抹布、绵纱对转动部分进行清扫或检查维修等。</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在机械的转传动部分的保护罩上坐、立、行走，或用手触摸运转中机械的转动、传动、滑到部分及旋转中的工件。</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使用卷板时，板上站人。</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电梯运行时电梯门关闭不严。</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施工电梯平台安全门不关闭</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施工电梯超载或人货混装。</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打锤时戴手套或挥动方向对着人。</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进入易燃、易爆区的机动车辆排气管未加防火罩。</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未及时关闭氧气、乙炔阀门就离开工作岗位。</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各类气瓶未装减压器直接使用，使用乙炔瓶不装设专用的减压器、回火防止器。</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氧气、乙炔瓶之间的距离小于</w:t>
            </w:r>
            <w:r>
              <w:rPr>
                <w:szCs w:val="21"/>
              </w:rPr>
              <w:t>5米，气瓶距离明火的距离小于10米。</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氧气、乙炔皮管混用。</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高处电、火焊作业，对下方的设备不采取防火隔离措施。</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将点燃的焊、割矩挂在工件上或放在地面上或当照明用。</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随意损坏消防器材或移作它用。</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施工现场明火取暖者。</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压力容器，锅炉水压试验升压过程中，在承压部件上作业。</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对有压力、带油、充油的容器施焊，或未采取措施对盛过油的容器施焊。</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焊接，切割工作前未清理周围的易燃物，工作结束后，未检查清理遗留物，留下火种。</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塔吊、龙门吊车工作完毕，吊车司机离开操作室，不切断电源、不缩紧夹轨钳和锚定装置等。</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各种机动车辆超速行驶。</w:t>
            </w:r>
            <w:r>
              <w:rPr>
                <w:szCs w:val="21"/>
              </w:rPr>
              <w:t xml:space="preserve"> </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违章作业不听安检员劝阻，无理取闹，甚至刁难、辱骂、殴打安监人员。</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在易燃物品及主要设备上方进行焊接，下方无监护人，未采取防火等安全措施。</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设备、系统运行值班人员不按照要求巡视，运行日志填写不全或弄虚作假。</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szCs w:val="21"/>
              </w:rPr>
              <w:t>余热利用系统</w:t>
            </w:r>
            <w:r>
              <w:rPr>
                <w:rFonts w:hint="eastAsia"/>
                <w:szCs w:val="21"/>
              </w:rPr>
              <w:t>、</w:t>
            </w:r>
            <w:r>
              <w:rPr>
                <w:szCs w:val="21"/>
              </w:rPr>
              <w:t>锅炉房值班员脱岗</w:t>
            </w:r>
            <w:r>
              <w:rPr>
                <w:rFonts w:hint="eastAsia"/>
                <w:szCs w:val="21"/>
              </w:rPr>
              <w:t>。</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3"/>
                <w:numId w:val="5"/>
              </w:numPr>
              <w:adjustRightInd w:val="0"/>
              <w:snapToGrid w:val="0"/>
              <w:ind w:left="0" w:firstLine="0" w:firstLineChars="0"/>
              <w:jc w:val="left"/>
              <w:rPr>
                <w:rFonts w:hint="eastAsia"/>
                <w:szCs w:val="21"/>
              </w:rPr>
            </w:pPr>
          </w:p>
        </w:tc>
        <w:tc>
          <w:tcPr>
            <w:tcW w:w="6521" w:type="dxa"/>
          </w:tcPr>
          <w:p>
            <w:pPr>
              <w:autoSpaceDE w:val="0"/>
              <w:autoSpaceDN w:val="0"/>
              <w:adjustRightInd w:val="0"/>
              <w:snapToGrid w:val="0"/>
              <w:spacing w:line="240" w:lineRule="auto"/>
              <w:ind w:firstLine="0" w:firstLineChars="0"/>
              <w:rPr>
                <w:rFonts w:hint="eastAsia"/>
                <w:szCs w:val="21"/>
              </w:rPr>
            </w:pPr>
            <w:r>
              <w:rPr>
                <w:rFonts w:hint="eastAsia"/>
                <w:szCs w:val="21"/>
              </w:rPr>
              <w:t>其他违章行为视情节严重程度处罚。</w:t>
            </w:r>
          </w:p>
        </w:tc>
        <w:tc>
          <w:tcPr>
            <w:tcW w:w="1270"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200-1000</w:t>
            </w:r>
          </w:p>
        </w:tc>
      </w:tr>
    </w:tbl>
    <w:p>
      <w:pPr>
        <w:numPr>
          <w:ilvl w:val="2"/>
          <w:numId w:val="5"/>
        </w:numPr>
        <w:ind w:left="0" w:leftChars="-3" w:hanging="6" w:hangingChars="3"/>
        <w:rPr>
          <w:rFonts w:hint="eastAsia"/>
          <w:szCs w:val="21"/>
        </w:rPr>
      </w:pPr>
      <w:r>
        <w:rPr>
          <w:rFonts w:hint="eastAsia"/>
          <w:szCs w:val="21"/>
        </w:rPr>
        <w:t>装置性违章</w:t>
      </w:r>
    </w:p>
    <w:p>
      <w:pPr>
        <w:rPr>
          <w:rFonts w:hint="eastAsia"/>
          <w:szCs w:val="21"/>
        </w:rPr>
      </w:pPr>
      <w:r>
        <w:rPr>
          <w:rFonts w:hint="eastAsia"/>
          <w:szCs w:val="21"/>
        </w:rPr>
        <w:t>装置性违章是指工作现场的环境、设备、设施及工器具不符合国家、行业、主管单位以及本单位的有关规定、反事故措施和各项安全技术措施的要求，不能保证人身和设备安全的一切不安全状态。装置性违章的主体是设备主人和专业技术人员。</w:t>
      </w:r>
      <w:r>
        <w:rPr>
          <w:szCs w:val="21"/>
        </w:rPr>
        <w:t>具体</w:t>
      </w:r>
      <w:r>
        <w:rPr>
          <w:rFonts w:hint="eastAsia"/>
          <w:szCs w:val="21"/>
        </w:rPr>
        <w:t>责任细则见下表。</w:t>
      </w:r>
    </w:p>
    <w:p>
      <w:pPr>
        <w:jc w:val="center"/>
        <w:rPr>
          <w:rFonts w:hint="eastAsia"/>
          <w:szCs w:val="21"/>
        </w:rPr>
      </w:pPr>
      <w:r>
        <w:rPr>
          <w:rFonts w:hint="eastAsia"/>
          <w:szCs w:val="21"/>
        </w:rPr>
        <w:t>常见装置性违章责任细则</w:t>
      </w:r>
    </w:p>
    <w:tbl>
      <w:tblPr>
        <w:tblStyle w:val="1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619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autoSpaceDE w:val="0"/>
              <w:autoSpaceDN w:val="0"/>
              <w:adjustRightInd w:val="0"/>
              <w:snapToGrid w:val="0"/>
              <w:spacing w:line="240" w:lineRule="auto"/>
              <w:ind w:firstLine="0" w:firstLineChars="0"/>
              <w:jc w:val="center"/>
              <w:rPr>
                <w:rFonts w:hint="eastAsia"/>
                <w:szCs w:val="21"/>
              </w:rPr>
            </w:pPr>
            <w:r>
              <w:rPr>
                <w:rFonts w:hint="eastAsia"/>
                <w:szCs w:val="21"/>
              </w:rPr>
              <w:t>条款</w:t>
            </w:r>
          </w:p>
        </w:tc>
        <w:tc>
          <w:tcPr>
            <w:tcW w:w="6192" w:type="dxa"/>
            <w:vAlign w:val="center"/>
          </w:tcPr>
          <w:p>
            <w:pPr>
              <w:autoSpaceDE w:val="0"/>
              <w:autoSpaceDN w:val="0"/>
              <w:adjustRightInd w:val="0"/>
              <w:snapToGrid w:val="0"/>
              <w:spacing w:line="240" w:lineRule="auto"/>
              <w:ind w:firstLine="0" w:firstLineChars="0"/>
              <w:jc w:val="center"/>
              <w:rPr>
                <w:rFonts w:hint="eastAsia"/>
                <w:szCs w:val="21"/>
              </w:rPr>
            </w:pPr>
            <w:r>
              <w:rPr>
                <w:rFonts w:hint="eastAsia"/>
                <w:szCs w:val="21"/>
              </w:rPr>
              <w:t>违</w:t>
            </w:r>
            <w:r>
              <w:rPr>
                <w:szCs w:val="21"/>
              </w:rPr>
              <w:t xml:space="preserve">       </w:t>
            </w:r>
            <w:r>
              <w:rPr>
                <w:rFonts w:hint="eastAsia"/>
                <w:szCs w:val="21"/>
              </w:rPr>
              <w:t>章</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rFonts w:hint="eastAsia"/>
                <w:szCs w:val="21"/>
              </w:rPr>
              <w:t>支付违约金金额</w:t>
            </w:r>
          </w:p>
          <w:p>
            <w:pPr>
              <w:autoSpaceDE w:val="0"/>
              <w:autoSpaceDN w:val="0"/>
              <w:adjustRightInd w:val="0"/>
              <w:snapToGrid w:val="0"/>
              <w:spacing w:line="240" w:lineRule="auto"/>
              <w:ind w:firstLine="0" w:firstLineChars="0"/>
              <w:jc w:val="center"/>
              <w:rPr>
                <w:rFonts w:hint="eastAsia"/>
                <w:szCs w:val="21"/>
              </w:rPr>
            </w:pPr>
            <w:r>
              <w:rPr>
                <w:rFonts w:hint="eastAsia"/>
                <w:szCs w:val="21"/>
              </w:rPr>
              <w:t>元</w:t>
            </w:r>
            <w:r>
              <w:rPr>
                <w:szCs w:val="21"/>
              </w:rPr>
              <w:t>/项次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使用非标准开关柜、配电盘（箱），其结构不坚固、不具备防火、防雨功能。</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盘内配线绝缘不好或盘面操作部位有带电体裸露，或导线连接不牢固。</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配电盘（箱）或开关柜放置地点不平整或无防水淹的措施。</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szCs w:val="21"/>
              </w:rPr>
              <w:t>2至4级盘、流动电源箱无漏电保护器，或使用不合格的流动电源箱、接线板。</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施工用电运行及维护未配备足够的、合格的绝缘工具或电气安装工器具绝缘工具未按规定进行定期试验。</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施工变压器低压侧中性点直接接地系统，未采用工作零线与保护零线分开的接零保护，或同一系统中的电气设备，一部分采用接地保护，另一部分采用接零保护。</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接地网电阻不合格。</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电气设备外壳未按规定进行接零或接地保护。</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利用管道、构筑物金属构架、电气线路的工作零线作为接地线或接零线用。</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高度在</w:t>
            </w:r>
            <w:r>
              <w:rPr>
                <w:szCs w:val="21"/>
              </w:rPr>
              <w:t>20m及以上的金属构架、机具、烟囱、水塔等未装设防雷设施。</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在金属容器、管道内、潮湿的地方使用行灯电压大于</w:t>
            </w:r>
            <w:r>
              <w:rPr>
                <w:szCs w:val="21"/>
              </w:rPr>
              <w:t>12V。</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在容器内施焊时，容器外未设专人看护。</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在电缆沟、隧道、夹层、钢烟道内工作时不使用安全电压行灯照明，或行灯电压超过</w:t>
            </w:r>
            <w:r>
              <w:rPr>
                <w:szCs w:val="21"/>
              </w:rPr>
              <w:t>36V。</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用</w:t>
            </w:r>
            <w:r>
              <w:rPr>
                <w:szCs w:val="21"/>
              </w:rPr>
              <w:t>220V临时照明作为行灯使用，或在炉膛内使用220V临时性固定灯具未装设漏电保护器。</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一个开关箱控制两台及以上电动设备。</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电焊机、卷扬机等小型施工机械无可靠防雨设施。</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低压电器（用电）设备绝缘不良或连接导线破损。</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电源线及馈线敷设、布置不规则、绝缘不良或过通道无保护措施。</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变配电室（箱柜）未加锁、无警告标志、未设干粉灭火器。盘柜内负荷回路无标识。</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脚手架搭设后未经使用部门验收合格未挂牌即投入使用。</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脚手架未按规定搭设，或架体不稳固。</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脚手板有虫蚀、断裂现象或强度不够，质量不满足高空作业要求。</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脚手板未满铺，有空隙和有探头板。或脚手板未邦扎牢固。</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脚手架未按规定设置施工人员通道和斜道。</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斜道板、跳板、滑板条不符合规定。</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脚手架外侧、斜道和平台未按规定设置防护护栏、挡脚板、安全网。</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高处危险作业的下方未拉设牢固的安全网。</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防护隔离层、安全网搭设的不牢固、不可靠。</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施工现场、高处作业区域的孔洞无牢固盖板或围栏及挡脚板。</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深沟、深坑四周无安全警戒线、围栏或夜间无警告红灯。</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夜间施工或炉膛内作业照明不足。</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高处交叉作业、拆除工程等危险作业、四周无安全警戒线和专人监护。</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脚手架堆放的物品超过其承载能力，</w:t>
            </w:r>
            <w:r>
              <w:rPr>
                <w:szCs w:val="21"/>
              </w:rPr>
              <w:t>270kg/㎡。</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高处作业临空面未设防护栏杆和挡脚板。</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安全设施损坏或有缺陷未及时组织维护、更换。</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起重、升降设备安装投入使用前未进行企业自检或未做负荷试验。</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起重、升降设备安装投入使用前未经有关部门检验并取得安全准用证。</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起重机械基础、轨道、构架、拖动设备不符合规程要求。</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起重、升降设备吊索、钓钩、滑轮、导向轮、电梯导轨、吊笼等不符合安规要求。</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起重机械制动、限位、限重、信号装置、显示装置、保护装置失灵或有缺陷。</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起重、升降设备未按规程要求做定期检验。</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吊挂的重物在空中停留时间较长，未将葫芦的手拉链栓在起重链上，并在重物上加保险绳。</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机具的转动部分及牙口、刃口等尖锐部分未装设防护罩或遮拦。</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机具的监控仪表及安全装置不齐全或以损坏。</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机具已变行、以损坏或技术状况不符合安规要求。</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易燃、易爆区、重点防火区，消防器材配备不全，不符合消防规程的要求，无警示标志。</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重点防火区或消防及疏散通道不通畅。</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易燃、易爆区域未使用防爆电器。</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办公室、职工宿舍内存放有易燃易爆物品。</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消防器材不定期检查。</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生产、生活临建的建筑不符合防火要求，或生产与生活区，厨房与生活区未分开。</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在有粉尘、有害气体的室内、人工挖孔桩井内、容器内工作，未设置防尘或通风装置。</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运输车辆无行车证或无安全检验证，无证人员驾驶车辆。</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设备安全保护装置不完好，没有及时修复，继续投入使用。</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numPr>
                <w:ilvl w:val="3"/>
                <w:numId w:val="5"/>
              </w:numPr>
              <w:adjustRightInd w:val="0"/>
              <w:snapToGrid w:val="0"/>
              <w:ind w:left="0" w:firstLine="0" w:firstLineChars="0"/>
              <w:jc w:val="left"/>
              <w:rPr>
                <w:rFonts w:hint="eastAsia"/>
                <w:szCs w:val="21"/>
              </w:rPr>
            </w:pPr>
          </w:p>
        </w:tc>
        <w:tc>
          <w:tcPr>
            <w:tcW w:w="6192"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其他装置性违章视情节严重程度处罚。</w:t>
            </w:r>
          </w:p>
        </w:tc>
        <w:tc>
          <w:tcPr>
            <w:tcW w:w="1296"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200-1000</w:t>
            </w:r>
          </w:p>
        </w:tc>
      </w:tr>
    </w:tbl>
    <w:p>
      <w:pPr>
        <w:numPr>
          <w:ilvl w:val="2"/>
          <w:numId w:val="5"/>
        </w:numPr>
        <w:ind w:left="0" w:leftChars="-3" w:hanging="6" w:hangingChars="3"/>
        <w:rPr>
          <w:rFonts w:hint="eastAsia"/>
          <w:szCs w:val="21"/>
        </w:rPr>
      </w:pPr>
      <w:r>
        <w:rPr>
          <w:rFonts w:hint="eastAsia"/>
          <w:szCs w:val="21"/>
        </w:rPr>
        <w:t>指挥性违章</w:t>
      </w:r>
    </w:p>
    <w:p>
      <w:pPr>
        <w:rPr>
          <w:rFonts w:hint="eastAsia"/>
          <w:szCs w:val="21"/>
        </w:rPr>
      </w:pPr>
      <w:r>
        <w:rPr>
          <w:rFonts w:hint="eastAsia"/>
          <w:szCs w:val="21"/>
        </w:rPr>
        <w:t>指挥性违章是指违反国家、行业、上级主管单位以及本单位颁发的技术规程、标准、条例和安全技术措施，进行劳动组织与指挥的行为。指挥性违章的主体是生产指挥人员，包括：各级领导、工作票签发人、工作负责人、工作许可人、施工负责人。</w:t>
      </w:r>
      <w:r>
        <w:rPr>
          <w:szCs w:val="21"/>
        </w:rPr>
        <w:t>具体</w:t>
      </w:r>
      <w:r>
        <w:rPr>
          <w:rFonts w:hint="eastAsia"/>
          <w:szCs w:val="21"/>
        </w:rPr>
        <w:t>责任细则见下表。</w:t>
      </w:r>
    </w:p>
    <w:p>
      <w:pPr>
        <w:autoSpaceDE w:val="0"/>
        <w:autoSpaceDN w:val="0"/>
        <w:adjustRightInd w:val="0"/>
        <w:snapToGrid w:val="0"/>
        <w:ind w:firstLine="0" w:firstLineChars="0"/>
        <w:jc w:val="center"/>
        <w:rPr>
          <w:rFonts w:hint="eastAsia"/>
          <w:szCs w:val="21"/>
        </w:rPr>
      </w:pPr>
    </w:p>
    <w:p>
      <w:pPr>
        <w:jc w:val="center"/>
        <w:rPr>
          <w:rFonts w:hint="eastAsia"/>
          <w:szCs w:val="21"/>
        </w:rPr>
      </w:pPr>
      <w:r>
        <w:rPr>
          <w:rFonts w:hint="eastAsia"/>
          <w:szCs w:val="21"/>
        </w:rPr>
        <w:t>常见指挥性违章责任细则</w:t>
      </w:r>
    </w:p>
    <w:tbl>
      <w:tblPr>
        <w:tblStyle w:val="13"/>
        <w:tblW w:w="8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37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59" w:type="dxa"/>
            <w:vAlign w:val="center"/>
          </w:tcPr>
          <w:p>
            <w:pPr>
              <w:spacing w:line="240" w:lineRule="auto"/>
              <w:ind w:firstLine="0" w:firstLineChars="0"/>
              <w:jc w:val="center"/>
              <w:rPr>
                <w:rFonts w:hint="eastAsia"/>
                <w:szCs w:val="21"/>
              </w:rPr>
            </w:pPr>
            <w:r>
              <w:rPr>
                <w:rFonts w:hint="eastAsia"/>
                <w:szCs w:val="21"/>
              </w:rPr>
              <w:t>条款</w:t>
            </w:r>
          </w:p>
        </w:tc>
        <w:tc>
          <w:tcPr>
            <w:tcW w:w="6379" w:type="dxa"/>
            <w:vAlign w:val="center"/>
          </w:tcPr>
          <w:p>
            <w:pPr>
              <w:spacing w:line="240" w:lineRule="auto"/>
              <w:ind w:firstLine="0" w:firstLineChars="0"/>
              <w:jc w:val="center"/>
              <w:rPr>
                <w:rFonts w:hint="eastAsia"/>
                <w:szCs w:val="21"/>
              </w:rPr>
            </w:pPr>
            <w:r>
              <w:rPr>
                <w:rFonts w:hint="eastAsia"/>
                <w:szCs w:val="21"/>
              </w:rPr>
              <w:t>违</w:t>
            </w:r>
            <w:r>
              <w:rPr>
                <w:szCs w:val="21"/>
              </w:rPr>
              <w:t xml:space="preserve">       </w:t>
            </w:r>
            <w:r>
              <w:rPr>
                <w:rFonts w:hint="eastAsia"/>
                <w:szCs w:val="21"/>
              </w:rPr>
              <w:t>章</w:t>
            </w:r>
          </w:p>
        </w:tc>
        <w:tc>
          <w:tcPr>
            <w:tcW w:w="1417" w:type="dxa"/>
            <w:vAlign w:val="center"/>
          </w:tcPr>
          <w:p>
            <w:pPr>
              <w:spacing w:line="240" w:lineRule="auto"/>
              <w:ind w:firstLine="0" w:firstLineChars="0"/>
              <w:jc w:val="center"/>
              <w:rPr>
                <w:rFonts w:hint="eastAsia"/>
                <w:szCs w:val="21"/>
              </w:rPr>
            </w:pPr>
            <w:r>
              <w:rPr>
                <w:rFonts w:hint="eastAsia"/>
                <w:szCs w:val="21"/>
              </w:rPr>
              <w:t>支付违约金金额</w:t>
            </w:r>
          </w:p>
          <w:p>
            <w:pPr>
              <w:spacing w:line="240" w:lineRule="auto"/>
              <w:ind w:firstLine="0" w:firstLineChars="0"/>
              <w:jc w:val="center"/>
              <w:rPr>
                <w:rFonts w:hint="eastAsia"/>
                <w:szCs w:val="21"/>
              </w:rPr>
            </w:pPr>
            <w:r>
              <w:rPr>
                <w:rFonts w:hint="eastAsia"/>
                <w:szCs w:val="21"/>
              </w:rPr>
              <w:t>元</w:t>
            </w:r>
            <w:r>
              <w:rPr>
                <w:szCs w:val="21"/>
              </w:rPr>
              <w:t>/项次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允许、批准未经安全培训并考试合格的人员，从事生产工作。</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工作票上的安全措施与现场实际不符，或安全措施不完善，不能保证从事工作人员、设备的安全，继续作业。</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违反规程、规定，越权指挥运行操作和事故处理。</w:t>
            </w:r>
          </w:p>
        </w:tc>
        <w:tc>
          <w:tcPr>
            <w:tcW w:w="1417" w:type="dxa"/>
            <w:vAlign w:val="center"/>
          </w:tcPr>
          <w:p>
            <w:pPr>
              <w:autoSpaceDE w:val="0"/>
              <w:autoSpaceDN w:val="0"/>
              <w:adjustRightInd w:val="0"/>
              <w:snapToGrid w:val="0"/>
              <w:spacing w:line="240" w:lineRule="auto"/>
              <w:ind w:firstLine="0" w:firstLineChars="0"/>
              <w:rPr>
                <w:rFonts w:hint="eastAsia"/>
                <w:szCs w:val="21"/>
              </w:rPr>
            </w:pPr>
            <w:r>
              <w:rPr>
                <w:szCs w:val="21"/>
              </w:rPr>
              <w:t>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允许批准购置未经国家指定机构鉴定和检测合格的安全工器具</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领导者职责范围不清，该指挥的不指挥，不该指挥的插手指挥或越权指挥。</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在易燃、易爆区周围动火，未办理动火工作票，或作业未进行监护，施工负责人就组织施工。</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现场施工负责人擅自更改经批准的安全措施、技术措施或安全施工作业票指挥作业。</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发布违反有关安全生产法令，法规和规章制度的命令，违章指挥施工。</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无视安监部门、安监人员的提示，未及时消除事故隐患，继续组织施工。</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安排或默认六级及以上大风或恶劣天气时进行高空作业。</w:t>
            </w:r>
            <w:r>
              <w:rPr>
                <w:szCs w:val="21"/>
              </w:rPr>
              <w:t xml:space="preserve"> </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霜冻、雨雪天气进行高空作业无防滑、防摔跌措施，安排或默认员工作业。</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安排或默认以下作业：工作点风力达五级进行受风面积大的起吊作业；风力达六级以上时的起吊作业；遇到大雪、大雾、雷雨等恶劣天气，或照明不足，指挥人员看不清工作地点，操作人员看不清指挥信号时进行起吊作业。</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安排不具备特种作业资格人员进行特种作业。</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安排或默认不具备相关安全知识，不会使用消防器材的人员在易燃易、爆区工作。</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违反职业禁忌症的有关规定，安排不符合身体健康要求的人员上岗。</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不顾职工身体实际状况，强令工人加班、加点超符合劳动。</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3"/>
                <w:numId w:val="5"/>
              </w:numPr>
              <w:adjustRightInd w:val="0"/>
              <w:snapToGrid w:val="0"/>
              <w:ind w:left="0" w:firstLine="0" w:firstLineChars="0"/>
              <w:jc w:val="left"/>
              <w:rPr>
                <w:rFonts w:hint="eastAsia"/>
                <w:szCs w:val="21"/>
              </w:rPr>
            </w:pPr>
          </w:p>
        </w:tc>
        <w:tc>
          <w:tcPr>
            <w:tcW w:w="6379"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其它强令职工违章、冒险作业，允许、默认设备带病运行的，视情节轻重处罚。</w:t>
            </w:r>
          </w:p>
        </w:tc>
        <w:tc>
          <w:tcPr>
            <w:tcW w:w="1417"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500-3000</w:t>
            </w:r>
          </w:p>
        </w:tc>
      </w:tr>
    </w:tbl>
    <w:p>
      <w:pPr>
        <w:numPr>
          <w:ilvl w:val="2"/>
          <w:numId w:val="5"/>
        </w:numPr>
        <w:ind w:left="0" w:leftChars="-3" w:hanging="6" w:hangingChars="3"/>
        <w:rPr>
          <w:rFonts w:hint="eastAsia"/>
          <w:szCs w:val="21"/>
        </w:rPr>
      </w:pPr>
      <w:r>
        <w:rPr>
          <w:rFonts w:hint="eastAsia"/>
          <w:szCs w:val="21"/>
        </w:rPr>
        <w:t>管理性违章</w:t>
      </w:r>
    </w:p>
    <w:p>
      <w:pPr>
        <w:rPr>
          <w:rFonts w:hint="eastAsia"/>
          <w:szCs w:val="21"/>
        </w:rPr>
      </w:pPr>
      <w:r>
        <w:rPr>
          <w:rFonts w:hint="eastAsia"/>
          <w:szCs w:val="21"/>
        </w:rPr>
        <w:t>管理性违章是指从事工程设计、施工、物资、生产工作的各级行政、技术管理人员，不按国家、行业、主管单位颁发的有关规程、规定、反事故措施和安全技术措施，结合本单位、本部门实际制定有关规程、制度、措施并组织实施的行为。管理性违章的主体是负责制定和落实规程、制度的管理人员。</w:t>
      </w:r>
      <w:r>
        <w:rPr>
          <w:szCs w:val="21"/>
        </w:rPr>
        <w:t>具体</w:t>
      </w:r>
      <w:r>
        <w:rPr>
          <w:rFonts w:hint="eastAsia"/>
          <w:szCs w:val="21"/>
        </w:rPr>
        <w:t>责任细则见下表。</w:t>
      </w:r>
    </w:p>
    <w:p>
      <w:pPr>
        <w:autoSpaceDE w:val="0"/>
        <w:autoSpaceDN w:val="0"/>
        <w:adjustRightInd w:val="0"/>
        <w:snapToGrid w:val="0"/>
        <w:jc w:val="left"/>
        <w:rPr>
          <w:rFonts w:hint="eastAsia"/>
          <w:szCs w:val="21"/>
        </w:rPr>
      </w:pPr>
    </w:p>
    <w:p>
      <w:pPr>
        <w:jc w:val="center"/>
        <w:rPr>
          <w:rFonts w:hint="eastAsia"/>
          <w:szCs w:val="21"/>
        </w:rPr>
      </w:pPr>
      <w:r>
        <w:rPr>
          <w:rFonts w:hint="eastAsia"/>
          <w:szCs w:val="21"/>
        </w:rPr>
        <w:t>常见管理性违章责任细则</w:t>
      </w:r>
    </w:p>
    <w:tbl>
      <w:tblPr>
        <w:tblStyle w:val="13"/>
        <w:tblW w:w="87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37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7" w:type="dxa"/>
            <w:vAlign w:val="center"/>
          </w:tcPr>
          <w:p>
            <w:pPr>
              <w:spacing w:line="240" w:lineRule="auto"/>
              <w:ind w:firstLine="0" w:firstLineChars="0"/>
              <w:jc w:val="center"/>
              <w:rPr>
                <w:rFonts w:hint="eastAsia"/>
                <w:szCs w:val="21"/>
              </w:rPr>
            </w:pPr>
            <w:r>
              <w:rPr>
                <w:rFonts w:hint="eastAsia"/>
                <w:szCs w:val="21"/>
              </w:rPr>
              <w:t>条款</w:t>
            </w:r>
          </w:p>
        </w:tc>
        <w:tc>
          <w:tcPr>
            <w:tcW w:w="6371" w:type="dxa"/>
            <w:vAlign w:val="center"/>
          </w:tcPr>
          <w:p>
            <w:pPr>
              <w:spacing w:line="240" w:lineRule="auto"/>
              <w:ind w:firstLine="0" w:firstLineChars="0"/>
              <w:jc w:val="center"/>
              <w:rPr>
                <w:rFonts w:hint="eastAsia"/>
                <w:szCs w:val="21"/>
              </w:rPr>
            </w:pPr>
            <w:r>
              <w:rPr>
                <w:rFonts w:hint="eastAsia"/>
                <w:szCs w:val="21"/>
              </w:rPr>
              <w:t>违</w:t>
            </w:r>
            <w:r>
              <w:rPr>
                <w:szCs w:val="21"/>
              </w:rPr>
              <w:t xml:space="preserve">       </w:t>
            </w:r>
            <w:r>
              <w:rPr>
                <w:rFonts w:hint="eastAsia"/>
                <w:szCs w:val="21"/>
              </w:rPr>
              <w:t>章</w:t>
            </w:r>
          </w:p>
        </w:tc>
        <w:tc>
          <w:tcPr>
            <w:tcW w:w="1429" w:type="dxa"/>
            <w:vAlign w:val="center"/>
          </w:tcPr>
          <w:p>
            <w:pPr>
              <w:spacing w:line="240" w:lineRule="auto"/>
              <w:ind w:firstLine="0" w:firstLineChars="0"/>
              <w:jc w:val="center"/>
              <w:rPr>
                <w:rFonts w:hint="eastAsia"/>
                <w:szCs w:val="21"/>
              </w:rPr>
            </w:pPr>
            <w:r>
              <w:rPr>
                <w:rFonts w:hint="eastAsia"/>
                <w:szCs w:val="21"/>
              </w:rPr>
              <w:t>支付违约金金额</w:t>
            </w:r>
          </w:p>
          <w:p>
            <w:pPr>
              <w:spacing w:line="240" w:lineRule="auto"/>
              <w:ind w:firstLine="0" w:firstLineChars="0"/>
              <w:jc w:val="center"/>
              <w:rPr>
                <w:rFonts w:hint="eastAsia"/>
                <w:szCs w:val="21"/>
              </w:rPr>
            </w:pPr>
            <w:r>
              <w:rPr>
                <w:rFonts w:hint="eastAsia"/>
                <w:szCs w:val="21"/>
              </w:rPr>
              <w:t>元</w:t>
            </w:r>
            <w:r>
              <w:rPr>
                <w:szCs w:val="21"/>
              </w:rPr>
              <w:t>/项次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未按照《安全生产法》、承包合同、安全生产管理协议的规定要求，</w:t>
            </w:r>
            <w:r>
              <w:rPr>
                <w:szCs w:val="21"/>
              </w:rPr>
              <w:t>设置安全生产管理机构</w:t>
            </w:r>
            <w:r>
              <w:rPr>
                <w:rFonts w:hint="eastAsia"/>
                <w:szCs w:val="21"/>
              </w:rPr>
              <w:t>、</w:t>
            </w:r>
            <w:r>
              <w:rPr>
                <w:szCs w:val="21"/>
              </w:rPr>
              <w:t>配备专职或兼职安全生产管理人员的</w:t>
            </w:r>
            <w:r>
              <w:rPr>
                <w:rFonts w:hint="eastAsia"/>
                <w:szCs w:val="21"/>
              </w:rPr>
              <w:t>。</w:t>
            </w:r>
          </w:p>
        </w:tc>
        <w:tc>
          <w:tcPr>
            <w:tcW w:w="1429" w:type="dxa"/>
            <w:vAlign w:val="center"/>
          </w:tcPr>
          <w:p>
            <w:pPr>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专职安全员、监理未每天深入施工现场检查、监督，未对违章的单位和个人给予处罚。</w:t>
            </w:r>
          </w:p>
        </w:tc>
        <w:tc>
          <w:tcPr>
            <w:tcW w:w="1429" w:type="dxa"/>
            <w:vAlign w:val="center"/>
          </w:tcPr>
          <w:p>
            <w:pPr>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违反施工承包合同规定的分包范围，未经建设单位同意私自进行工程分包。</w:t>
            </w:r>
          </w:p>
        </w:tc>
        <w:tc>
          <w:tcPr>
            <w:tcW w:w="1429" w:type="dxa"/>
            <w:vAlign w:val="center"/>
          </w:tcPr>
          <w:p>
            <w:pPr>
              <w:autoSpaceDE w:val="0"/>
              <w:autoSpaceDN w:val="0"/>
              <w:spacing w:line="240" w:lineRule="auto"/>
              <w:ind w:firstLine="0" w:firstLineChars="0"/>
              <w:jc w:val="center"/>
              <w:rPr>
                <w:rFonts w:hint="eastAsia"/>
                <w:szCs w:val="21"/>
              </w:rPr>
            </w:pPr>
            <w:r>
              <w:rPr>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招用未经资质审查或审查不合格的分包工队，违反《电力建设施工管理规定》将工程分包给不具备相应资质的队伍。</w:t>
            </w:r>
          </w:p>
        </w:tc>
        <w:tc>
          <w:tcPr>
            <w:tcW w:w="1429" w:type="dxa"/>
            <w:vAlign w:val="center"/>
          </w:tcPr>
          <w:p>
            <w:pPr>
              <w:autoSpaceDE w:val="0"/>
              <w:autoSpaceDN w:val="0"/>
              <w:spacing w:line="240" w:lineRule="auto"/>
              <w:ind w:firstLine="0" w:firstLineChars="0"/>
              <w:jc w:val="center"/>
              <w:rPr>
                <w:rFonts w:hint="eastAsia"/>
                <w:szCs w:val="21"/>
              </w:rPr>
            </w:pPr>
            <w:r>
              <w:rPr>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总承包单位未将分包单位、包工队纳入本单位的直接安全管理。</w:t>
            </w:r>
          </w:p>
        </w:tc>
        <w:tc>
          <w:tcPr>
            <w:tcW w:w="1429" w:type="dxa"/>
            <w:vAlign w:val="center"/>
          </w:tcPr>
          <w:p>
            <w:pPr>
              <w:autoSpaceDE w:val="0"/>
              <w:autoSpaceDN w:val="0"/>
              <w:spacing w:line="240" w:lineRule="auto"/>
              <w:ind w:firstLine="0" w:firstLineChars="0"/>
              <w:jc w:val="center"/>
              <w:rPr>
                <w:rFonts w:hint="eastAsia"/>
                <w:szCs w:val="21"/>
              </w:rPr>
            </w:pPr>
            <w:r>
              <w:rPr>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危险性较大的分部分项工程施工前未编制专项方案或超过一定规模的，施工单位未组织专家进行论证。</w:t>
            </w:r>
          </w:p>
        </w:tc>
        <w:tc>
          <w:tcPr>
            <w:tcW w:w="1429" w:type="dxa"/>
            <w:vAlign w:val="center"/>
          </w:tcPr>
          <w:p>
            <w:pPr>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危险性较大的分部分项工程专项方案施工部门技术、安全、质量专业技术人员未审核，技术负责人未签字。</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分项工程开工前未组织安全技术交底，施工前班组长（或施工负责人）不进行安全交底，或无底记录。</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国家、行业、公司新颁发的规定和反事故措施没有落实到工程设计中去。</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进入易造成人员窒息的环境或区域内工作未采取防范措施。</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对工人发现的施工设备、安全设施存在的安全隐患不组织消除，或对技术人员拟定的安全操作规程、安全技术措施不予认真执行。</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对设备、设计存在的隐患不能及时指挥实施对应措施。</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对各类装置性违章不及时组织消除。</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制定的规程、制度、措施不符合现场实际，使用中导致事故的发生，或在事故处理时延误或扩大了事故。</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对上级颁发的反事故措施，不能按要求结合实际组织实施。</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未按规定召开安全工作例会。</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上级下发的文件、规定及信息不能及时传达和布置，不能按时间和标准完成规定的工作任务；对于下达的安全、消防整改通知书，未在规定的期限内完成整改或整改内容不符合要求。</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不按规定发放安全防护用品或劳保用品。</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不按照运维检修规程要求定期进行巡检。</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运行、检修班组长在班前会上，没有按照公司要求，结合本单位当日的生产任务讲清检修工作任务（运行主要操作）和从事这些工作任务存在的风险及须采取的安全防范措施。</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违反检修工艺要求，不按照规定，自行变更设计，不按批准程序擅自修改工艺标准造成设备损坏。</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对检修后的设备不进行认真交接检修内容、不记录（包括终结、终结备注中小结记录、试验记录）；检修工作结束不检查验收、不符合设备运行条件而办理工作票终结手续。</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检修工作开工前，工作许可人与工作负责人未共同到现场检查安全措施是否正确执行。</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在运行值班记录、设备定期工作记录、检修工作票、运行操作票、运行操作联系票、及危险点控制单等相关记录中代签名。</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检修工作前，不进行危险点分析或危险点分析内容与实际工作不符、安全措施不全。检修工作负责人没有按照要求，在作业现场宣讲危险点预控措施，组织工作班成员进行完善、补充并履行签字认可手续、工作票和危险点分析单不随身携带。</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违反工作票制度，无票从事检查、检修、试验；违反动火工作票管理规定：无票动火、借票动火、不按动火作业危险程度使用相应等级的动火工作票、不按规定履行相应的签发审批手续、不按动火票中规定的时间、地点进行动火作业以及动火工作票合格等。</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szCs w:val="21"/>
              </w:rPr>
              <w:t>有毒有害气体报警系统</w:t>
            </w:r>
            <w:r>
              <w:rPr>
                <w:rFonts w:hint="eastAsia"/>
                <w:szCs w:val="21"/>
              </w:rPr>
              <w:t>、</w:t>
            </w:r>
            <w:r>
              <w:rPr>
                <w:szCs w:val="21"/>
              </w:rPr>
              <w:t>消防报警系统不完好</w:t>
            </w:r>
            <w:r>
              <w:rPr>
                <w:rFonts w:hint="eastAsia"/>
                <w:szCs w:val="21"/>
              </w:rPr>
              <w:t>或</w:t>
            </w:r>
            <w:r>
              <w:rPr>
                <w:szCs w:val="21"/>
              </w:rPr>
              <w:t>没处于正常工作状态</w:t>
            </w:r>
            <w:r>
              <w:rPr>
                <w:rFonts w:hint="eastAsia"/>
                <w:szCs w:val="21"/>
              </w:rPr>
              <w:t>。</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szCs w:val="21"/>
              </w:rPr>
              <w:t>特种设备没有按照要求定期进行检测</w:t>
            </w:r>
            <w:r>
              <w:rPr>
                <w:rFonts w:hint="eastAsia"/>
                <w:szCs w:val="21"/>
              </w:rPr>
              <w:t>。</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szCs w:val="21"/>
              </w:rPr>
              <w:t>余热利用系统</w:t>
            </w:r>
            <w:r>
              <w:rPr>
                <w:rFonts w:hint="eastAsia"/>
                <w:szCs w:val="21"/>
              </w:rPr>
              <w:t>、</w:t>
            </w:r>
            <w:r>
              <w:rPr>
                <w:szCs w:val="21"/>
              </w:rPr>
              <w:t>锅炉房系统设备</w:t>
            </w:r>
            <w:r>
              <w:rPr>
                <w:rFonts w:hint="eastAsia"/>
                <w:szCs w:val="21"/>
              </w:rPr>
              <w:t>、</w:t>
            </w:r>
            <w:r>
              <w:rPr>
                <w:szCs w:val="21"/>
              </w:rPr>
              <w:t>系统参数设置不符合要求</w:t>
            </w:r>
            <w:r>
              <w:rPr>
                <w:rFonts w:hint="eastAsia"/>
                <w:szCs w:val="21"/>
              </w:rPr>
              <w:t>。</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tcPr>
          <w:p>
            <w:pPr>
              <w:autoSpaceDE w:val="0"/>
              <w:autoSpaceDN w:val="0"/>
              <w:adjustRightInd w:val="0"/>
              <w:snapToGrid w:val="0"/>
              <w:spacing w:line="240" w:lineRule="auto"/>
              <w:ind w:firstLine="0" w:firstLineChars="0"/>
              <w:rPr>
                <w:rFonts w:hint="eastAsia"/>
                <w:szCs w:val="21"/>
              </w:rPr>
            </w:pPr>
            <w:r>
              <w:rPr>
                <w:rFonts w:hint="eastAsia"/>
                <w:szCs w:val="21"/>
              </w:rPr>
              <w:t>主要施工区域、危险部位未按规定悬挂安全标识。</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楼顶屋面女儿墙低于</w:t>
            </w:r>
            <w:r>
              <w:rPr>
                <w:szCs w:val="21"/>
              </w:rPr>
              <w:t>800mm不做安全护栏、安全网。</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屋面集中堆载物品，影响建筑物结构安全。</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施工破坏屋面防水。</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未经许可在永久供电、供水、供汽（气）等设施、设备上私拉乱接。</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在施工过程中，未采取有效成品保护措施，造成永久或临时设施（含电缆、管线、沟道等）、成品、花草树木等损坏，除赔偿所有损失外，并处支付违约金。</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2000-5000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现场主要施工道路未按批准的施工组织设计进行硬化，经书面通知整改，仍未执行的，由建设单位组织进行实施，实施费用由总承包方承担，并处支付违约金。</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安全文明施工责任区内脏、乱、差不能在限定时间内整改完毕，施工现场焚烧各类废弃物。</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分布式光伏运维工作人员无故不到位，安排未经公司安全告知的人员上岗或未经同意随意更换工作人员。</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分布式光伏运维工作人员不能坚守岗位或现场有问题不到场</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分布式光伏运维工作人员在责任范围内，不服从或按时执行发包方安排的相关工作。</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分布式光伏运维工作人员不及时报告、处理现场异常。</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分布式光伏运维工作人员不如实汇报工作情况，或隐瞒事实真相。</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分布式光伏运维工作人员现场工器具等不按发包方要求定置摆放</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分布式光伏运维工作人员办公室未达到“五净”、“五整齐”，工作间的定置不符合一流标准的。</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分布式光伏运维工作人员损坏或丢弃设备标示牌，未按时恢复。</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分布式光伏运维工作人员乱扔垃圾、制造噪音等不文明行为。</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分布式光伏运维工作人员设备巡检故障报修率未达到</w:t>
            </w:r>
            <w:r>
              <w:rPr>
                <w:szCs w:val="21"/>
              </w:rPr>
              <w:t>100%。</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分布式光伏运维工作人员组件螺丝紧固合格率未达到</w:t>
            </w:r>
            <w:r>
              <w:rPr>
                <w:szCs w:val="21"/>
              </w:rPr>
              <w:t>98%。</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分布式光伏运维工作人员组件清洗过后还存在污泥、水印等清洁不达标等情况。</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分布式光伏运维工作人员巡检过程中对组件破损、线槽松动或脱落发现率未达到</w:t>
            </w:r>
            <w:r>
              <w:rPr>
                <w:szCs w:val="21"/>
              </w:rPr>
              <w:t>100%。</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vAlign w:val="center"/>
          </w:tcPr>
          <w:p>
            <w:pPr>
              <w:numPr>
                <w:ilvl w:val="3"/>
                <w:numId w:val="5"/>
              </w:numPr>
              <w:adjustRightInd w:val="0"/>
              <w:snapToGrid w:val="0"/>
              <w:ind w:left="0" w:firstLine="0" w:firstLineChars="0"/>
              <w:jc w:val="left"/>
              <w:rPr>
                <w:rFonts w:hint="eastAsia"/>
                <w:szCs w:val="21"/>
              </w:rPr>
            </w:pPr>
          </w:p>
        </w:tc>
        <w:tc>
          <w:tcPr>
            <w:tcW w:w="6371" w:type="dxa"/>
            <w:vAlign w:val="center"/>
          </w:tcPr>
          <w:p>
            <w:pPr>
              <w:autoSpaceDE w:val="0"/>
              <w:autoSpaceDN w:val="0"/>
              <w:adjustRightInd w:val="0"/>
              <w:snapToGrid w:val="0"/>
              <w:spacing w:line="240" w:lineRule="auto"/>
              <w:ind w:firstLine="0" w:firstLineChars="0"/>
              <w:rPr>
                <w:rFonts w:hint="eastAsia"/>
                <w:szCs w:val="21"/>
              </w:rPr>
            </w:pPr>
            <w:r>
              <w:rPr>
                <w:rFonts w:hint="eastAsia"/>
                <w:szCs w:val="21"/>
              </w:rPr>
              <w:t>分布式光伏运维工作人员丢失相关工作票据，给公司造成损失或给工作造成障碍。</w:t>
            </w:r>
          </w:p>
        </w:tc>
        <w:tc>
          <w:tcPr>
            <w:tcW w:w="1429" w:type="dxa"/>
            <w:vAlign w:val="center"/>
          </w:tcPr>
          <w:p>
            <w:pPr>
              <w:autoSpaceDE w:val="0"/>
              <w:autoSpaceDN w:val="0"/>
              <w:adjustRightInd w:val="0"/>
              <w:snapToGrid w:val="0"/>
              <w:spacing w:line="240" w:lineRule="auto"/>
              <w:ind w:firstLine="0" w:firstLineChars="0"/>
              <w:jc w:val="center"/>
              <w:rPr>
                <w:rFonts w:hint="eastAsia"/>
                <w:szCs w:val="21"/>
              </w:rPr>
            </w:pPr>
            <w:r>
              <w:rPr>
                <w:szCs w:val="21"/>
              </w:rPr>
              <w:t xml:space="preserve">500 </w:t>
            </w:r>
          </w:p>
        </w:tc>
      </w:tr>
    </w:tbl>
    <w:p>
      <w:pPr>
        <w:autoSpaceDE w:val="0"/>
        <w:autoSpaceDN w:val="0"/>
        <w:adjustRightInd w:val="0"/>
        <w:snapToGrid w:val="0"/>
        <w:jc w:val="left"/>
        <w:rPr>
          <w:rFonts w:hint="eastAsia"/>
          <w:szCs w:val="21"/>
        </w:rPr>
      </w:pPr>
    </w:p>
    <w:p>
      <w:pPr>
        <w:pStyle w:val="2"/>
        <w:numPr>
          <w:ilvl w:val="0"/>
          <w:numId w:val="5"/>
        </w:numPr>
        <w:spacing w:before="312"/>
        <w:ind w:firstLine="190" w:firstLineChars="90"/>
        <w:rPr>
          <w:rFonts w:hint="eastAsia"/>
          <w:sz w:val="21"/>
          <w:szCs w:val="21"/>
        </w:rPr>
      </w:pPr>
      <w:bookmarkStart w:id="814" w:name="_Toc20915"/>
      <w:bookmarkStart w:id="815" w:name="_Toc170377997"/>
      <w:bookmarkStart w:id="816" w:name="_Toc21676"/>
      <w:bookmarkStart w:id="817" w:name="_Toc29227"/>
      <w:r>
        <w:rPr>
          <w:rFonts w:hint="eastAsia"/>
          <w:sz w:val="21"/>
          <w:szCs w:val="21"/>
        </w:rPr>
        <w:t>奖励规定</w:t>
      </w:r>
      <w:bookmarkEnd w:id="814"/>
      <w:bookmarkEnd w:id="815"/>
      <w:bookmarkEnd w:id="816"/>
      <w:bookmarkEnd w:id="817"/>
    </w:p>
    <w:p>
      <w:pPr>
        <w:ind w:firstLine="0" w:firstLineChars="0"/>
        <w:rPr>
          <w:rFonts w:hint="eastAsia"/>
          <w:szCs w:val="21"/>
        </w:rPr>
      </w:pPr>
      <w:r>
        <w:rPr>
          <w:szCs w:val="21"/>
        </w:rPr>
        <w:t>5.1</w:t>
      </w:r>
      <w:r>
        <w:rPr>
          <w:rFonts w:hint="eastAsia"/>
          <w:szCs w:val="21"/>
        </w:rPr>
        <w:t>认真贯彻安全生产方针、规章、制度，在预防事故、安全施工过程中作出显著成绩的，奖励</w:t>
      </w:r>
      <w:r>
        <w:rPr>
          <w:szCs w:val="21"/>
        </w:rPr>
        <w:t>2000-10000元。</w:t>
      </w:r>
    </w:p>
    <w:p>
      <w:pPr>
        <w:ind w:firstLine="0" w:firstLineChars="0"/>
        <w:rPr>
          <w:rFonts w:hint="eastAsia"/>
          <w:szCs w:val="21"/>
        </w:rPr>
      </w:pPr>
      <w:r>
        <w:rPr>
          <w:szCs w:val="21"/>
        </w:rPr>
        <w:t>5.2</w:t>
      </w:r>
      <w:r>
        <w:rPr>
          <w:rFonts w:hint="eastAsia"/>
          <w:szCs w:val="21"/>
        </w:rPr>
        <w:t>及时发现汇报或消除危害员工生命财产安全的事故隐患，经监理和项目管理人员核实属实的，奖励</w:t>
      </w:r>
      <w:r>
        <w:rPr>
          <w:szCs w:val="21"/>
        </w:rPr>
        <w:t>2000-5000元。</w:t>
      </w:r>
    </w:p>
    <w:p>
      <w:pPr>
        <w:ind w:firstLine="0" w:firstLineChars="0"/>
        <w:rPr>
          <w:rFonts w:hint="eastAsia"/>
          <w:szCs w:val="21"/>
        </w:rPr>
      </w:pPr>
      <w:r>
        <w:rPr>
          <w:szCs w:val="21"/>
        </w:rPr>
        <w:t>5.3</w:t>
      </w:r>
      <w:r>
        <w:rPr>
          <w:rFonts w:hint="eastAsia"/>
          <w:szCs w:val="21"/>
        </w:rPr>
        <w:t>工作认真负责及时发现消除有关生产工艺、设备等安全生产方面隐患的，经监理和项目管理人员核实属实的，奖励</w:t>
      </w:r>
      <w:r>
        <w:rPr>
          <w:szCs w:val="21"/>
        </w:rPr>
        <w:t>2000-5000元。</w:t>
      </w:r>
    </w:p>
    <w:p>
      <w:pPr>
        <w:ind w:firstLine="0" w:firstLineChars="0"/>
        <w:rPr>
          <w:rFonts w:hint="eastAsia"/>
          <w:szCs w:val="21"/>
        </w:rPr>
      </w:pPr>
      <w:r>
        <w:rPr>
          <w:szCs w:val="21"/>
        </w:rPr>
        <w:t>5.4</w:t>
      </w:r>
      <w:r>
        <w:rPr>
          <w:rFonts w:hint="eastAsia"/>
          <w:szCs w:val="21"/>
        </w:rPr>
        <w:t>高于或者严格按照国家、行业标准及设计、方案、措施等进行标准化、规范化施工，作业过程中未出现严重违章行为，不出现本标准中第</w:t>
      </w:r>
      <w:r>
        <w:rPr>
          <w:szCs w:val="21"/>
        </w:rPr>
        <w:t>2项“术语、定义”所列的第2.1～2.8条事故，奖励5000-10000元。</w:t>
      </w:r>
    </w:p>
    <w:p>
      <w:pPr>
        <w:ind w:firstLine="0" w:firstLineChars="0"/>
        <w:rPr>
          <w:rFonts w:hint="eastAsia"/>
          <w:szCs w:val="21"/>
        </w:rPr>
      </w:pPr>
      <w:r>
        <w:rPr>
          <w:szCs w:val="21"/>
        </w:rPr>
        <w:t>5.5</w:t>
      </w:r>
      <w:r>
        <w:rPr>
          <w:rFonts w:hint="eastAsia"/>
          <w:szCs w:val="21"/>
        </w:rPr>
        <w:t>防止和避免了伤亡事故或在事故抢救中有功的，奖励</w:t>
      </w:r>
      <w:r>
        <w:rPr>
          <w:szCs w:val="21"/>
        </w:rPr>
        <w:t>5000-10000元。</w:t>
      </w: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ind w:left="420" w:leftChars="200" w:firstLine="0" w:firstLineChars="0"/>
        <w:rPr>
          <w:rFonts w:hint="eastAsia"/>
          <w:szCs w:val="21"/>
        </w:rPr>
      </w:pPr>
    </w:p>
    <w:p>
      <w:pPr>
        <w:widowControl/>
        <w:spacing w:line="240" w:lineRule="auto"/>
        <w:ind w:firstLine="0" w:firstLineChars="0"/>
        <w:jc w:val="left"/>
        <w:rPr>
          <w:rFonts w:hint="eastAsia"/>
          <w:szCs w:val="21"/>
        </w:rPr>
      </w:pPr>
      <w:r>
        <w:rPr>
          <w:szCs w:val="21"/>
        </w:rPr>
        <w:br w:type="page"/>
      </w:r>
    </w:p>
    <w:p>
      <w:pPr>
        <w:pStyle w:val="2"/>
        <w:spacing w:before="312" w:after="0"/>
        <w:rPr>
          <w:rFonts w:hint="eastAsia"/>
          <w:b w:val="0"/>
          <w:bCs w:val="0"/>
          <w:sz w:val="21"/>
          <w:szCs w:val="21"/>
          <w:lang w:eastAsia="zh-CN"/>
        </w:rPr>
      </w:pPr>
      <w:bookmarkStart w:id="818" w:name="_Toc170377998"/>
      <w:bookmarkStart w:id="819" w:name="_Toc9940"/>
      <w:bookmarkStart w:id="820" w:name="_Toc28816"/>
      <w:r>
        <w:rPr>
          <w:rFonts w:hint="eastAsia"/>
          <w:b w:val="0"/>
          <w:bCs w:val="0"/>
          <w:sz w:val="21"/>
          <w:szCs w:val="21"/>
          <w:lang w:eastAsia="zh-CN"/>
        </w:rPr>
        <w:t>附录</w:t>
      </w:r>
      <w:r>
        <w:rPr>
          <w:b w:val="0"/>
          <w:bCs w:val="0"/>
          <w:sz w:val="21"/>
          <w:szCs w:val="21"/>
          <w:lang w:eastAsia="zh-CN"/>
        </w:rPr>
        <w:t>1</w:t>
      </w:r>
      <w:bookmarkEnd w:id="818"/>
      <w:bookmarkEnd w:id="819"/>
    </w:p>
    <w:p>
      <w:pPr>
        <w:spacing w:after="156" w:afterLines="50"/>
        <w:ind w:firstLine="422"/>
        <w:jc w:val="center"/>
        <w:rPr>
          <w:rFonts w:hint="eastAsia"/>
          <w:b/>
          <w:bCs/>
          <w:color w:val="000000"/>
          <w:kern w:val="0"/>
          <w:szCs w:val="21"/>
        </w:rPr>
      </w:pPr>
    </w:p>
    <w:p>
      <w:pPr>
        <w:spacing w:after="156" w:afterLines="50"/>
        <w:ind w:firstLine="422"/>
        <w:jc w:val="center"/>
        <w:rPr>
          <w:rFonts w:hint="eastAsia"/>
          <w:b/>
          <w:bCs/>
          <w:color w:val="000000"/>
          <w:kern w:val="0"/>
          <w:szCs w:val="21"/>
        </w:rPr>
      </w:pPr>
      <w:r>
        <w:rPr>
          <w:rFonts w:hint="eastAsia"/>
          <w:b/>
          <w:bCs/>
          <w:color w:val="000000"/>
          <w:kern w:val="0"/>
          <w:szCs w:val="21"/>
        </w:rPr>
        <w:t>（资料性附录）</w:t>
      </w:r>
      <w:bookmarkEnd w:id="820"/>
    </w:p>
    <w:p>
      <w:pPr>
        <w:spacing w:after="156" w:afterLines="50"/>
        <w:ind w:firstLine="422"/>
        <w:jc w:val="center"/>
        <w:rPr>
          <w:rFonts w:hint="eastAsia"/>
          <w:color w:val="000000"/>
          <w:kern w:val="0"/>
          <w:szCs w:val="21"/>
        </w:rPr>
      </w:pPr>
      <w:r>
        <w:rPr>
          <w:rFonts w:hint="eastAsia"/>
          <w:b/>
          <w:bCs/>
          <w:color w:val="000000"/>
          <w:kern w:val="0"/>
          <w:szCs w:val="21"/>
        </w:rPr>
        <w:t>承包合同违约通知单</w:t>
      </w:r>
    </w:p>
    <w:tbl>
      <w:tblPr>
        <w:tblStyle w:val="13"/>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2873"/>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jc w:val="center"/>
        </w:trPr>
        <w:tc>
          <w:tcPr>
            <w:tcW w:w="8620" w:type="dxa"/>
            <w:gridSpan w:val="3"/>
          </w:tcPr>
          <w:p>
            <w:pPr>
              <w:rPr>
                <w:rFonts w:hint="eastAsia"/>
                <w:szCs w:val="21"/>
                <w:u w:val="single"/>
              </w:rPr>
            </w:pPr>
          </w:p>
          <w:p>
            <w:pPr>
              <w:rPr>
                <w:rFonts w:hint="eastAsia"/>
                <w:szCs w:val="21"/>
              </w:rPr>
            </w:pPr>
            <w:r>
              <w:rPr>
                <w:rFonts w:hint="eastAsia"/>
                <w:szCs w:val="21"/>
              </w:rPr>
              <w:t>承包单位：</w:t>
            </w:r>
            <w:r>
              <w:rPr>
                <w:szCs w:val="21"/>
                <w:u w:val="single"/>
              </w:rPr>
              <w:t xml:space="preserve">                               </w:t>
            </w:r>
          </w:p>
          <w:p>
            <w:pPr>
              <w:rPr>
                <w:rFonts w:hint="eastAsia"/>
                <w:szCs w:val="21"/>
                <w:u w:val="single"/>
              </w:rPr>
            </w:pPr>
            <w:r>
              <w:rPr>
                <w:szCs w:val="21"/>
              </w:rPr>
              <w:t xml:space="preserve">     北京京能</w:t>
            </w:r>
            <w:r>
              <w:rPr>
                <w:rFonts w:hint="eastAsia"/>
                <w:szCs w:val="21"/>
              </w:rPr>
              <w:t>数字科技有限公司于</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日在贵方现场检查</w:t>
            </w:r>
            <w:r>
              <w:rPr>
                <w:szCs w:val="21"/>
              </w:rPr>
              <w:t>/抽查中，发现贵方存在以下问题：</w:t>
            </w:r>
            <w:r>
              <w:rPr>
                <w:szCs w:val="21"/>
                <w:u w:val="single"/>
              </w:rPr>
              <w:t xml:space="preserve">                                                            </w:t>
            </w:r>
          </w:p>
          <w:p>
            <w:pPr>
              <w:rPr>
                <w:rFonts w:hint="eastAsia"/>
                <w:szCs w:val="21"/>
              </w:rPr>
            </w:pPr>
            <w:r>
              <w:rPr>
                <w:szCs w:val="21"/>
                <w:u w:val="single"/>
              </w:rPr>
              <w:t xml:space="preserve">                                                                                </w:t>
            </w:r>
          </w:p>
          <w:p>
            <w:pPr>
              <w:rPr>
                <w:rFonts w:hint="eastAsia"/>
                <w:szCs w:val="21"/>
              </w:rPr>
            </w:pPr>
            <w:r>
              <w:rPr>
                <w:szCs w:val="21"/>
                <w:u w:val="single"/>
              </w:rPr>
              <w:t xml:space="preserve">                                                                                </w:t>
            </w:r>
          </w:p>
          <w:p>
            <w:pPr>
              <w:rPr>
                <w:rFonts w:hint="eastAsia"/>
                <w:szCs w:val="21"/>
              </w:rPr>
            </w:pPr>
            <w:r>
              <w:rPr>
                <w:szCs w:val="21"/>
                <w:u w:val="single"/>
              </w:rPr>
              <w:t xml:space="preserve">                                                                                </w:t>
            </w:r>
          </w:p>
          <w:p>
            <w:pPr>
              <w:rPr>
                <w:rFonts w:hint="eastAsia"/>
                <w:szCs w:val="21"/>
              </w:rPr>
            </w:pPr>
            <w:r>
              <w:rPr>
                <w:szCs w:val="21"/>
                <w:u w:val="single"/>
              </w:rPr>
              <w:t xml:space="preserve">                                                                              。</w:t>
            </w:r>
          </w:p>
          <w:p>
            <w:pPr>
              <w:rPr>
                <w:rFonts w:hint="eastAsia"/>
                <w:szCs w:val="21"/>
              </w:rPr>
            </w:pPr>
            <w:r>
              <w:rPr>
                <w:rFonts w:hint="eastAsia"/>
                <w:szCs w:val="21"/>
              </w:rPr>
              <w:t>以上问题存在违反承包合同附件《北京京能数字科技有限公司相关方安全管理考核实施细则》第</w:t>
            </w:r>
            <w:r>
              <w:rPr>
                <w:szCs w:val="21"/>
                <w:u w:val="single"/>
              </w:rPr>
              <w:t xml:space="preserve">            </w:t>
            </w:r>
            <w:r>
              <w:rPr>
                <w:rFonts w:hint="eastAsia"/>
                <w:szCs w:val="21"/>
              </w:rPr>
              <w:t>条款之规定行为，根据条款合同之约定，合计支付违约金人民币</w:t>
            </w:r>
            <w:r>
              <w:rPr>
                <w:szCs w:val="21"/>
              </w:rPr>
              <w:t xml:space="preserve"> </w:t>
            </w:r>
            <w:r>
              <w:rPr>
                <w:szCs w:val="21"/>
                <w:u w:val="single"/>
              </w:rPr>
              <w:t xml:space="preserve">        </w:t>
            </w:r>
            <w:r>
              <w:rPr>
                <w:rFonts w:hint="eastAsia"/>
                <w:szCs w:val="21"/>
              </w:rPr>
              <w:t>元。</w:t>
            </w:r>
          </w:p>
          <w:p>
            <w:pPr>
              <w:rPr>
                <w:rFonts w:hint="eastAsia"/>
                <w:szCs w:val="21"/>
              </w:rPr>
            </w:pPr>
            <w:r>
              <w:rPr>
                <w:rFonts w:hint="eastAsia"/>
                <w:szCs w:val="21"/>
              </w:rPr>
              <w:t>特此通知！</w:t>
            </w:r>
          </w:p>
          <w:p>
            <w:pPr>
              <w:rPr>
                <w:rFonts w:hint="eastAsia"/>
                <w:szCs w:val="21"/>
              </w:rPr>
            </w:pPr>
          </w:p>
          <w:p>
            <w:pPr>
              <w:ind w:firstLine="5250" w:firstLineChars="2500"/>
              <w:rPr>
                <w:rFonts w:hint="eastAsia"/>
                <w:szCs w:val="21"/>
              </w:rPr>
            </w:pPr>
            <w:r>
              <w:rPr>
                <w:rFonts w:hint="eastAsia"/>
                <w:szCs w:val="21"/>
              </w:rPr>
              <w:t>签章：</w:t>
            </w:r>
          </w:p>
          <w:p>
            <w:pPr>
              <w:widowControl/>
              <w:jc w:val="left"/>
              <w:rPr>
                <w:rFonts w:hint="eastAsia"/>
                <w:color w:val="000000"/>
                <w:kern w:val="0"/>
                <w:szCs w:val="21"/>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2873" w:type="dxa"/>
          </w:tcPr>
          <w:p>
            <w:pPr>
              <w:ind w:firstLine="0" w:firstLineChars="0"/>
              <w:rPr>
                <w:rFonts w:hint="eastAsia"/>
                <w:szCs w:val="21"/>
              </w:rPr>
            </w:pPr>
            <w:r>
              <w:rPr>
                <w:rFonts w:hint="eastAsia"/>
                <w:szCs w:val="21"/>
              </w:rPr>
              <w:t>京能数字科技项目经理意见：</w:t>
            </w:r>
          </w:p>
          <w:p>
            <w:pPr>
              <w:rPr>
                <w:rFonts w:hint="eastAsia"/>
                <w:szCs w:val="21"/>
              </w:rPr>
            </w:pPr>
          </w:p>
          <w:p>
            <w:pPr>
              <w:rPr>
                <w:rFonts w:hint="eastAsia"/>
                <w:szCs w:val="21"/>
              </w:rPr>
            </w:pPr>
          </w:p>
          <w:p>
            <w:pPr>
              <w:rPr>
                <w:rFonts w:hint="eastAsia"/>
                <w:szCs w:val="21"/>
              </w:rPr>
            </w:pPr>
            <w:r>
              <w:rPr>
                <w:szCs w:val="21"/>
              </w:rPr>
              <w:t xml:space="preserve">          签字：</w:t>
            </w:r>
          </w:p>
          <w:p>
            <w:pPr>
              <w:rPr>
                <w:rFonts w:hint="eastAsia"/>
                <w:szCs w:val="21"/>
              </w:rPr>
            </w:pPr>
            <w:r>
              <w:rPr>
                <w:szCs w:val="21"/>
              </w:rPr>
              <w:t xml:space="preserve">            年   月   日</w:t>
            </w:r>
          </w:p>
        </w:tc>
        <w:tc>
          <w:tcPr>
            <w:tcW w:w="2873" w:type="dxa"/>
          </w:tcPr>
          <w:p>
            <w:pPr>
              <w:ind w:firstLine="0" w:firstLineChars="0"/>
              <w:rPr>
                <w:rFonts w:hint="eastAsia"/>
                <w:szCs w:val="21"/>
              </w:rPr>
            </w:pPr>
            <w:r>
              <w:rPr>
                <w:rFonts w:hint="eastAsia"/>
                <w:szCs w:val="21"/>
              </w:rPr>
              <w:t>监理单位意见：</w:t>
            </w:r>
          </w:p>
          <w:p>
            <w:pPr>
              <w:rPr>
                <w:rFonts w:hint="eastAsia"/>
                <w:szCs w:val="21"/>
              </w:rPr>
            </w:pPr>
          </w:p>
          <w:p>
            <w:pPr>
              <w:rPr>
                <w:rFonts w:hint="eastAsia"/>
                <w:szCs w:val="21"/>
              </w:rPr>
            </w:pPr>
          </w:p>
          <w:p>
            <w:pPr>
              <w:ind w:firstLine="1050" w:firstLineChars="500"/>
              <w:rPr>
                <w:rFonts w:hint="eastAsia"/>
                <w:szCs w:val="21"/>
              </w:rPr>
            </w:pPr>
            <w:r>
              <w:rPr>
                <w:rFonts w:hint="eastAsia"/>
                <w:szCs w:val="21"/>
              </w:rPr>
              <w:t>签字：</w:t>
            </w:r>
          </w:p>
          <w:p>
            <w:pPr>
              <w:rPr>
                <w:rFonts w:hint="eastAsia"/>
                <w:szCs w:val="21"/>
              </w:rPr>
            </w:pPr>
            <w:r>
              <w:rPr>
                <w:szCs w:val="21"/>
              </w:rPr>
              <w:t xml:space="preserve">            年   月   日</w:t>
            </w:r>
          </w:p>
        </w:tc>
        <w:tc>
          <w:tcPr>
            <w:tcW w:w="2874" w:type="dxa"/>
          </w:tcPr>
          <w:p>
            <w:pPr>
              <w:ind w:firstLine="0" w:firstLineChars="0"/>
              <w:rPr>
                <w:rFonts w:hint="eastAsia"/>
                <w:szCs w:val="21"/>
              </w:rPr>
            </w:pPr>
            <w:r>
              <w:rPr>
                <w:rFonts w:hint="eastAsia"/>
                <w:szCs w:val="21"/>
              </w:rPr>
              <w:t>承包单位项目经理意见：</w:t>
            </w:r>
          </w:p>
          <w:p>
            <w:pPr>
              <w:rPr>
                <w:rFonts w:hint="eastAsia"/>
                <w:szCs w:val="21"/>
              </w:rPr>
            </w:pPr>
          </w:p>
          <w:p>
            <w:pPr>
              <w:rPr>
                <w:rFonts w:hint="eastAsia"/>
                <w:szCs w:val="21"/>
              </w:rPr>
            </w:pPr>
          </w:p>
          <w:p>
            <w:pPr>
              <w:ind w:firstLine="1050" w:firstLineChars="500"/>
              <w:rPr>
                <w:rFonts w:hint="eastAsia"/>
                <w:szCs w:val="21"/>
              </w:rPr>
            </w:pPr>
            <w:r>
              <w:rPr>
                <w:rFonts w:hint="eastAsia"/>
                <w:szCs w:val="21"/>
              </w:rPr>
              <w:t>签字：</w:t>
            </w:r>
          </w:p>
          <w:p>
            <w:pPr>
              <w:rPr>
                <w:rFonts w:hint="eastAsia"/>
                <w:szCs w:val="21"/>
                <w:u w:val="single"/>
              </w:rPr>
            </w:pPr>
            <w:r>
              <w:rPr>
                <w:szCs w:val="21"/>
              </w:rPr>
              <w:t xml:space="preserve">            年   月   日</w:t>
            </w:r>
          </w:p>
        </w:tc>
      </w:tr>
    </w:tbl>
    <w:p>
      <w:pPr>
        <w:ind w:firstLine="210" w:firstLineChars="100"/>
        <w:rPr>
          <w:rFonts w:hint="eastAsia"/>
          <w:szCs w:val="21"/>
        </w:rPr>
      </w:pPr>
      <w:r>
        <w:rPr>
          <w:rFonts w:hint="eastAsia"/>
          <w:szCs w:val="21"/>
        </w:rPr>
        <w:t>注：本通知一式四份，承包单位一份，监理单位一份，甲方二份。</w:t>
      </w:r>
    </w:p>
    <w:p>
      <w:pPr>
        <w:jc w:val="center"/>
        <w:rPr>
          <w:rFonts w:hint="eastAsia"/>
          <w:szCs w:val="21"/>
        </w:rPr>
      </w:pPr>
      <w:r>
        <w:rPr>
          <w:szCs w:val="21"/>
        </w:rPr>
        <w:br w:type="page"/>
      </w:r>
    </w:p>
    <w:p>
      <w:pPr>
        <w:pStyle w:val="2"/>
        <w:spacing w:before="312" w:after="0"/>
        <w:rPr>
          <w:rFonts w:hint="eastAsia"/>
          <w:b w:val="0"/>
          <w:bCs w:val="0"/>
          <w:sz w:val="21"/>
          <w:szCs w:val="21"/>
          <w:lang w:eastAsia="zh-CN"/>
        </w:rPr>
      </w:pPr>
      <w:bookmarkStart w:id="821" w:name="_Toc170377999"/>
      <w:bookmarkStart w:id="822" w:name="_Toc1217"/>
      <w:r>
        <w:rPr>
          <w:rFonts w:hint="eastAsia"/>
          <w:b w:val="0"/>
          <w:bCs w:val="0"/>
          <w:sz w:val="21"/>
          <w:szCs w:val="21"/>
          <w:lang w:eastAsia="zh-CN"/>
        </w:rPr>
        <w:t>附录</w:t>
      </w:r>
      <w:r>
        <w:rPr>
          <w:b w:val="0"/>
          <w:bCs w:val="0"/>
          <w:sz w:val="21"/>
          <w:szCs w:val="21"/>
          <w:lang w:eastAsia="zh-CN"/>
        </w:rPr>
        <w:t>2</w:t>
      </w:r>
      <w:bookmarkEnd w:id="821"/>
      <w:bookmarkEnd w:id="822"/>
    </w:p>
    <w:p>
      <w:pPr>
        <w:ind w:firstLine="422"/>
        <w:jc w:val="center"/>
        <w:rPr>
          <w:rFonts w:hint="eastAsia"/>
          <w:b/>
          <w:bCs/>
          <w:color w:val="000000"/>
          <w:kern w:val="0"/>
          <w:szCs w:val="21"/>
        </w:rPr>
      </w:pPr>
      <w:r>
        <w:rPr>
          <w:rFonts w:hint="eastAsia"/>
          <w:b/>
          <w:bCs/>
          <w:color w:val="000000"/>
          <w:kern w:val="0"/>
          <w:szCs w:val="21"/>
        </w:rPr>
        <w:t>（资料性附录）</w:t>
      </w:r>
    </w:p>
    <w:p>
      <w:pPr>
        <w:ind w:firstLine="422"/>
        <w:jc w:val="center"/>
        <w:rPr>
          <w:rFonts w:hint="eastAsia"/>
          <w:b/>
          <w:bCs/>
          <w:color w:val="000000"/>
          <w:kern w:val="0"/>
          <w:szCs w:val="21"/>
        </w:rPr>
      </w:pPr>
      <w:r>
        <w:rPr>
          <w:rFonts w:hint="eastAsia"/>
          <w:b/>
          <w:bCs/>
          <w:color w:val="000000"/>
          <w:kern w:val="0"/>
          <w:szCs w:val="21"/>
        </w:rPr>
        <w:t>承包单位安全生产奖励申报表</w:t>
      </w:r>
    </w:p>
    <w:tbl>
      <w:tblPr>
        <w:tblStyle w:val="1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3225"/>
        <w:gridCol w:w="200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2229" w:type="dxa"/>
            <w:vAlign w:val="center"/>
          </w:tcPr>
          <w:p>
            <w:pPr>
              <w:jc w:val="center"/>
              <w:rPr>
                <w:rFonts w:hint="eastAsia"/>
                <w:szCs w:val="21"/>
              </w:rPr>
            </w:pPr>
            <w:r>
              <w:rPr>
                <w:rFonts w:hint="eastAsia"/>
                <w:szCs w:val="21"/>
              </w:rPr>
              <w:t>申请单位</w:t>
            </w:r>
          </w:p>
        </w:tc>
        <w:tc>
          <w:tcPr>
            <w:tcW w:w="3225" w:type="dxa"/>
            <w:vAlign w:val="center"/>
          </w:tcPr>
          <w:p>
            <w:pPr>
              <w:jc w:val="center"/>
              <w:rPr>
                <w:rFonts w:hint="eastAsia"/>
                <w:szCs w:val="21"/>
              </w:rPr>
            </w:pPr>
          </w:p>
        </w:tc>
        <w:tc>
          <w:tcPr>
            <w:tcW w:w="2004" w:type="dxa"/>
            <w:vAlign w:val="center"/>
          </w:tcPr>
          <w:p>
            <w:pPr>
              <w:ind w:firstLine="0" w:firstLineChars="0"/>
              <w:rPr>
                <w:rFonts w:hint="eastAsia"/>
                <w:szCs w:val="21"/>
              </w:rPr>
            </w:pPr>
            <w:r>
              <w:rPr>
                <w:rFonts w:hint="eastAsia"/>
                <w:szCs w:val="21"/>
              </w:rPr>
              <w:t>承包单位项目经理</w:t>
            </w:r>
          </w:p>
        </w:tc>
        <w:tc>
          <w:tcPr>
            <w:tcW w:w="1560" w:type="dxa"/>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2229" w:type="dxa"/>
            <w:vAlign w:val="center"/>
          </w:tcPr>
          <w:p>
            <w:pPr>
              <w:jc w:val="center"/>
              <w:rPr>
                <w:rFonts w:hint="eastAsia"/>
                <w:szCs w:val="21"/>
              </w:rPr>
            </w:pPr>
            <w:r>
              <w:rPr>
                <w:rFonts w:hint="eastAsia"/>
                <w:szCs w:val="21"/>
              </w:rPr>
              <w:t>项目起止时间</w:t>
            </w:r>
          </w:p>
        </w:tc>
        <w:tc>
          <w:tcPr>
            <w:tcW w:w="6789" w:type="dxa"/>
            <w:gridSpan w:val="3"/>
            <w:vAlign w:val="center"/>
          </w:tcPr>
          <w:p>
            <w:pPr>
              <w:jc w:val="center"/>
              <w:rPr>
                <w:rFonts w:hint="eastAsia"/>
                <w:szCs w:val="21"/>
              </w:rPr>
            </w:pPr>
            <w:r>
              <w:rPr>
                <w:rFonts w:hint="eastAsia"/>
                <w:szCs w:val="21"/>
              </w:rPr>
              <w:t>自</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至</w:t>
            </w:r>
            <w:r>
              <w:rPr>
                <w:szCs w:val="21"/>
              </w:rPr>
              <w:t xml:space="preserve">        </w:t>
            </w:r>
            <w:r>
              <w:rPr>
                <w:rFonts w:hint="eastAsia"/>
                <w:szCs w:val="21"/>
              </w:rPr>
              <w:t>年</w:t>
            </w:r>
            <w:r>
              <w:rPr>
                <w:szCs w:val="21"/>
              </w:rPr>
              <w:t xml:space="preserve">    </w:t>
            </w:r>
            <w:r>
              <w:rPr>
                <w:rFonts w:hint="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4" w:hRule="atLeast"/>
        </w:trPr>
        <w:tc>
          <w:tcPr>
            <w:tcW w:w="9018" w:type="dxa"/>
            <w:gridSpan w:val="4"/>
            <w:vAlign w:val="center"/>
          </w:tcPr>
          <w:p>
            <w:pPr>
              <w:rPr>
                <w:rFonts w:hint="eastAsia"/>
                <w:szCs w:val="21"/>
              </w:rPr>
            </w:pPr>
            <w:r>
              <w:rPr>
                <w:szCs w:val="21"/>
              </w:rPr>
              <w:t xml:space="preserve"> （申报奖励理由）</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ind w:firstLine="5040" w:firstLineChars="2400"/>
              <w:rPr>
                <w:rFonts w:hint="eastAsia"/>
                <w:szCs w:val="21"/>
              </w:rPr>
            </w:pPr>
            <w:r>
              <w:rPr>
                <w:rFonts w:hint="eastAsia"/>
                <w:szCs w:val="21"/>
              </w:rPr>
              <w:t>申请单位盖章：</w:t>
            </w:r>
          </w:p>
          <w:p>
            <w:pPr>
              <w:rPr>
                <w:rFonts w:hint="eastAsia"/>
                <w:szCs w:val="21"/>
              </w:rPr>
            </w:pPr>
            <w:r>
              <w:rPr>
                <w:szCs w:val="21"/>
              </w:rPr>
              <w:t xml:space="preserve">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exact"/>
        </w:trPr>
        <w:tc>
          <w:tcPr>
            <w:tcW w:w="2229" w:type="dxa"/>
            <w:vAlign w:val="center"/>
          </w:tcPr>
          <w:p>
            <w:pPr>
              <w:jc w:val="center"/>
              <w:rPr>
                <w:rFonts w:hint="eastAsia"/>
                <w:szCs w:val="21"/>
              </w:rPr>
            </w:pPr>
            <w:r>
              <w:rPr>
                <w:rFonts w:hint="eastAsia"/>
                <w:szCs w:val="21"/>
              </w:rPr>
              <w:t>甲方项目经理</w:t>
            </w:r>
          </w:p>
        </w:tc>
        <w:tc>
          <w:tcPr>
            <w:tcW w:w="6789" w:type="dxa"/>
            <w:gridSpan w:val="3"/>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exact"/>
        </w:trPr>
        <w:tc>
          <w:tcPr>
            <w:tcW w:w="2229" w:type="dxa"/>
            <w:vAlign w:val="center"/>
          </w:tcPr>
          <w:p>
            <w:pPr>
              <w:jc w:val="center"/>
              <w:rPr>
                <w:rFonts w:hint="eastAsia"/>
                <w:szCs w:val="21"/>
              </w:rPr>
            </w:pPr>
            <w:r>
              <w:rPr>
                <w:rFonts w:hint="eastAsia"/>
                <w:szCs w:val="21"/>
              </w:rPr>
              <w:t>监理单位</w:t>
            </w:r>
          </w:p>
        </w:tc>
        <w:tc>
          <w:tcPr>
            <w:tcW w:w="6789" w:type="dxa"/>
            <w:gridSpan w:val="3"/>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exact"/>
        </w:trPr>
        <w:tc>
          <w:tcPr>
            <w:tcW w:w="2229" w:type="dxa"/>
            <w:vAlign w:val="center"/>
          </w:tcPr>
          <w:p>
            <w:pPr>
              <w:jc w:val="center"/>
              <w:rPr>
                <w:rFonts w:hint="eastAsia"/>
                <w:szCs w:val="21"/>
              </w:rPr>
            </w:pPr>
            <w:r>
              <w:rPr>
                <w:rFonts w:hint="eastAsia"/>
                <w:szCs w:val="21"/>
              </w:rPr>
              <w:t>甲方</w:t>
            </w:r>
          </w:p>
          <w:p>
            <w:pPr>
              <w:ind w:firstLine="0" w:firstLineChars="0"/>
              <w:rPr>
                <w:rFonts w:hint="eastAsia"/>
                <w:szCs w:val="21"/>
              </w:rPr>
            </w:pPr>
            <w:r>
              <w:rPr>
                <w:rFonts w:hint="eastAsia"/>
                <w:szCs w:val="21"/>
              </w:rPr>
              <w:t>安全主管部门负责人</w:t>
            </w:r>
          </w:p>
        </w:tc>
        <w:tc>
          <w:tcPr>
            <w:tcW w:w="6789" w:type="dxa"/>
            <w:gridSpan w:val="3"/>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exact"/>
        </w:trPr>
        <w:tc>
          <w:tcPr>
            <w:tcW w:w="2229" w:type="dxa"/>
            <w:vAlign w:val="center"/>
          </w:tcPr>
          <w:p>
            <w:pPr>
              <w:jc w:val="center"/>
              <w:rPr>
                <w:rFonts w:hint="eastAsia"/>
                <w:szCs w:val="21"/>
              </w:rPr>
            </w:pPr>
            <w:r>
              <w:rPr>
                <w:rFonts w:hint="eastAsia"/>
                <w:szCs w:val="21"/>
              </w:rPr>
              <w:t>甲方</w:t>
            </w:r>
          </w:p>
          <w:p>
            <w:pPr>
              <w:ind w:firstLine="0" w:firstLineChars="0"/>
              <w:rPr>
                <w:rFonts w:hint="eastAsia"/>
                <w:szCs w:val="21"/>
              </w:rPr>
            </w:pPr>
            <w:r>
              <w:rPr>
                <w:rFonts w:hint="eastAsia"/>
                <w:szCs w:val="21"/>
              </w:rPr>
              <w:t>项目主管部门负责人</w:t>
            </w:r>
          </w:p>
        </w:tc>
        <w:tc>
          <w:tcPr>
            <w:tcW w:w="6789" w:type="dxa"/>
            <w:gridSpan w:val="3"/>
            <w:vAlign w:val="center"/>
          </w:tcPr>
          <w:p>
            <w:pPr>
              <w:ind w:right="560"/>
              <w:rPr>
                <w:rFonts w:hint="eastAsia"/>
                <w:szCs w:val="21"/>
              </w:rPr>
            </w:pPr>
          </w:p>
          <w:p>
            <w:pPr>
              <w:jc w:val="center"/>
              <w:rPr>
                <w:rFonts w:hint="eastAsia"/>
                <w:szCs w:val="21"/>
              </w:rPr>
            </w:pPr>
          </w:p>
        </w:tc>
      </w:tr>
    </w:tbl>
    <w:p>
      <w:pPr>
        <w:ind w:firstLine="210" w:firstLineChars="100"/>
        <w:rPr>
          <w:rFonts w:hint="eastAsia"/>
          <w:szCs w:val="21"/>
        </w:rPr>
      </w:pPr>
      <w:r>
        <w:rPr>
          <w:rFonts w:hint="eastAsia"/>
          <w:szCs w:val="21"/>
        </w:rPr>
        <w:t>注：本通知一式四份，承包单位一份，监理单位一份，甲方二份。</w:t>
      </w:r>
    </w:p>
    <w:p>
      <w:pPr>
        <w:widowControl/>
        <w:spacing w:line="240" w:lineRule="auto"/>
        <w:ind w:firstLine="0" w:firstLineChars="0"/>
        <w:jc w:val="left"/>
        <w:rPr>
          <w:rFonts w:hint="eastAsia"/>
          <w:sz w:val="28"/>
          <w:szCs w:val="28"/>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7C85EC-8B94-47AA-BCC7-C0515D7ED0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554B205-9E36-44E1-B886-B09B96DF74BA}"/>
  </w:font>
  <w:font w:name="华文仿宋">
    <w:altName w:val="仿宋"/>
    <w:panose1 w:val="02010600040101010101"/>
    <w:charset w:val="86"/>
    <w:family w:val="auto"/>
    <w:pitch w:val="default"/>
    <w:sig w:usb0="00000000" w:usb1="00000000" w:usb2="00000010" w:usb3="00000000" w:csb0="0004009F" w:csb1="00000000"/>
    <w:embedRegular r:id="rId3" w:fontKey="{2C8371C3-57B1-4714-9679-0E6C3653DA97}"/>
  </w:font>
  <w:font w:name="方正仿宋_GBK">
    <w:altName w:val="微软雅黑"/>
    <w:panose1 w:val="00000000000000000000"/>
    <w:charset w:val="86"/>
    <w:family w:val="auto"/>
    <w:pitch w:val="default"/>
    <w:sig w:usb0="00000000" w:usb1="00000000" w:usb2="00082016" w:usb3="00000000" w:csb0="00040001" w:csb1="00000000"/>
    <w:embedRegular r:id="rId4" w:fontKey="{F36711E7-5F96-4AC1-BDFB-3BBE4F3AD992}"/>
  </w:font>
  <w:font w:name="Courier New">
    <w:panose1 w:val="02070309020205020404"/>
    <w:charset w:val="00"/>
    <w:family w:val="modern"/>
    <w:pitch w:val="default"/>
    <w:sig w:usb0="E0002EFF" w:usb1="C0007843" w:usb2="00000009" w:usb3="00000000" w:csb0="400001FF" w:csb1="FFFF0000"/>
    <w:embedRegular r:id="rId5" w:fontKey="{DF627B4A-3F09-400E-82BF-AF7EBD4BF6AA}"/>
  </w:font>
  <w:font w:name="微软雅黑">
    <w:panose1 w:val="020B0503020204020204"/>
    <w:charset w:val="86"/>
    <w:family w:val="swiss"/>
    <w:pitch w:val="default"/>
    <w:sig w:usb0="80000287" w:usb1="2ACF3C50" w:usb2="00000016" w:usb3="00000000" w:csb0="0004001F" w:csb1="00000000"/>
    <w:embedRegular r:id="rId6" w:fontKey="{D714CAAD-5334-47F7-B273-19E315E5EDC0}"/>
  </w:font>
  <w:font w:name="方正小标宋简体">
    <w:panose1 w:val="02000000000000000000"/>
    <w:charset w:val="86"/>
    <w:family w:val="auto"/>
    <w:pitch w:val="default"/>
    <w:sig w:usb0="00000001" w:usb1="08000000" w:usb2="00000000" w:usb3="00000000" w:csb0="00040000" w:csb1="00000000"/>
    <w:embedRegular r:id="rId7" w:fontKey="{382BFDDF-0529-46DA-97E0-C411FD35E6B5}"/>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firstLine="360"/>
                            <w:jc w:val="center"/>
                            <w:rPr>
                              <w:rFonts w:hint="eastAsia"/>
                            </w:rPr>
                          </w:pPr>
                          <w:r>
                            <w:fldChar w:fldCharType="begin"/>
                          </w:r>
                          <w:r>
                            <w:instrText xml:space="preserve">PAGE   \* MERGEFORMAT</w:instrText>
                          </w:r>
                          <w:r>
                            <w:fldChar w:fldCharType="separate"/>
                          </w:r>
                          <w:r>
                            <w:rPr>
                              <w:lang w:val="zh-CN"/>
                            </w:rPr>
                            <w:t>126</w:t>
                          </w:r>
                          <w:r>
                            <w:fldChar w:fldCharType="end"/>
                          </w:r>
                        </w:p>
                        <w:p>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8cuc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Z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C8cucwAgAAZAQAAA4AAAAAAAAAAQAgAAAAHwEAAGRycy9lMm9Eb2MueG1sUEsFBgAA&#10;AAAGAAYAWQEAAMEFAAAAAA==&#10;">
              <v:fill on="f" focussize="0,0"/>
              <v:stroke on="f" weight="0.5pt"/>
              <v:imagedata o:title=""/>
              <o:lock v:ext="edit" aspectratio="f"/>
              <v:textbox inset="0mm,0mm,0mm,0mm" style="mso-fit-shape-to-text:t;">
                <w:txbxContent>
                  <w:p>
                    <w:pPr>
                      <w:pStyle w:val="7"/>
                      <w:ind w:firstLine="360"/>
                      <w:jc w:val="center"/>
                      <w:rPr>
                        <w:rFonts w:hint="eastAsia"/>
                      </w:rPr>
                    </w:pPr>
                    <w:r>
                      <w:fldChar w:fldCharType="begin"/>
                    </w:r>
                    <w:r>
                      <w:instrText xml:space="preserve">PAGE   \* MERGEFORMAT</w:instrText>
                    </w:r>
                    <w:r>
                      <w:fldChar w:fldCharType="separate"/>
                    </w:r>
                    <w:r>
                      <w:rPr>
                        <w:lang w:val="zh-CN"/>
                      </w:rPr>
                      <w:t>126</w:t>
                    </w:r>
                    <w:r>
                      <w:fldChar w:fldCharType="end"/>
                    </w:r>
                  </w:p>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sz w:val="24"/>
      </w:rPr>
    </w:pPr>
    <w:r>
      <w:rPr>
        <w:rStyle w:val="15"/>
        <w:rFonts w:hint="eastAsia"/>
      </w:rPr>
      <w:t>技术规格及要求</w:t>
    </w:r>
    <w:r>
      <w:rPr>
        <w:rStyle w:val="15"/>
      </w:rPr>
      <w:t xml:space="preserve">                    5-</w:t>
    </w:r>
    <w:r>
      <w:fldChar w:fldCharType="begin"/>
    </w:r>
    <w:r>
      <w:rPr>
        <w:rStyle w:val="15"/>
      </w:rPr>
      <w:instrText xml:space="preserve"> PAGE </w:instrText>
    </w:r>
    <w:r>
      <w:fldChar w:fldCharType="separate"/>
    </w:r>
    <w:r>
      <w:rPr>
        <w:rStyle w:val="15"/>
      </w:rP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rPr>
                              <w:rFonts w:hint="eastAsia"/>
                            </w:rP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ind w:firstLine="360"/>
                      <w:rPr>
                        <w:rFonts w:hint="eastAsia"/>
                      </w:rPr>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720" w:firstLine="0" w:firstLineChars="0"/>
      <w:jc w:val="both"/>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57221"/>
    <w:multiLevelType w:val="multilevel"/>
    <w:tmpl w:val="09D57221"/>
    <w:lvl w:ilvl="0" w:tentative="0">
      <w:start w:val="1"/>
      <w:numFmt w:val="decimal"/>
      <w:lvlText w:val="%1."/>
      <w:lvlJc w:val="left"/>
      <w:pPr>
        <w:ind w:left="420" w:hanging="420"/>
      </w:pPr>
      <w:rPr>
        <w:rFonts w:hint="eastAsia" w:cs="Times New Roman"/>
      </w:rPr>
    </w:lvl>
    <w:lvl w:ilvl="1" w:tentative="0">
      <w:start w:val="1"/>
      <w:numFmt w:val="decimal"/>
      <w:isLgl/>
      <w:lvlText w:val="%1.%2"/>
      <w:lvlJc w:val="left"/>
      <w:pPr>
        <w:ind w:left="390" w:hanging="390"/>
      </w:pPr>
      <w:rPr>
        <w:rFonts w:hint="default" w:ascii="宋体" w:hAnsi="宋体" w:eastAsia="宋体" w:cs="Times New Roman"/>
      </w:rPr>
    </w:lvl>
    <w:lvl w:ilvl="2" w:tentative="0">
      <w:start w:val="1"/>
      <w:numFmt w:val="decimal"/>
      <w:isLgl/>
      <w:lvlText w:val="%1.%2.%3"/>
      <w:lvlJc w:val="left"/>
      <w:pPr>
        <w:ind w:left="720" w:hanging="720"/>
      </w:pPr>
      <w:rPr>
        <w:rFonts w:hint="eastAsia" w:ascii="仿宋_GB2312" w:eastAsia="仿宋_GB2312"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440" w:hanging="144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800" w:hanging="1800"/>
      </w:pPr>
      <w:rPr>
        <w:rFonts w:hint="default" w:cs="Times New Roman"/>
      </w:rPr>
    </w:lvl>
  </w:abstractNum>
  <w:abstractNum w:abstractNumId="1">
    <w:nsid w:val="12FA37AA"/>
    <w:multiLevelType w:val="singleLevel"/>
    <w:tmpl w:val="12FA37AA"/>
    <w:lvl w:ilvl="0" w:tentative="0">
      <w:start w:val="14"/>
      <w:numFmt w:val="decimal"/>
      <w:lvlText w:val="%1."/>
      <w:lvlJc w:val="left"/>
      <w:pPr>
        <w:tabs>
          <w:tab w:val="left" w:pos="312"/>
        </w:tabs>
      </w:pPr>
    </w:lvl>
  </w:abstractNum>
  <w:abstractNum w:abstractNumId="2">
    <w:nsid w:val="176D6F7F"/>
    <w:multiLevelType w:val="singleLevel"/>
    <w:tmpl w:val="176D6F7F"/>
    <w:lvl w:ilvl="0" w:tentative="0">
      <w:start w:val="1"/>
      <w:numFmt w:val="decimal"/>
      <w:suff w:val="nothing"/>
      <w:lvlText w:val="（%1）"/>
      <w:lvlJc w:val="left"/>
    </w:lvl>
  </w:abstractNum>
  <w:abstractNum w:abstractNumId="3">
    <w:nsid w:val="48230890"/>
    <w:multiLevelType w:val="singleLevel"/>
    <w:tmpl w:val="48230890"/>
    <w:lvl w:ilvl="0" w:tentative="0">
      <w:start w:val="1"/>
      <w:numFmt w:val="decimal"/>
      <w:suff w:val="nothing"/>
      <w:lvlText w:val="（%1）"/>
      <w:lvlJc w:val="left"/>
    </w:lvl>
  </w:abstractNum>
  <w:abstractNum w:abstractNumId="4">
    <w:nsid w:val="53FA600F"/>
    <w:multiLevelType w:val="multilevel"/>
    <w:tmpl w:val="53FA600F"/>
    <w:lvl w:ilvl="0" w:tentative="0">
      <w:start w:val="1"/>
      <w:numFmt w:val="decimal"/>
      <w:lvlText w:val="%1."/>
      <w:lvlJc w:val="left"/>
      <w:pPr>
        <w:tabs>
          <w:tab w:val="left" w:pos="680"/>
        </w:tabs>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MmE0Y2QwNGY0M2JlY2YyN2I3YTliZTY2YjMyZDAifQ=="/>
  </w:docVars>
  <w:rsids>
    <w:rsidRoot w:val="00D74219"/>
    <w:rsid w:val="00313263"/>
    <w:rsid w:val="006E42B8"/>
    <w:rsid w:val="006E7536"/>
    <w:rsid w:val="00810EFB"/>
    <w:rsid w:val="00B05EFD"/>
    <w:rsid w:val="00BC63C2"/>
    <w:rsid w:val="00BD0C88"/>
    <w:rsid w:val="00CA5C37"/>
    <w:rsid w:val="00CA7EBF"/>
    <w:rsid w:val="00CC02DC"/>
    <w:rsid w:val="00D60593"/>
    <w:rsid w:val="00D74219"/>
    <w:rsid w:val="0351388C"/>
    <w:rsid w:val="035257C1"/>
    <w:rsid w:val="0707572D"/>
    <w:rsid w:val="0E9B4A7C"/>
    <w:rsid w:val="18BD1C8B"/>
    <w:rsid w:val="190E0A43"/>
    <w:rsid w:val="1B552BF9"/>
    <w:rsid w:val="1F6E3CDF"/>
    <w:rsid w:val="218D59BB"/>
    <w:rsid w:val="222409B9"/>
    <w:rsid w:val="24542E84"/>
    <w:rsid w:val="26977086"/>
    <w:rsid w:val="295E1CD8"/>
    <w:rsid w:val="2ED04881"/>
    <w:rsid w:val="2F142509"/>
    <w:rsid w:val="30CB67D6"/>
    <w:rsid w:val="38B47475"/>
    <w:rsid w:val="3D1645DB"/>
    <w:rsid w:val="3F302C3B"/>
    <w:rsid w:val="40A922B3"/>
    <w:rsid w:val="41AD023F"/>
    <w:rsid w:val="474B5BA4"/>
    <w:rsid w:val="48143B83"/>
    <w:rsid w:val="560E1C4A"/>
    <w:rsid w:val="5B6C4C4F"/>
    <w:rsid w:val="5DA0185E"/>
    <w:rsid w:val="5DE84D7F"/>
    <w:rsid w:val="5F025016"/>
    <w:rsid w:val="5F270B71"/>
    <w:rsid w:val="69275967"/>
    <w:rsid w:val="6D081B76"/>
    <w:rsid w:val="723B31C1"/>
    <w:rsid w:val="739C3984"/>
    <w:rsid w:val="73AE0210"/>
    <w:rsid w:val="76F04BF1"/>
    <w:rsid w:val="79395DFF"/>
    <w:rsid w:val="79C3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宋体" w:hAnsi="宋体" w:eastAsia="宋体" w:cs="宋体"/>
      <w:kern w:val="2"/>
      <w:sz w:val="21"/>
      <w:szCs w:val="22"/>
      <w:lang w:val="en-US" w:eastAsia="zh-CN" w:bidi="ar-SA"/>
    </w:rPr>
  </w:style>
  <w:style w:type="paragraph" w:styleId="2">
    <w:name w:val="heading 1"/>
    <w:basedOn w:val="1"/>
    <w:next w:val="1"/>
    <w:autoRedefine/>
    <w:qFormat/>
    <w:uiPriority w:val="9"/>
    <w:pPr>
      <w:keepNext/>
      <w:keepLines/>
      <w:widowControl/>
      <w:spacing w:before="100" w:beforeLines="100" w:after="120" w:line="578" w:lineRule="atLeast"/>
      <w:ind w:firstLine="0" w:firstLineChars="0"/>
      <w:jc w:val="center"/>
      <w:outlineLvl w:val="0"/>
    </w:pPr>
    <w:rPr>
      <w:b/>
      <w:bCs/>
      <w:kern w:val="44"/>
      <w:sz w:val="44"/>
      <w:szCs w:val="44"/>
      <w:lang w:eastAsia="en-US"/>
    </w:rPr>
  </w:style>
  <w:style w:type="paragraph" w:styleId="3">
    <w:name w:val="heading 2"/>
    <w:basedOn w:val="1"/>
    <w:next w:val="1"/>
    <w:autoRedefine/>
    <w:unhideWhenUsed/>
    <w:qFormat/>
    <w:uiPriority w:val="9"/>
    <w:pPr>
      <w:keepNext/>
      <w:keepLines/>
      <w:widowControl/>
      <w:spacing w:before="20" w:beforeLines="20" w:after="20" w:afterLines="20" w:line="240" w:lineRule="auto"/>
      <w:ind w:firstLine="0" w:firstLineChars="0"/>
      <w:jc w:val="left"/>
      <w:outlineLvl w:val="1"/>
    </w:pPr>
    <w:rPr>
      <w:b/>
      <w:bCs/>
      <w:color w:val="000000"/>
      <w:kern w:val="0"/>
      <w:sz w:val="32"/>
      <w:szCs w:val="26"/>
      <w:lang w:eastAsia="en-US"/>
    </w:rPr>
  </w:style>
  <w:style w:type="paragraph" w:styleId="4">
    <w:name w:val="heading 3"/>
    <w:basedOn w:val="1"/>
    <w:next w:val="1"/>
    <w:autoRedefine/>
    <w:unhideWhenUsed/>
    <w:qFormat/>
    <w:uiPriority w:val="9"/>
    <w:pPr>
      <w:keepNext/>
      <w:keepLines/>
      <w:ind w:firstLine="0" w:firstLineChars="0"/>
      <w:outlineLvl w:val="2"/>
    </w:pPr>
    <w:rPr>
      <w:b/>
      <w:bCs/>
      <w:sz w:val="28"/>
      <w:szCs w:val="32"/>
    </w:rPr>
  </w:style>
  <w:style w:type="character" w:default="1" w:styleId="14">
    <w:name w:val="Default Paragraph Font"/>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unhideWhenUsed/>
    <w:qFormat/>
    <w:uiPriority w:val="0"/>
    <w:rPr>
      <w:rFonts w:ascii="Calibri" w:hAnsi="Calibri"/>
    </w:rPr>
  </w:style>
  <w:style w:type="paragraph" w:styleId="6">
    <w:name w:val="toc 3"/>
    <w:basedOn w:val="1"/>
    <w:next w:val="1"/>
    <w:uiPriority w:val="0"/>
    <w:pPr>
      <w:ind w:left="840" w:leftChars="40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List"/>
    <w:basedOn w:val="1"/>
    <w:autoRedefine/>
    <w:unhideWhenUsed/>
    <w:qFormat/>
    <w:uiPriority w:val="99"/>
    <w:pPr>
      <w:ind w:left="420" w:hanging="420"/>
    </w:pPr>
    <w:rPr>
      <w:rFonts w:ascii="Wingdings" w:hAnsi="Wingdings" w:cs="Times New Roman"/>
      <w:szCs w:val="21"/>
    </w:rPr>
  </w:style>
  <w:style w:type="paragraph" w:styleId="11">
    <w:name w:val="toc 2"/>
    <w:basedOn w:val="1"/>
    <w:next w:val="1"/>
    <w:uiPriority w:val="0"/>
    <w:pPr>
      <w:ind w:left="420" w:leftChars="200"/>
    </w:pPr>
  </w:style>
  <w:style w:type="paragraph" w:styleId="12">
    <w:name w:val="Normal (Web)"/>
    <w:basedOn w:val="1"/>
    <w:autoRedefine/>
    <w:qFormat/>
    <w:uiPriority w:val="0"/>
    <w:pPr>
      <w:widowControl/>
      <w:spacing w:before="100" w:beforeAutospacing="1" w:after="100" w:afterAutospacing="1"/>
      <w:jc w:val="left"/>
    </w:pPr>
    <w:rPr>
      <w:rFonts w:hint="eastAsia"/>
      <w:kern w:val="0"/>
      <w:sz w:val="24"/>
    </w:rPr>
  </w:style>
  <w:style w:type="character" w:styleId="15">
    <w:name w:val="page number"/>
    <w:autoRedefine/>
    <w:qFormat/>
    <w:uiPriority w:val="0"/>
  </w:style>
  <w:style w:type="character" w:styleId="16">
    <w:name w:val="Hyperlink"/>
    <w:autoRedefine/>
    <w:qFormat/>
    <w:uiPriority w:val="99"/>
    <w:rPr>
      <w:color w:val="0000FF"/>
      <w:u w:val="single"/>
    </w:rPr>
  </w:style>
  <w:style w:type="character" w:styleId="17">
    <w:name w:val="annotation reference"/>
    <w:basedOn w:val="14"/>
    <w:autoRedefine/>
    <w:unhideWhenUsed/>
    <w:qFormat/>
    <w:uiPriority w:val="99"/>
    <w:rPr>
      <w:sz w:val="21"/>
      <w:szCs w:val="21"/>
    </w:rPr>
  </w:style>
  <w:style w:type="paragraph" w:customStyle="1" w:styleId="18">
    <w:name w:val="小节"/>
    <w:basedOn w:val="1"/>
    <w:autoRedefine/>
    <w:qFormat/>
    <w:uiPriority w:val="0"/>
    <w:pPr>
      <w:ind w:firstLine="0" w:firstLineChars="0"/>
      <w:jc w:val="center"/>
      <w:outlineLvl w:val="1"/>
    </w:pPr>
    <w:rPr>
      <w:rFonts w:hint="eastAsia"/>
      <w:b/>
      <w:sz w:val="32"/>
    </w:rPr>
  </w:style>
  <w:style w:type="paragraph" w:customStyle="1" w:styleId="19">
    <w:name w:val="附件"/>
    <w:basedOn w:val="1"/>
    <w:autoRedefine/>
    <w:qFormat/>
    <w:uiPriority w:val="0"/>
    <w:pPr>
      <w:ind w:firstLine="0" w:firstLineChars="0"/>
      <w:outlineLvl w:val="2"/>
    </w:pPr>
    <w:rPr>
      <w:rFonts w:hint="eastAsia"/>
      <w:b/>
      <w:sz w:val="28"/>
    </w:rPr>
  </w:style>
  <w:style w:type="paragraph" w:styleId="20">
    <w:name w:val="No Spacing"/>
    <w:autoRedefine/>
    <w:qFormat/>
    <w:uiPriority w:val="99"/>
    <w:pPr>
      <w:widowControl w:val="0"/>
      <w:ind w:firstLine="420" w:firstLineChars="200"/>
      <w:jc w:val="both"/>
    </w:pPr>
    <w:rPr>
      <w:rFonts w:ascii="Times New Roman" w:hAnsi="Times New Roman" w:eastAsia="仿宋_GB2312" w:cs="Times New Roman"/>
      <w:kern w:val="2"/>
      <w:sz w:val="32"/>
      <w:lang w:val="en-US" w:eastAsia="zh-CN" w:bidi="ar-SA"/>
    </w:rPr>
  </w:style>
  <w:style w:type="paragraph" w:customStyle="1" w:styleId="21">
    <w:name w:val="标题11"/>
    <w:basedOn w:val="1"/>
    <w:autoRedefine/>
    <w:qFormat/>
    <w:uiPriority w:val="99"/>
    <w:pPr>
      <w:tabs>
        <w:tab w:val="left" w:pos="941"/>
      </w:tabs>
      <w:spacing w:before="120" w:after="120"/>
      <w:outlineLvl w:val="0"/>
    </w:pPr>
    <w:rPr>
      <w:kern w:val="0"/>
      <w:sz w:val="24"/>
    </w:rPr>
  </w:style>
  <w:style w:type="paragraph" w:customStyle="1" w:styleId="22">
    <w:name w:val="修订1"/>
    <w:autoRedefine/>
    <w:hidden/>
    <w:unhideWhenUsed/>
    <w:qFormat/>
    <w:uiPriority w:val="99"/>
    <w:rPr>
      <w:rFonts w:ascii="宋体" w:hAnsi="宋体" w:eastAsia="宋体" w:cs="宋体"/>
      <w:kern w:val="2"/>
      <w:sz w:val="21"/>
      <w:szCs w:val="22"/>
      <w:lang w:val="en-US" w:eastAsia="zh-CN" w:bidi="ar-SA"/>
    </w:rPr>
  </w:style>
  <w:style w:type="paragraph" w:customStyle="1" w:styleId="23">
    <w:name w:val="Revision"/>
    <w:autoRedefine/>
    <w:hidden/>
    <w:unhideWhenUsed/>
    <w:qFormat/>
    <w:uiPriority w:val="99"/>
    <w:rPr>
      <w:rFonts w:ascii="宋体" w:hAnsi="宋体"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13004</Words>
  <Characters>74124</Characters>
  <Lines>617</Lines>
  <Paragraphs>173</Paragraphs>
  <TotalTime>4</TotalTime>
  <ScaleCrop>false</ScaleCrop>
  <LinksUpToDate>false</LinksUpToDate>
  <CharactersWithSpaces>86955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2023-09-27T08:48:00Z</dcterms:created>
  <dc:creator>Administrator</dc:creator>
  <cp:lastModifiedBy>Administrator</cp:lastModifiedBy>
  <dcterms:modified xsi:type="dcterms:W3CDTF">2024-10-11T02:19:12Z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CC43BD4644D44B388AEE69E2D243C93D_13</vt:lpwstr>
  </property>
</Properties>
</file>