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spacing w:line="360" w:lineRule="auto"/>
        <w:ind w:firstLine="2088" w:firstLineChars="650"/>
        <w:jc w:val="left"/>
        <w:rPr>
          <w:rFonts w:hint="eastAsia" w:ascii="仿宋_GB2312" w:hAnsi="仿宋_GB2312" w:eastAsia="仿宋_GB2312" w:cs="仿宋_GB2312"/>
          <w:b/>
          <w:bCs/>
          <w:snapToGrid w:val="0"/>
          <w:kern w:val="0"/>
          <w:sz w:val="32"/>
          <w:szCs w:val="32"/>
        </w:rPr>
      </w:pPr>
      <w:bookmarkStart w:id="0" w:name="_Toc1288"/>
      <w:r>
        <w:rPr>
          <w:rFonts w:hint="eastAsia" w:ascii="仿宋_GB2312" w:hAnsi="仿宋_GB2312" w:eastAsia="仿宋_GB2312" w:cs="仿宋_GB2312"/>
          <w:b/>
          <w:bCs/>
          <w:snapToGrid w:val="0"/>
          <w:kern w:val="0"/>
          <w:sz w:val="32"/>
          <w:szCs w:val="32"/>
        </w:rPr>
        <w:t>防城港市防城区那良镇范河村</w:t>
      </w:r>
    </w:p>
    <w:p>
      <w:pPr>
        <w:kinsoku w:val="0"/>
        <w:autoSpaceDE w:val="0"/>
        <w:autoSpaceDN w:val="0"/>
        <w:spacing w:line="360" w:lineRule="auto"/>
        <w:ind w:firstLine="1124" w:firstLineChars="350"/>
        <w:jc w:val="left"/>
        <w:rPr>
          <w:rFonts w:hint="eastAsia" w:ascii="仿宋_GB2312" w:hAnsi="仿宋_GB2312" w:eastAsia="仿宋_GB2312" w:cs="仿宋_GB2312"/>
          <w:b/>
          <w:bCs/>
          <w:snapToGrid w:val="0"/>
          <w:kern w:val="0"/>
          <w:sz w:val="36"/>
          <w:szCs w:val="36"/>
        </w:rPr>
      </w:pPr>
      <w:r>
        <w:rPr>
          <w:rFonts w:hint="eastAsia" w:ascii="仿宋_GB2312" w:hAnsi="仿宋_GB2312" w:eastAsia="仿宋_GB2312" w:cs="仿宋_GB2312"/>
          <w:b/>
          <w:bCs/>
          <w:snapToGrid w:val="0"/>
          <w:kern w:val="0"/>
          <w:sz w:val="32"/>
          <w:szCs w:val="32"/>
        </w:rPr>
        <w:t>新农业新能源一体化分布式光伏发电项目</w:t>
      </w:r>
    </w:p>
    <w:p>
      <w:pPr>
        <w:topLinePunct/>
        <w:spacing w:line="240" w:lineRule="auto"/>
        <w:ind w:firstLine="2530" w:firstLineChars="900"/>
        <w:jc w:val="left"/>
        <w:outlineLvl w:val="0"/>
        <w:rPr>
          <w:rFonts w:hint="eastAsia" w:ascii="仿宋_GB2312" w:hAnsi="仿宋_GB2312" w:eastAsia="仿宋_GB2312" w:cs="仿宋_GB2312"/>
          <w:b/>
          <w:bCs/>
          <w:sz w:val="28"/>
          <w:szCs w:val="28"/>
        </w:rPr>
      </w:pPr>
      <w:r>
        <w:rPr>
          <w:rFonts w:hint="default" w:ascii="仿宋_GB2312" w:hAnsi="仿宋_GB2312" w:eastAsia="仿宋_GB2312" w:cs="仿宋_GB2312"/>
          <w:b/>
          <w:bCs/>
          <w:sz w:val="28"/>
          <w:szCs w:val="28"/>
          <w:lang w:val="en-US"/>
        </w:rPr>
        <w:t>12月份工地</w:t>
      </w:r>
      <w:r>
        <w:rPr>
          <w:rFonts w:hint="eastAsia" w:ascii="仿宋_GB2312" w:hAnsi="仿宋_GB2312" w:eastAsia="仿宋_GB2312" w:cs="仿宋_GB2312"/>
          <w:b/>
          <w:bCs/>
          <w:sz w:val="28"/>
          <w:szCs w:val="28"/>
        </w:rPr>
        <w:t>例会会议纪要</w:t>
      </w:r>
    </w:p>
    <w:p>
      <w:pPr>
        <w:topLinePunct/>
        <w:spacing w:line="360" w:lineRule="auto"/>
        <w:ind w:left="8117" w:hanging="8117" w:hangingChars="3850"/>
        <w:jc w:val="left"/>
        <w:outlineLvl w:val="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编号：</w:t>
      </w:r>
      <w:r>
        <w:rPr>
          <w:rFonts w:hint="eastAsia" w:ascii="仿宋_GB2312" w:hAnsi="仿宋_GB2312" w:eastAsia="仿宋_GB2312" w:cs="仿宋_GB2312"/>
          <w:b/>
          <w:bCs/>
          <w:sz w:val="21"/>
          <w:szCs w:val="21"/>
          <w:lang w:val="en-US"/>
        </w:rPr>
        <w:t xml:space="preserve">  </w:t>
      </w:r>
      <w:r>
        <w:rPr>
          <w:rFonts w:hint="default" w:ascii="仿宋_GB2312" w:hAnsi="仿宋_GB2312" w:eastAsia="仿宋_GB2312" w:cs="仿宋_GB2312"/>
          <w:b/>
          <w:bCs/>
          <w:sz w:val="21"/>
          <w:szCs w:val="21"/>
          <w:lang w:val="en-US"/>
        </w:rPr>
        <w:t>FCGGF-GKXNY-GDLH-002</w:t>
      </w:r>
      <w:r>
        <w:rPr>
          <w:rFonts w:hint="eastAsia"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 xml:space="preserve"> </w:t>
      </w:r>
      <w:r>
        <w:rPr>
          <w:rFonts w:hint="default"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签发</w:t>
      </w:r>
      <w:r>
        <w:rPr>
          <w:rFonts w:hint="eastAsia" w:ascii="仿宋_GB2312" w:hAnsi="仿宋_GB2312" w:eastAsia="仿宋_GB2312" w:cs="仿宋_GB2312"/>
          <w:b/>
          <w:bCs/>
          <w:sz w:val="21"/>
          <w:szCs w:val="21"/>
          <w:lang w:eastAsia="zh-CN"/>
        </w:rPr>
        <w:t>：</w:t>
      </w:r>
    </w:p>
    <w:tbl>
      <w:tblPr>
        <w:tblStyle w:val="17"/>
        <w:tblpPr w:leftFromText="180" w:rightFromText="180" w:vertAnchor="text" w:horzAnchor="page" w:tblpX="1100" w:tblpY="100"/>
        <w:tblOverlap w:val="never"/>
        <w:tblW w:w="6253"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44"/>
        <w:gridCol w:w="1351"/>
        <w:gridCol w:w="3369"/>
        <w:gridCol w:w="1307"/>
        <w:gridCol w:w="195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9" w:hRule="atLeast"/>
        </w:trPr>
        <w:tc>
          <w:tcPr>
            <w:tcW w:w="1172" w:type="pct"/>
            <w:tcMar>
              <w:left w:w="0" w:type="dxa"/>
              <w:right w:w="0" w:type="dxa"/>
            </w:tcMar>
            <w:vAlign w:val="center"/>
          </w:tcPr>
          <w:p>
            <w:pPr>
              <w:spacing w:before="100" w:after="100" w:line="360" w:lineRule="auto"/>
              <w:jc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sz w:val="22"/>
                <w:szCs w:val="22"/>
              </w:rPr>
              <w:t>会议地点</w:t>
            </w:r>
          </w:p>
        </w:tc>
        <w:tc>
          <w:tcPr>
            <w:tcW w:w="2264" w:type="pct"/>
            <w:gridSpan w:val="2"/>
            <w:tcMar>
              <w:left w:w="0" w:type="dxa"/>
              <w:right w:w="0" w:type="dxa"/>
            </w:tcMar>
            <w:vAlign w:val="center"/>
          </w:tcPr>
          <w:p>
            <w:pPr>
              <w:spacing w:before="100" w:after="100" w:line="360" w:lineRule="auto"/>
              <w:jc w:val="center"/>
              <w:rPr>
                <w:rFonts w:hint="eastAsia" w:ascii="仿宋_GB2312" w:hAnsi="仿宋_GB2312" w:eastAsia="仿宋_GB2312" w:cs="仿宋_GB2312"/>
                <w:b/>
                <w:bCs/>
                <w:spacing w:val="40"/>
                <w:sz w:val="22"/>
                <w:szCs w:val="22"/>
                <w:lang w:eastAsia="zh-CN"/>
              </w:rPr>
            </w:pPr>
            <w:r>
              <w:rPr>
                <w:rFonts w:hint="eastAsia" w:ascii="仿宋_GB2312" w:hAnsi="仿宋_GB2312" w:eastAsia="仿宋_GB2312" w:cs="仿宋_GB2312"/>
                <w:b/>
                <w:bCs/>
                <w:sz w:val="22"/>
                <w:szCs w:val="22"/>
                <w:lang w:val="en-US" w:eastAsia="zh-CN"/>
              </w:rPr>
              <w:t>总包会议室</w:t>
            </w:r>
          </w:p>
        </w:tc>
        <w:tc>
          <w:tcPr>
            <w:tcW w:w="627" w:type="pct"/>
            <w:tcMar>
              <w:left w:w="0" w:type="dxa"/>
              <w:right w:w="0" w:type="dxa"/>
            </w:tcMar>
            <w:vAlign w:val="center"/>
          </w:tcPr>
          <w:p>
            <w:pPr>
              <w:spacing w:before="100" w:after="100" w:line="360" w:lineRule="auto"/>
              <w:jc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sz w:val="22"/>
                <w:szCs w:val="22"/>
              </w:rPr>
              <w:t>会议时间</w:t>
            </w:r>
          </w:p>
        </w:tc>
        <w:tc>
          <w:tcPr>
            <w:tcW w:w="936" w:type="pct"/>
            <w:tcMar>
              <w:left w:w="0" w:type="dxa"/>
              <w:right w:w="0" w:type="dxa"/>
            </w:tcMar>
            <w:vAlign w:val="center"/>
          </w:tcPr>
          <w:p>
            <w:pPr>
              <w:spacing w:before="100" w:after="100" w:line="360" w:lineRule="auto"/>
              <w:jc w:val="center"/>
              <w:rPr>
                <w:rFonts w:hint="eastAsia" w:ascii="仿宋_GB2312" w:hAnsi="仿宋_GB2312" w:eastAsia="仿宋_GB2312" w:cs="仿宋_GB2312"/>
                <w:b/>
                <w:bCs/>
                <w:spacing w:val="40"/>
                <w:sz w:val="22"/>
                <w:szCs w:val="22"/>
              </w:rPr>
            </w:pPr>
            <w:r>
              <w:rPr>
                <w:rFonts w:hint="eastAsia" w:ascii="仿宋_GB2312" w:hAnsi="仿宋_GB2312" w:eastAsia="仿宋_GB2312" w:cs="仿宋_GB2312"/>
                <w:b/>
                <w:bCs/>
                <w:sz w:val="22"/>
                <w:szCs w:val="22"/>
              </w:rPr>
              <w:t>202</w:t>
            </w:r>
            <w:r>
              <w:rPr>
                <w:rFonts w:hint="default" w:ascii="仿宋_GB2312" w:hAnsi="仿宋_GB2312" w:eastAsia="仿宋_GB2312" w:cs="仿宋_GB2312"/>
                <w:b/>
                <w:bCs/>
                <w:sz w:val="22"/>
                <w:szCs w:val="22"/>
                <w:lang w:val="en-US"/>
              </w:rPr>
              <w:t>4</w:t>
            </w:r>
            <w:r>
              <w:rPr>
                <w:rFonts w:hint="eastAsia" w:ascii="仿宋_GB2312" w:hAnsi="仿宋_GB2312" w:eastAsia="仿宋_GB2312" w:cs="仿宋_GB2312"/>
                <w:b/>
                <w:bCs/>
                <w:sz w:val="22"/>
                <w:szCs w:val="22"/>
              </w:rPr>
              <w:t>年</w:t>
            </w:r>
            <w:r>
              <w:rPr>
                <w:rFonts w:hint="default" w:ascii="仿宋_GB2312" w:hAnsi="仿宋_GB2312" w:eastAsia="仿宋_GB2312" w:cs="仿宋_GB2312"/>
                <w:b/>
                <w:bCs/>
                <w:sz w:val="22"/>
                <w:szCs w:val="22"/>
                <w:lang w:val="en-US"/>
              </w:rPr>
              <w:t>12</w:t>
            </w:r>
            <w:r>
              <w:rPr>
                <w:rFonts w:hint="eastAsia" w:ascii="仿宋_GB2312" w:hAnsi="仿宋_GB2312" w:eastAsia="仿宋_GB2312" w:cs="仿宋_GB2312"/>
                <w:b/>
                <w:bCs/>
                <w:sz w:val="22"/>
                <w:szCs w:val="22"/>
              </w:rPr>
              <w:t>月</w:t>
            </w:r>
            <w:r>
              <w:rPr>
                <w:rFonts w:hint="default" w:ascii="仿宋_GB2312" w:hAnsi="仿宋_GB2312" w:eastAsia="仿宋_GB2312" w:cs="仿宋_GB2312"/>
                <w:b/>
                <w:bCs/>
                <w:sz w:val="22"/>
                <w:szCs w:val="22"/>
                <w:lang w:val="en-US"/>
              </w:rPr>
              <w:t>18</w:t>
            </w:r>
            <w:r>
              <w:rPr>
                <w:rFonts w:hint="eastAsia" w:ascii="仿宋_GB2312" w:hAnsi="仿宋_GB2312" w:eastAsia="仿宋_GB2312" w:cs="仿宋_GB2312"/>
                <w:b/>
                <w:bCs/>
                <w:sz w:val="22"/>
                <w:szCs w:val="22"/>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72" w:type="pct"/>
            <w:tcMar>
              <w:left w:w="0" w:type="dxa"/>
              <w:right w:w="0" w:type="dxa"/>
            </w:tcMar>
            <w:vAlign w:val="center"/>
          </w:tcPr>
          <w:p>
            <w:pPr>
              <w:spacing w:before="100" w:after="100" w:line="360" w:lineRule="auto"/>
              <w:jc w:val="center"/>
              <w:rPr>
                <w:rFonts w:hint="eastAsia" w:ascii="仿宋_GB2312" w:hAnsi="仿宋_GB2312" w:eastAsia="仿宋_GB2312" w:cs="仿宋_GB2312"/>
                <w:b/>
                <w:bCs/>
                <w:sz w:val="22"/>
                <w:szCs w:val="22"/>
              </w:rPr>
            </w:pPr>
            <w:r>
              <w:rPr>
                <w:rFonts w:hint="eastAsia" w:ascii="仿宋_GB2312" w:hAnsi="仿宋_GB2312" w:eastAsia="仿宋_GB2312" w:cs="仿宋_GB2312"/>
                <w:b/>
                <w:bCs/>
                <w:sz w:val="22"/>
                <w:szCs w:val="22"/>
              </w:rPr>
              <w:t>会议主持人</w:t>
            </w:r>
          </w:p>
        </w:tc>
        <w:tc>
          <w:tcPr>
            <w:tcW w:w="3827" w:type="pct"/>
            <w:gridSpan w:val="4"/>
            <w:tcMar>
              <w:left w:w="0" w:type="dxa"/>
              <w:right w:w="0" w:type="dxa"/>
            </w:tcMar>
            <w:vAlign w:val="center"/>
          </w:tcPr>
          <w:p>
            <w:pPr>
              <w:spacing w:before="100" w:after="100" w:line="360" w:lineRule="auto"/>
              <w:jc w:val="center"/>
              <w:rPr>
                <w:rFonts w:hint="eastAsia" w:ascii="仿宋_GB2312" w:hAnsi="仿宋_GB2312" w:eastAsia="仿宋_GB2312" w:cs="仿宋_GB2312"/>
                <w:b/>
                <w:bCs/>
                <w:spacing w:val="40"/>
                <w:sz w:val="22"/>
                <w:szCs w:val="22"/>
                <w:lang w:eastAsia="zh-CN"/>
              </w:rPr>
            </w:pPr>
            <w:r>
              <w:rPr>
                <w:rFonts w:hint="eastAsia" w:ascii="仿宋_GB2312" w:hAnsi="仿宋_GB2312" w:eastAsia="仿宋_GB2312" w:cs="仿宋_GB2312"/>
                <w:b/>
                <w:bCs/>
                <w:spacing w:val="40"/>
                <w:sz w:val="22"/>
                <w:szCs w:val="22"/>
                <w:lang w:eastAsia="zh-CN"/>
              </w:rPr>
              <w:t>范</w:t>
            </w:r>
            <w:r>
              <w:rPr>
                <w:rFonts w:hint="default" w:ascii="仿宋_GB2312" w:hAnsi="仿宋_GB2312" w:eastAsia="仿宋_GB2312" w:cs="仿宋_GB2312"/>
                <w:b/>
                <w:bCs/>
                <w:spacing w:val="40"/>
                <w:sz w:val="22"/>
                <w:szCs w:val="22"/>
                <w:lang w:val="en-US" w:eastAsia="zh-CN"/>
              </w:rPr>
              <w:t xml:space="preserve">    </w:t>
            </w:r>
            <w:r>
              <w:rPr>
                <w:rFonts w:hint="eastAsia" w:ascii="仿宋_GB2312" w:hAnsi="仿宋_GB2312" w:eastAsia="仿宋_GB2312" w:cs="仿宋_GB2312"/>
                <w:b/>
                <w:bCs/>
                <w:spacing w:val="40"/>
                <w:sz w:val="22"/>
                <w:szCs w:val="22"/>
                <w:lang w:eastAsia="zh-CN"/>
              </w:rPr>
              <w:t>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trPr>
        <w:tc>
          <w:tcPr>
            <w:tcW w:w="5000" w:type="pct"/>
            <w:gridSpan w:val="5"/>
            <w:tcMar>
              <w:left w:w="0" w:type="dxa"/>
              <w:right w:w="0" w:type="dxa"/>
            </w:tcMar>
            <w:vAlign w:val="center"/>
          </w:tcPr>
          <w:p>
            <w:pPr>
              <w:spacing w:before="60" w:after="60" w:line="360" w:lineRule="auto"/>
              <w:ind w:firstLine="1215" w:firstLineChars="550"/>
              <w:rPr>
                <w:rFonts w:hint="eastAsia" w:ascii="仿宋_GB2312" w:hAnsi="仿宋_GB2312" w:eastAsia="仿宋_GB2312" w:cs="仿宋_GB2312"/>
                <w:b/>
                <w:bCs/>
                <w:sz w:val="22"/>
                <w:szCs w:val="22"/>
                <w:lang w:val="en-US"/>
              </w:rPr>
            </w:pPr>
            <w:r>
              <w:rPr>
                <w:rFonts w:hint="eastAsia" w:ascii="仿宋_GB2312" w:hAnsi="仿宋_GB2312" w:eastAsia="仿宋_GB2312" w:cs="仿宋_GB2312"/>
                <w:b/>
                <w:bCs/>
                <w:sz w:val="22"/>
                <w:szCs w:val="22"/>
              </w:rPr>
              <w:t>会议主题：</w:t>
            </w:r>
            <w:r>
              <w:rPr>
                <w:rFonts w:hint="default" w:ascii="仿宋_GB2312" w:hAnsi="仿宋_GB2312" w:eastAsia="仿宋_GB2312" w:cs="仿宋_GB2312"/>
                <w:b/>
                <w:bCs/>
                <w:sz w:val="22"/>
                <w:szCs w:val="22"/>
                <w:lang w:val="en-US"/>
              </w:rPr>
              <w:t xml:space="preserve">          </w:t>
            </w:r>
            <w:r>
              <w:rPr>
                <w:rFonts w:hint="eastAsia" w:ascii="仿宋_GB2312" w:hAnsi="仿宋_GB2312" w:eastAsia="仿宋_GB2312" w:cs="仿宋_GB2312"/>
                <w:b/>
                <w:bCs/>
                <w:sz w:val="22"/>
                <w:szCs w:val="22"/>
              </w:rPr>
              <w:t>关于工程质量、进度、安全会议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9" w:hRule="atLeast"/>
        </w:trPr>
        <w:tc>
          <w:tcPr>
            <w:tcW w:w="5000" w:type="pct"/>
            <w:gridSpan w:val="5"/>
            <w:tcMar>
              <w:left w:w="0" w:type="dxa"/>
              <w:right w:w="0" w:type="dxa"/>
            </w:tcMar>
          </w:tcPr>
          <w:p>
            <w:pPr>
              <w:spacing w:line="360" w:lineRule="auto"/>
              <w:jc w:val="left"/>
              <w:rPr>
                <w:rFonts w:hint="eastAsia" w:ascii="仿宋_GB2312" w:hAnsi="仿宋_GB2312" w:eastAsia="仿宋_GB2312" w:cs="仿宋_GB2312"/>
                <w:b/>
                <w:bCs/>
                <w:sz w:val="24"/>
                <w:szCs w:val="28"/>
              </w:rPr>
            </w:pPr>
            <w:r>
              <w:rPr>
                <w:rFonts w:hint="eastAsia" w:ascii="楷体" w:hAnsi="楷体" w:eastAsia="楷体" w:cs="楷体"/>
                <w:b/>
                <w:bCs/>
                <w:kern w:val="44"/>
                <w:sz w:val="21"/>
                <w:szCs w:val="18"/>
                <w:lang w:val="en-US" w:eastAsia="zh-CN" w:bidi="ar-SA"/>
              </w:rPr>
              <w:t>一、</w:t>
            </w:r>
            <w:r>
              <w:rPr>
                <w:rFonts w:hint="eastAsia" w:ascii="仿宋_GB2312" w:hAnsi="仿宋_GB2312" w:eastAsia="仿宋_GB2312" w:cs="仿宋_GB2312"/>
                <w:b/>
                <w:bCs/>
                <w:sz w:val="22"/>
                <w:szCs w:val="24"/>
              </w:rPr>
              <w:t>参加单位及人员</w:t>
            </w:r>
            <w:r>
              <w:rPr>
                <w:rFonts w:hint="eastAsia" w:ascii="仿宋_GB2312" w:hAnsi="仿宋_GB2312" w:eastAsia="仿宋_GB2312" w:cs="仿宋_GB2312"/>
                <w:b/>
                <w:bCs/>
                <w:sz w:val="24"/>
                <w:szCs w:val="28"/>
              </w:rPr>
              <w:t xml:space="preserve">： </w:t>
            </w:r>
          </w:p>
          <w:p>
            <w:pPr>
              <w:kinsoku w:val="0"/>
              <w:autoSpaceDE w:val="0"/>
              <w:autoSpaceDN w:val="0"/>
              <w:spacing w:line="360" w:lineRule="auto"/>
              <w:ind w:firstLine="395" w:firstLineChars="164"/>
              <w:jc w:val="left"/>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建设单位：防城港港坤新能源开发有限公司</w:t>
            </w:r>
          </w:p>
          <w:p>
            <w:pPr>
              <w:kinsoku w:val="0"/>
              <w:autoSpaceDE w:val="0"/>
              <w:autoSpaceDN w:val="0"/>
              <w:spacing w:line="360" w:lineRule="auto"/>
              <w:ind w:firstLine="395" w:firstLineChars="164"/>
              <w:jc w:val="left"/>
              <w:rPr>
                <w:rFonts w:hint="eastAsia" w:ascii="仿宋_GB2312" w:hAnsi="仿宋_GB2312" w:eastAsia="仿宋_GB2312" w:cs="仿宋_GB2312"/>
                <w:b/>
                <w:bCs/>
                <w:sz w:val="24"/>
                <w:szCs w:val="22"/>
              </w:rPr>
            </w:pPr>
            <w:r>
              <w:rPr>
                <w:rFonts w:hint="eastAsia" w:ascii="仿宋_GB2312" w:hAnsi="仿宋_GB2312" w:eastAsia="仿宋_GB2312" w:cs="仿宋_GB2312"/>
                <w:b/>
                <w:bCs/>
                <w:snapToGrid w:val="0"/>
                <w:kern w:val="0"/>
                <w:sz w:val="24"/>
                <w:szCs w:val="22"/>
              </w:rPr>
              <w:t>监理单位：常州正衡电力工程监理有限公</w:t>
            </w:r>
            <w:r>
              <w:rPr>
                <w:rFonts w:hint="eastAsia" w:ascii="仿宋_GB2312" w:hAnsi="仿宋_GB2312" w:eastAsia="仿宋_GB2312" w:cs="仿宋_GB2312"/>
                <w:b/>
                <w:bCs/>
                <w:sz w:val="24"/>
                <w:szCs w:val="22"/>
              </w:rPr>
              <w:t>司</w:t>
            </w:r>
          </w:p>
          <w:p>
            <w:pPr>
              <w:kinsoku w:val="0"/>
              <w:autoSpaceDE w:val="0"/>
              <w:autoSpaceDN w:val="0"/>
              <w:spacing w:line="360" w:lineRule="auto"/>
              <w:ind w:firstLine="361" w:firstLineChars="150"/>
              <w:jc w:val="left"/>
              <w:rPr>
                <w:rFonts w:hint="eastAsia" w:ascii="仿宋_GB2312" w:hAnsi="仿宋_GB2312" w:eastAsia="仿宋_GB2312" w:cs="仿宋_GB2312"/>
                <w:b/>
                <w:bCs/>
                <w:sz w:val="24"/>
                <w:szCs w:val="22"/>
              </w:rPr>
            </w:pPr>
            <w:r>
              <w:rPr>
                <w:rFonts w:hint="eastAsia" w:ascii="仿宋_GB2312" w:hAnsi="仿宋_GB2312" w:eastAsia="仿宋_GB2312" w:cs="仿宋_GB2312"/>
                <w:b/>
                <w:bCs/>
                <w:snapToGrid w:val="0"/>
                <w:kern w:val="0"/>
                <w:sz w:val="24"/>
                <w:szCs w:val="22"/>
              </w:rPr>
              <w:t>总包单位：安徽成和电力建设有限公</w:t>
            </w:r>
            <w:r>
              <w:rPr>
                <w:rFonts w:hint="eastAsia" w:ascii="仿宋_GB2312" w:hAnsi="仿宋_GB2312" w:eastAsia="仿宋_GB2312" w:cs="仿宋_GB2312"/>
                <w:b/>
                <w:bCs/>
                <w:sz w:val="24"/>
                <w:szCs w:val="22"/>
              </w:rPr>
              <w:t>司</w:t>
            </w:r>
          </w:p>
          <w:p>
            <w:pPr>
              <w:spacing w:before="120" w:after="60" w:line="360" w:lineRule="auto"/>
              <w:ind w:firstLine="361" w:firstLineChars="150"/>
              <w:rPr>
                <w:rFonts w:hint="eastAsia" w:ascii="仿宋_GB2312" w:hAnsi="仿宋_GB2312" w:eastAsia="仿宋_GB2312" w:cs="仿宋_GB2312"/>
                <w:b/>
                <w:bCs/>
                <w:color w:val="auto"/>
                <w:sz w:val="22"/>
                <w:szCs w:val="22"/>
                <w:u w:val="none"/>
                <w:lang w:val="en-US" w:eastAsia="zh-CN"/>
              </w:rPr>
            </w:pPr>
            <w:r>
              <w:rPr>
                <w:rFonts w:hint="eastAsia" w:ascii="仿宋_GB2312" w:hAnsi="仿宋_GB2312" w:eastAsia="仿宋_GB2312" w:cs="仿宋_GB2312"/>
                <w:b/>
                <w:bCs/>
                <w:sz w:val="24"/>
                <w:szCs w:val="24"/>
                <w:lang w:val="en-US" w:eastAsia="zh-CN"/>
              </w:rPr>
              <w:t>参会人员</w:t>
            </w:r>
            <w:r>
              <w:rPr>
                <w:rFonts w:hint="default" w:ascii="仿宋_GB2312" w:hAnsi="仿宋_GB2312" w:eastAsia="仿宋_GB2312" w:cs="仿宋_GB2312"/>
                <w:b/>
                <w:bCs/>
                <w:sz w:val="24"/>
                <w:szCs w:val="24"/>
                <w:lang w:val="en-US" w:eastAsia="zh-CN"/>
              </w:rPr>
              <w:t>:详见会议签到表</w:t>
            </w:r>
            <w:r>
              <w:rPr>
                <w:rFonts w:hint="eastAsia" w:ascii="仿宋_GB2312" w:hAnsi="仿宋_GB2312" w:eastAsia="仿宋_GB2312" w:cs="仿宋_GB2312"/>
                <w:b/>
                <w:bCs/>
                <w:sz w:val="22"/>
                <w:szCs w:val="22"/>
                <w:lang w:val="en-US" w:eastAsia="zh-CN"/>
              </w:rPr>
              <w:t xml:space="preserve">    </w:t>
            </w:r>
          </w:p>
          <w:p>
            <w:pPr>
              <w:spacing w:line="360" w:lineRule="auto"/>
              <w:jc w:val="left"/>
              <w:rPr>
                <w:rFonts w:hint="eastAsia" w:ascii="仿宋_GB2312" w:hAnsi="仿宋_GB2312" w:eastAsia="仿宋_GB2312" w:cs="仿宋_GB2312"/>
                <w:b/>
                <w:bCs/>
                <w:sz w:val="22"/>
                <w:szCs w:val="21"/>
              </w:rPr>
            </w:pPr>
            <w:r>
              <w:rPr>
                <w:rFonts w:hint="eastAsia" w:ascii="仿宋_GB2312" w:hAnsi="仿宋_GB2312" w:eastAsia="仿宋_GB2312" w:cs="仿宋_GB2312"/>
                <w:b/>
                <w:bCs/>
                <w:sz w:val="22"/>
                <w:szCs w:val="21"/>
              </w:rPr>
              <w:t>二</w:t>
            </w:r>
            <w:r>
              <w:rPr>
                <w:rFonts w:hint="eastAsia" w:ascii="楷体" w:hAnsi="楷体" w:eastAsia="楷体" w:cs="楷体"/>
                <w:b/>
                <w:bCs/>
                <w:kern w:val="44"/>
                <w:sz w:val="22"/>
                <w:szCs w:val="20"/>
                <w:lang w:val="en-US" w:eastAsia="zh-CN" w:bidi="ar-SA"/>
              </w:rPr>
              <w:t>、</w:t>
            </w:r>
            <w:r>
              <w:rPr>
                <w:rFonts w:hint="eastAsia" w:ascii="仿宋_GB2312" w:hAnsi="仿宋_GB2312" w:eastAsia="仿宋_GB2312" w:cs="仿宋_GB2312"/>
                <w:b/>
                <w:bCs/>
                <w:sz w:val="22"/>
                <w:szCs w:val="21"/>
              </w:rPr>
              <w:t>会议主要内容与决定：</w:t>
            </w:r>
          </w:p>
          <w:p>
            <w:pPr>
              <w:kinsoku w:val="0"/>
              <w:autoSpaceDE w:val="0"/>
              <w:autoSpaceDN w:val="0"/>
              <w:spacing w:line="360" w:lineRule="auto"/>
              <w:ind w:firstLine="482" w:firstLineChars="200"/>
              <w:jc w:val="left"/>
              <w:rPr>
                <w:rFonts w:hint="eastAsia" w:ascii="仿宋_GB2312" w:hAnsi="仿宋_GB2312" w:eastAsia="仿宋_GB2312" w:cs="仿宋_GB2312"/>
                <w:b/>
                <w:bCs/>
                <w:color w:val="auto"/>
                <w:sz w:val="28"/>
                <w:szCs w:val="28"/>
                <w:u w:val="none"/>
                <w:lang w:val="en-US" w:eastAsia="zh-CN"/>
              </w:rPr>
            </w:pPr>
            <w:r>
              <w:rPr>
                <w:rFonts w:hint="eastAsia" w:ascii="仿宋_GB2312" w:hAnsi="仿宋_GB2312" w:eastAsia="仿宋_GB2312" w:cs="仿宋_GB2312"/>
                <w:b/>
                <w:bCs/>
                <w:color w:val="auto"/>
                <w:sz w:val="24"/>
                <w:szCs w:val="24"/>
                <w:u w:val="none"/>
                <w:lang w:val="en-US" w:eastAsia="zh-CN"/>
              </w:rPr>
              <w:t>202</w:t>
            </w:r>
            <w:r>
              <w:rPr>
                <w:rFonts w:hint="default" w:ascii="仿宋_GB2312" w:hAnsi="仿宋_GB2312" w:eastAsia="仿宋_GB2312" w:cs="仿宋_GB2312"/>
                <w:b/>
                <w:bCs/>
                <w:color w:val="auto"/>
                <w:sz w:val="24"/>
                <w:szCs w:val="24"/>
                <w:u w:val="none"/>
                <w:lang w:val="en-US" w:eastAsia="zh-CN"/>
              </w:rPr>
              <w:t>4</w:t>
            </w:r>
            <w:r>
              <w:rPr>
                <w:rFonts w:hint="eastAsia" w:ascii="仿宋_GB2312" w:hAnsi="仿宋_GB2312" w:eastAsia="仿宋_GB2312" w:cs="仿宋_GB2312"/>
                <w:b/>
                <w:bCs/>
                <w:color w:val="auto"/>
                <w:sz w:val="24"/>
                <w:szCs w:val="24"/>
                <w:u w:val="none"/>
                <w:lang w:val="en-US" w:eastAsia="zh-CN"/>
              </w:rPr>
              <w:t>年</w:t>
            </w:r>
            <w:r>
              <w:rPr>
                <w:rFonts w:hint="default" w:ascii="仿宋_GB2312" w:hAnsi="仿宋_GB2312" w:eastAsia="仿宋_GB2312" w:cs="仿宋_GB2312"/>
                <w:b/>
                <w:bCs/>
                <w:color w:val="auto"/>
                <w:sz w:val="24"/>
                <w:szCs w:val="24"/>
                <w:u w:val="none"/>
                <w:lang w:val="en-US" w:eastAsia="zh-CN"/>
              </w:rPr>
              <w:t>12</w:t>
            </w:r>
            <w:r>
              <w:rPr>
                <w:rFonts w:hint="eastAsia" w:ascii="仿宋_GB2312" w:hAnsi="仿宋_GB2312" w:eastAsia="仿宋_GB2312" w:cs="仿宋_GB2312"/>
                <w:b/>
                <w:bCs/>
                <w:color w:val="auto"/>
                <w:sz w:val="24"/>
                <w:szCs w:val="24"/>
                <w:u w:val="none"/>
                <w:lang w:val="en-US" w:eastAsia="zh-CN"/>
              </w:rPr>
              <w:t>月</w:t>
            </w:r>
            <w:r>
              <w:rPr>
                <w:rFonts w:hint="default" w:ascii="仿宋_GB2312" w:hAnsi="仿宋_GB2312" w:eastAsia="仿宋_GB2312" w:cs="仿宋_GB2312"/>
                <w:b/>
                <w:bCs/>
                <w:color w:val="auto"/>
                <w:sz w:val="24"/>
                <w:szCs w:val="24"/>
                <w:u w:val="none"/>
                <w:lang w:val="en-US" w:eastAsia="zh-CN"/>
              </w:rPr>
              <w:t>18</w:t>
            </w:r>
            <w:r>
              <w:rPr>
                <w:rFonts w:hint="eastAsia" w:ascii="仿宋_GB2312" w:hAnsi="仿宋_GB2312" w:eastAsia="仿宋_GB2312" w:cs="仿宋_GB2312"/>
                <w:b/>
                <w:bCs/>
                <w:color w:val="auto"/>
                <w:sz w:val="24"/>
                <w:szCs w:val="24"/>
                <w:u w:val="none"/>
                <w:lang w:val="en-US" w:eastAsia="zh-CN"/>
              </w:rPr>
              <w:t>日中午</w:t>
            </w:r>
            <w:r>
              <w:rPr>
                <w:rFonts w:hint="default" w:ascii="仿宋_GB2312" w:hAnsi="仿宋_GB2312" w:eastAsia="仿宋_GB2312" w:cs="仿宋_GB2312"/>
                <w:b/>
                <w:bCs/>
                <w:color w:val="auto"/>
                <w:sz w:val="24"/>
                <w:szCs w:val="24"/>
                <w:u w:val="none"/>
                <w:lang w:val="en-US" w:eastAsia="zh-CN"/>
              </w:rPr>
              <w:t>9:30,</w:t>
            </w:r>
            <w:r>
              <w:rPr>
                <w:rFonts w:hint="eastAsia" w:ascii="仿宋_GB2312" w:hAnsi="仿宋_GB2312" w:eastAsia="仿宋_GB2312" w:cs="仿宋_GB2312"/>
                <w:b/>
                <w:bCs/>
                <w:sz w:val="22"/>
                <w:szCs w:val="22"/>
                <w:lang w:val="en-US" w:eastAsia="zh-CN"/>
              </w:rPr>
              <w:t xml:space="preserve"> </w:t>
            </w:r>
            <w:r>
              <w:rPr>
                <w:rFonts w:hint="eastAsia" w:ascii="仿宋_GB2312" w:hAnsi="仿宋_GB2312" w:eastAsia="仿宋_GB2312" w:cs="仿宋_GB2312"/>
                <w:b/>
                <w:bCs/>
                <w:sz w:val="24"/>
                <w:szCs w:val="22"/>
              </w:rPr>
              <w:t>防城港港坤新能源开发有限</w:t>
            </w:r>
            <w:r>
              <w:rPr>
                <w:rFonts w:hint="eastAsia" w:ascii="仿宋_GB2312" w:hAnsi="仿宋_GB2312" w:eastAsia="仿宋_GB2312" w:cs="仿宋_GB2312"/>
                <w:b/>
                <w:bCs/>
                <w:sz w:val="22"/>
                <w:szCs w:val="21"/>
              </w:rPr>
              <w:t>公司组织</w:t>
            </w:r>
            <w:r>
              <w:rPr>
                <w:rFonts w:hint="eastAsia" w:ascii="仿宋_GB2312" w:hAnsi="仿宋_GB2312" w:eastAsia="仿宋_GB2312" w:cs="仿宋_GB2312"/>
                <w:b/>
                <w:bCs/>
                <w:sz w:val="22"/>
                <w:szCs w:val="22"/>
                <w:lang w:val="en-US" w:eastAsia="zh-CN"/>
              </w:rPr>
              <w:t>常州正衡</w:t>
            </w:r>
            <w:r>
              <w:rPr>
                <w:rFonts w:hint="eastAsia" w:ascii="仿宋_GB2312" w:hAnsi="仿宋_GB2312" w:eastAsia="仿宋_GB2312" w:cs="仿宋_GB2312"/>
                <w:b/>
                <w:bCs/>
                <w:sz w:val="24"/>
                <w:szCs w:val="21"/>
              </w:rPr>
              <w:t>电力工程监理有限公</w:t>
            </w:r>
            <w:r>
              <w:rPr>
                <w:rFonts w:hint="eastAsia" w:ascii="仿宋_GB2312" w:hAnsi="仿宋_GB2312" w:eastAsia="仿宋_GB2312" w:cs="仿宋_GB2312"/>
                <w:b/>
                <w:bCs/>
                <w:color w:val="auto"/>
                <w:sz w:val="24"/>
                <w:szCs w:val="24"/>
                <w:u w:val="none"/>
                <w:lang w:val="en-US" w:eastAsia="zh-CN"/>
              </w:rPr>
              <w:t>司</w:t>
            </w:r>
            <w:r>
              <w:rPr>
                <w:rFonts w:hint="eastAsia" w:ascii="仿宋_GB2312" w:hAnsi="仿宋_GB2312" w:eastAsia="仿宋_GB2312" w:cs="仿宋_GB2312"/>
                <w:b/>
                <w:bCs/>
                <w:sz w:val="22"/>
                <w:szCs w:val="21"/>
              </w:rPr>
              <w:t>及</w:t>
            </w:r>
            <w:r>
              <w:rPr>
                <w:rFonts w:hint="eastAsia" w:ascii="仿宋_GB2312" w:hAnsi="仿宋_GB2312" w:eastAsia="仿宋_GB2312" w:cs="仿宋_GB2312"/>
                <w:b/>
                <w:bCs/>
                <w:snapToGrid w:val="0"/>
                <w:kern w:val="0"/>
                <w:sz w:val="22"/>
                <w:szCs w:val="21"/>
              </w:rPr>
              <w:t>安徽成和电力建设有限公</w:t>
            </w:r>
            <w:r>
              <w:rPr>
                <w:rFonts w:hint="eastAsia" w:ascii="仿宋_GB2312" w:hAnsi="仿宋_GB2312" w:eastAsia="仿宋_GB2312" w:cs="仿宋_GB2312"/>
                <w:b/>
                <w:bCs/>
                <w:sz w:val="22"/>
                <w:szCs w:val="21"/>
              </w:rPr>
              <w:t>司召开</w:t>
            </w:r>
            <w:r>
              <w:rPr>
                <w:rFonts w:hint="eastAsia" w:ascii="仿宋_GB2312" w:hAnsi="仿宋_GB2312" w:eastAsia="仿宋_GB2312" w:cs="仿宋_GB2312"/>
                <w:b/>
                <w:bCs/>
                <w:snapToGrid w:val="0"/>
                <w:kern w:val="0"/>
                <w:sz w:val="24"/>
                <w:szCs w:val="24"/>
              </w:rPr>
              <w:t>防城港市防城区那良镇范河村新农业新能源一体化分布式光伏发电项目</w:t>
            </w:r>
            <w:r>
              <w:rPr>
                <w:rFonts w:hint="default" w:ascii="仿宋_GB2312" w:hAnsi="仿宋_GB2312" w:eastAsia="仿宋_GB2312" w:cs="仿宋_GB2312"/>
                <w:b/>
                <w:bCs/>
                <w:snapToGrid w:val="0"/>
                <w:kern w:val="0"/>
                <w:sz w:val="24"/>
                <w:szCs w:val="24"/>
                <w:lang w:val="en-US"/>
              </w:rPr>
              <w:t>12月份工地</w:t>
            </w:r>
            <w:r>
              <w:rPr>
                <w:rFonts w:hint="eastAsia" w:ascii="仿宋_GB2312" w:hAnsi="仿宋_GB2312" w:eastAsia="仿宋_GB2312" w:cs="仿宋_GB2312"/>
                <w:b/>
                <w:bCs/>
                <w:snapToGrid w:val="0"/>
                <w:kern w:val="0"/>
                <w:sz w:val="24"/>
                <w:szCs w:val="24"/>
              </w:rPr>
              <w:t>例会</w:t>
            </w:r>
            <w:r>
              <w:rPr>
                <w:rFonts w:hint="eastAsia" w:ascii="仿宋_GB2312" w:hAnsi="仿宋_GB2312" w:eastAsia="仿宋_GB2312" w:cs="仿宋_GB2312"/>
                <w:b/>
                <w:bCs/>
                <w:color w:val="auto"/>
                <w:sz w:val="22"/>
                <w:szCs w:val="22"/>
                <w:u w:val="none"/>
                <w:lang w:val="en-US" w:eastAsia="zh-CN"/>
              </w:rPr>
              <w:t>，会议内容及决议如下：</w:t>
            </w:r>
          </w:p>
          <w:p>
            <w:pPr>
              <w:spacing w:line="360" w:lineRule="auto"/>
              <w:jc w:val="left"/>
              <w:rPr>
                <w:rFonts w:hint="eastAsia" w:ascii="仿宋_GB2312" w:hAnsi="仿宋_GB2312" w:eastAsia="仿宋_GB2312" w:cs="仿宋_GB2312"/>
                <w:b/>
                <w:bCs/>
                <w:color w:val="auto"/>
                <w:sz w:val="22"/>
                <w:szCs w:val="22"/>
                <w:u w:val="none"/>
                <w:lang w:val="en-US" w:eastAsia="zh-CN"/>
              </w:rPr>
            </w:pPr>
            <w:bookmarkStart w:id="1" w:name="_GoBack"/>
            <w:r>
              <w:rPr>
                <w:rFonts w:hint="eastAsia" w:ascii="仿宋_GB2312" w:hAnsi="仿宋_GB2312" w:eastAsia="仿宋_GB2312" w:cs="仿宋_GB2312"/>
                <w:b/>
                <w:bCs/>
                <w:color w:val="auto"/>
                <w:sz w:val="21"/>
                <w:szCs w:val="21"/>
                <w:u w:val="none"/>
                <w:lang w:val="en-US" w:eastAsia="zh-CN"/>
              </w:rPr>
              <w:t>三、建设单项项目经理范广</w:t>
            </w:r>
            <w:r>
              <w:rPr>
                <w:rFonts w:hint="eastAsia" w:ascii="仿宋_GB2312" w:hAnsi="仿宋_GB2312" w:eastAsia="仿宋_GB2312" w:cs="仿宋_GB2312"/>
                <w:b/>
                <w:bCs/>
                <w:color w:val="auto"/>
                <w:sz w:val="22"/>
                <w:szCs w:val="22"/>
                <w:u w:val="none"/>
                <w:lang w:val="en-US" w:eastAsia="zh-CN"/>
              </w:rPr>
              <w:t>汇报施工现场主要人员</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机械</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材料进场及施工进度</w:t>
            </w:r>
          </w:p>
          <w:p>
            <w:pPr>
              <w:keepNext/>
              <w:keepLines/>
              <w:pageBreakBefore w:val="0"/>
              <w:numPr>
                <w:ilvl w:val="0"/>
                <w:numId w:val="0"/>
              </w:numPr>
              <w:wordWrap/>
              <w:overflowPunct/>
              <w:topLinePunct w:val="0"/>
              <w:bidi w:val="0"/>
              <w:spacing w:line="360" w:lineRule="auto"/>
              <w:rPr>
                <w:rStyle w:val="21"/>
                <w:rFonts w:hint="default" w:ascii="楷体" w:hAnsi="楷体" w:eastAsia="楷体" w:cs="楷体"/>
                <w:b/>
                <w:bCs/>
                <w:kern w:val="44"/>
                <w:sz w:val="24"/>
                <w:szCs w:val="21"/>
                <w:lang w:val="en-US"/>
              </w:rPr>
            </w:pPr>
            <w:r>
              <w:rPr>
                <w:rFonts w:hint="default" w:ascii="楷体" w:hAnsi="楷体" w:eastAsia="楷体" w:cs="楷体"/>
                <w:b/>
                <w:bCs/>
                <w:kern w:val="44"/>
                <w:sz w:val="24"/>
                <w:szCs w:val="21"/>
                <w:lang w:val="en-US" w:eastAsia="zh-CN" w:bidi="ar-SA"/>
              </w:rPr>
              <w:t>1</w:t>
            </w:r>
            <w:r>
              <w:rPr>
                <w:rFonts w:hint="eastAsia" w:ascii="楷体" w:hAnsi="楷体" w:eastAsia="楷体" w:cs="楷体"/>
                <w:b/>
                <w:bCs/>
                <w:kern w:val="44"/>
                <w:sz w:val="24"/>
                <w:szCs w:val="21"/>
                <w:lang w:val="en-US" w:eastAsia="zh-CN" w:bidi="ar-SA"/>
              </w:rPr>
              <w:t>、</w:t>
            </w:r>
            <w:r>
              <w:rPr>
                <w:rStyle w:val="21"/>
                <w:rFonts w:hint="eastAsia" w:ascii="楷体" w:hAnsi="楷体" w:eastAsia="楷体" w:cs="楷体"/>
                <w:b/>
                <w:bCs/>
                <w:kern w:val="44"/>
                <w:sz w:val="24"/>
                <w:szCs w:val="24"/>
                <w:lang w:eastAsia="zh-CN"/>
              </w:rPr>
              <w:t>进</w:t>
            </w:r>
            <w:r>
              <w:rPr>
                <w:rStyle w:val="21"/>
                <w:rFonts w:hint="eastAsia" w:ascii="楷体" w:hAnsi="楷体" w:eastAsia="楷体" w:cs="楷体"/>
                <w:b/>
                <w:bCs/>
                <w:kern w:val="44"/>
                <w:sz w:val="24"/>
                <w:szCs w:val="21"/>
              </w:rPr>
              <w:t>场人员、机械情况</w:t>
            </w:r>
            <w:r>
              <w:rPr>
                <w:rStyle w:val="21"/>
                <w:rFonts w:hint="default" w:ascii="楷体" w:hAnsi="楷体" w:eastAsia="楷体" w:cs="楷体"/>
                <w:b/>
                <w:bCs/>
                <w:kern w:val="44"/>
                <w:sz w:val="24"/>
                <w:szCs w:val="21"/>
                <w:lang w:val="en-US"/>
              </w:rPr>
              <w:t>:</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360" w:lineRule="auto"/>
              <w:ind w:leftChars="0" w:firstLine="361" w:firstLineChars="150"/>
              <w:jc w:val="left"/>
              <w:textAlignment w:val="baseline"/>
              <w:rPr>
                <w:rFonts w:hint="default" w:ascii="楷体" w:hAnsi="楷体" w:eastAsia="楷体" w:cs="楷体"/>
                <w:b/>
                <w:bCs/>
                <w:sz w:val="24"/>
                <w:szCs w:val="24"/>
                <w:lang w:val="en-US" w:eastAsia="zh-CN"/>
              </w:rPr>
            </w:pPr>
            <w:r>
              <w:rPr>
                <w:rFonts w:hint="eastAsia" w:ascii="楷体" w:hAnsi="楷体" w:eastAsia="楷体" w:cs="楷体"/>
                <w:b/>
                <w:bCs/>
                <w:color w:val="000000"/>
                <w:kern w:val="0"/>
                <w:sz w:val="24"/>
                <w:szCs w:val="24"/>
                <w:lang w:val="en-US" w:eastAsia="zh-CN" w:bidi="ar-SA"/>
              </w:rPr>
              <w:t>1</w:t>
            </w:r>
            <w:r>
              <w:rPr>
                <w:rFonts w:hint="default" w:ascii="楷体" w:hAnsi="楷体" w:eastAsia="楷体" w:cs="楷体"/>
                <w:b/>
                <w:bCs/>
                <w:color w:val="000000"/>
                <w:kern w:val="0"/>
                <w:sz w:val="24"/>
                <w:szCs w:val="24"/>
                <w:lang w:val="en-US" w:eastAsia="zh-CN" w:bidi="ar-SA"/>
              </w:rPr>
              <w:t>.1</w:t>
            </w:r>
            <w:r>
              <w:rPr>
                <w:rFonts w:hint="eastAsia" w:ascii="楷体" w:hAnsi="楷体" w:eastAsia="楷体" w:cs="楷体"/>
                <w:b/>
                <w:bCs/>
                <w:sz w:val="24"/>
                <w:szCs w:val="24"/>
                <w:lang w:val="en-US" w:eastAsia="zh-CN"/>
              </w:rPr>
              <w:t>.项目部管理人员</w:t>
            </w:r>
            <w:r>
              <w:rPr>
                <w:rFonts w:hint="default" w:ascii="楷体" w:hAnsi="楷体" w:eastAsia="楷体" w:cs="楷体"/>
                <w:b/>
                <w:bCs/>
                <w:sz w:val="24"/>
                <w:szCs w:val="24"/>
                <w:lang w:val="en-US" w:eastAsia="zh-CN"/>
              </w:rPr>
              <w:t>4</w:t>
            </w:r>
            <w:r>
              <w:rPr>
                <w:rFonts w:hint="eastAsia" w:ascii="楷体" w:hAnsi="楷体" w:eastAsia="楷体" w:cs="楷体"/>
                <w:b/>
                <w:bCs/>
                <w:sz w:val="24"/>
                <w:szCs w:val="24"/>
                <w:lang w:val="en-US" w:eastAsia="zh-CN"/>
              </w:rPr>
              <w:t>人，施工人员</w:t>
            </w:r>
            <w:r>
              <w:rPr>
                <w:rFonts w:hint="default" w:ascii="楷体" w:hAnsi="楷体" w:eastAsia="楷体" w:cs="楷体"/>
                <w:b/>
                <w:bCs/>
                <w:sz w:val="24"/>
                <w:szCs w:val="24"/>
                <w:lang w:val="en-US" w:eastAsia="zh-CN"/>
              </w:rPr>
              <w:t>20</w:t>
            </w:r>
            <w:r>
              <w:rPr>
                <w:rFonts w:hint="eastAsia" w:ascii="楷体" w:hAnsi="楷体" w:eastAsia="楷体" w:cs="楷体"/>
                <w:b/>
                <w:bCs/>
                <w:sz w:val="24"/>
                <w:szCs w:val="24"/>
                <w:lang w:val="en-US" w:eastAsia="zh-CN"/>
              </w:rPr>
              <w:t>人</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360" w:lineRule="auto"/>
              <w:ind w:leftChars="0" w:firstLine="361" w:firstLineChars="150"/>
              <w:jc w:val="left"/>
              <w:textAlignment w:val="baseline"/>
              <w:rPr>
                <w:rFonts w:hint="default" w:ascii="楷体" w:hAnsi="楷体" w:eastAsia="楷体" w:cs="楷体"/>
                <w:b/>
                <w:bCs/>
                <w:sz w:val="28"/>
                <w:szCs w:val="28"/>
                <w:lang w:val="en-US" w:eastAsia="zh-CN"/>
              </w:rPr>
            </w:pPr>
            <w:r>
              <w:rPr>
                <w:rFonts w:hint="default" w:ascii="楷体" w:hAnsi="楷体" w:eastAsia="楷体" w:cs="楷体"/>
                <w:b/>
                <w:bCs/>
                <w:sz w:val="24"/>
                <w:szCs w:val="24"/>
                <w:lang w:val="en-US" w:eastAsia="zh-CN"/>
              </w:rPr>
              <w:t>1.2</w:t>
            </w:r>
            <w:r>
              <w:rPr>
                <w:rFonts w:hint="eastAsia" w:ascii="楷体" w:hAnsi="楷体" w:eastAsia="楷体" w:cs="楷体"/>
                <w:b/>
                <w:bCs/>
                <w:sz w:val="24"/>
                <w:szCs w:val="24"/>
                <w:lang w:val="en-US" w:eastAsia="zh-CN"/>
              </w:rPr>
              <w:t>.机械设备进场情况</w:t>
            </w:r>
            <w:r>
              <w:rPr>
                <w:rFonts w:hint="default" w:ascii="楷体" w:hAnsi="楷体" w:eastAsia="楷体" w:cs="楷体"/>
                <w:b/>
                <w:bCs/>
                <w:sz w:val="24"/>
                <w:szCs w:val="24"/>
                <w:lang w:val="en-US" w:eastAsia="zh-CN"/>
              </w:rPr>
              <w:t>:</w:t>
            </w:r>
            <w:r>
              <w:rPr>
                <w:rFonts w:hint="eastAsia" w:ascii="楷体" w:hAnsi="楷体" w:eastAsia="楷体" w:cs="楷体"/>
                <w:b/>
                <w:bCs/>
                <w:sz w:val="24"/>
                <w:szCs w:val="24"/>
                <w:lang w:val="en-US" w:eastAsia="zh-CN"/>
              </w:rPr>
              <w:t>引孔机</w:t>
            </w:r>
            <w:r>
              <w:rPr>
                <w:rFonts w:hint="default" w:ascii="楷体" w:hAnsi="楷体" w:eastAsia="楷体" w:cs="楷体"/>
                <w:b/>
                <w:bCs/>
                <w:sz w:val="24"/>
                <w:szCs w:val="24"/>
                <w:lang w:val="en-US" w:eastAsia="zh-CN"/>
              </w:rPr>
              <w:t>1</w:t>
            </w:r>
            <w:r>
              <w:rPr>
                <w:rFonts w:hint="eastAsia" w:ascii="楷体" w:hAnsi="楷体" w:eastAsia="楷体" w:cs="楷体"/>
                <w:b/>
                <w:bCs/>
                <w:sz w:val="24"/>
                <w:szCs w:val="24"/>
                <w:lang w:val="en-US" w:eastAsia="zh-CN"/>
              </w:rPr>
              <w:t>台，吊车</w:t>
            </w:r>
            <w:r>
              <w:rPr>
                <w:rFonts w:hint="default" w:ascii="楷体" w:hAnsi="楷体" w:eastAsia="楷体" w:cs="楷体"/>
                <w:b/>
                <w:bCs/>
                <w:sz w:val="24"/>
                <w:szCs w:val="24"/>
                <w:lang w:val="en-US" w:eastAsia="zh-CN"/>
              </w:rPr>
              <w:t>1</w:t>
            </w:r>
            <w:r>
              <w:rPr>
                <w:rFonts w:hint="eastAsia" w:ascii="楷体" w:hAnsi="楷体" w:eastAsia="楷体" w:cs="楷体"/>
                <w:b/>
                <w:bCs/>
                <w:sz w:val="24"/>
                <w:szCs w:val="24"/>
                <w:lang w:val="en-US" w:eastAsia="zh-CN"/>
              </w:rPr>
              <w:t>台，拖拉机</w:t>
            </w:r>
            <w:r>
              <w:rPr>
                <w:rFonts w:hint="default" w:ascii="楷体" w:hAnsi="楷体" w:eastAsia="楷体" w:cs="楷体"/>
                <w:b/>
                <w:bCs/>
                <w:sz w:val="24"/>
                <w:szCs w:val="24"/>
                <w:lang w:val="en-US" w:eastAsia="zh-CN"/>
              </w:rPr>
              <w:t>1</w:t>
            </w:r>
            <w:r>
              <w:rPr>
                <w:rFonts w:hint="eastAsia" w:ascii="楷体" w:hAnsi="楷体" w:eastAsia="楷体" w:cs="楷体"/>
                <w:b/>
                <w:bCs/>
                <w:sz w:val="24"/>
                <w:szCs w:val="24"/>
                <w:lang w:val="en-US" w:eastAsia="zh-CN"/>
              </w:rPr>
              <w:t>台，挖机</w:t>
            </w:r>
            <w:r>
              <w:rPr>
                <w:rFonts w:hint="default" w:ascii="楷体" w:hAnsi="楷体" w:eastAsia="楷体" w:cs="楷体"/>
                <w:b/>
                <w:bCs/>
                <w:sz w:val="24"/>
                <w:szCs w:val="24"/>
                <w:lang w:val="en-US" w:eastAsia="zh-CN"/>
              </w:rPr>
              <w:t>1台,叉车1台,满足现场施工要求</w:t>
            </w:r>
          </w:p>
          <w:p>
            <w:pPr>
              <w:pStyle w:val="4"/>
              <w:spacing w:line="360" w:lineRule="auto"/>
              <w:ind w:left="0" w:leftChars="0" w:firstLine="0" w:firstLineChars="0"/>
              <w:rPr>
                <w:rFonts w:hint="eastAsia"/>
                <w:b/>
                <w:bCs/>
                <w:sz w:val="24"/>
                <w:szCs w:val="22"/>
              </w:rPr>
            </w:pPr>
            <w:r>
              <w:rPr>
                <w:rFonts w:hint="default" w:ascii="仿宋_GB2312" w:hAnsi="仿宋_GB2312" w:eastAsia="仿宋_GB2312" w:cs="仿宋_GB2312"/>
                <w:b/>
                <w:bCs/>
                <w:sz w:val="22"/>
                <w:szCs w:val="22"/>
                <w:lang w:val="en-US"/>
              </w:rPr>
              <w:t>2.</w:t>
            </w:r>
            <w:r>
              <w:rPr>
                <w:rFonts w:hint="eastAsia" w:ascii="仿宋_GB2312" w:hAnsi="仿宋_GB2312" w:eastAsia="仿宋_GB2312" w:cs="仿宋_GB2312"/>
                <w:b/>
                <w:bCs/>
                <w:sz w:val="22"/>
                <w:szCs w:val="22"/>
              </w:rPr>
              <w:t>材料、设备到货</w:t>
            </w:r>
          </w:p>
          <w:p>
            <w:pPr>
              <w:spacing w:line="360" w:lineRule="auto"/>
              <w:jc w:val="left"/>
              <w:rPr>
                <w:rFonts w:hint="default" w:ascii="仿宋_GB2312" w:hAnsi="仿宋_GB2312" w:eastAsia="仿宋_GB2312" w:cs="仿宋_GB2312"/>
                <w:b/>
                <w:bCs/>
                <w:sz w:val="22"/>
                <w:szCs w:val="22"/>
                <w:lang w:val="en-US"/>
              </w:rPr>
            </w:pPr>
            <w:r>
              <w:rPr>
                <w:rFonts w:hint="default" w:ascii="仿宋_GB2312" w:hAnsi="仿宋_GB2312" w:eastAsia="仿宋_GB2312" w:cs="仿宋_GB2312"/>
                <w:b/>
                <w:bCs/>
                <w:sz w:val="22"/>
                <w:szCs w:val="22"/>
                <w:lang w:val="en-US"/>
              </w:rPr>
              <w:t xml:space="preserve">    2.1.管桩共进场2169根(8m共1866根.7m共258根.4m共36根.9m共41根)</w:t>
            </w:r>
          </w:p>
          <w:p>
            <w:pPr>
              <w:spacing w:line="360" w:lineRule="auto"/>
              <w:jc w:val="left"/>
              <w:rPr>
                <w:rFonts w:hint="default" w:ascii="仿宋_GB2312" w:hAnsi="仿宋_GB2312" w:eastAsia="仿宋_GB2312" w:cs="仿宋_GB2312"/>
                <w:b/>
                <w:bCs/>
                <w:sz w:val="22"/>
                <w:szCs w:val="22"/>
                <w:lang w:val="en-US"/>
              </w:rPr>
            </w:pPr>
            <w:r>
              <w:rPr>
                <w:rFonts w:hint="default" w:ascii="仿宋_GB2312" w:hAnsi="仿宋_GB2312" w:eastAsia="仿宋_GB2312" w:cs="仿宋_GB2312"/>
                <w:b/>
                <w:bCs/>
                <w:sz w:val="22"/>
                <w:szCs w:val="22"/>
                <w:lang w:val="en-US"/>
              </w:rPr>
              <w:t xml:space="preserve">    2.2.支架共进场11.4MW</w:t>
            </w:r>
          </w:p>
          <w:p>
            <w:pPr>
              <w:spacing w:line="360" w:lineRule="auto"/>
              <w:jc w:val="left"/>
              <w:rPr>
                <w:rFonts w:hint="default" w:ascii="仿宋_GB2312" w:hAnsi="仿宋_GB2312" w:eastAsia="仿宋_GB2312" w:cs="仿宋_GB2312"/>
                <w:b/>
                <w:bCs/>
                <w:sz w:val="22"/>
                <w:szCs w:val="22"/>
                <w:lang w:val="en-US"/>
              </w:rPr>
            </w:pPr>
            <w:r>
              <w:rPr>
                <w:rFonts w:hint="default" w:ascii="仿宋_GB2312" w:hAnsi="仿宋_GB2312" w:eastAsia="仿宋_GB2312" w:cs="仿宋_GB2312"/>
                <w:b/>
                <w:bCs/>
                <w:sz w:val="22"/>
                <w:szCs w:val="22"/>
                <w:lang w:val="en-US"/>
              </w:rPr>
              <w:t xml:space="preserve">    2.3.组件共进场16424块(11.4MW)</w:t>
            </w:r>
          </w:p>
          <w:p>
            <w:pPr>
              <w:spacing w:line="360" w:lineRule="auto"/>
              <w:ind w:firstLine="442" w:firstLineChars="200"/>
              <w:jc w:val="left"/>
              <w:rPr>
                <w:rFonts w:hint="default" w:ascii="仿宋_GB2312" w:hAnsi="仿宋_GB2312" w:eastAsia="仿宋_GB2312" w:cs="仿宋_GB2312"/>
                <w:b/>
                <w:bCs/>
                <w:sz w:val="22"/>
                <w:szCs w:val="22"/>
                <w:lang w:val="en-US"/>
              </w:rPr>
            </w:pPr>
            <w:r>
              <w:rPr>
                <w:rFonts w:hint="default" w:ascii="仿宋_GB2312" w:hAnsi="仿宋_GB2312" w:eastAsia="仿宋_GB2312" w:cs="仿宋_GB2312"/>
                <w:b/>
                <w:bCs/>
                <w:sz w:val="22"/>
                <w:szCs w:val="22"/>
                <w:lang w:val="en-US"/>
              </w:rPr>
              <w:t>2.4.扁铁共进场9.8T</w:t>
            </w:r>
          </w:p>
          <w:p>
            <w:pPr>
              <w:pStyle w:val="2"/>
              <w:spacing w:line="360" w:lineRule="auto"/>
              <w:ind w:left="0" w:leftChars="0" w:firstLine="0" w:firstLineChars="0"/>
              <w:rPr>
                <w:rFonts w:hint="default" w:ascii="仿宋_GB2312" w:hAnsi="仿宋_GB2312" w:eastAsia="仿宋_GB2312" w:cs="仿宋_GB2312"/>
                <w:b/>
                <w:bCs/>
                <w:lang w:val="en-US"/>
              </w:rPr>
            </w:pPr>
            <w:r>
              <w:rPr>
                <w:rFonts w:hint="default"/>
                <w:b/>
                <w:bCs/>
                <w:lang w:val="en-US"/>
              </w:rPr>
              <w:t xml:space="preserve">    </w:t>
            </w:r>
            <w:r>
              <w:rPr>
                <w:rFonts w:hint="eastAsia" w:ascii="仿宋_GB2312" w:hAnsi="仿宋_GB2312" w:eastAsia="仿宋_GB2312" w:cs="仿宋_GB2312"/>
                <w:b/>
                <w:bCs/>
                <w:lang w:val="en-US"/>
              </w:rPr>
              <w:t>2.5.4m2电气直流线</w:t>
            </w:r>
            <w:r>
              <w:rPr>
                <w:rFonts w:hint="default" w:ascii="仿宋_GB2312" w:hAnsi="仿宋_GB2312" w:eastAsia="仿宋_GB2312" w:cs="仿宋_GB2312"/>
                <w:b/>
                <w:bCs/>
                <w:sz w:val="22"/>
                <w:szCs w:val="22"/>
                <w:lang w:val="en-US"/>
              </w:rPr>
              <w:t>共进场</w:t>
            </w:r>
            <w:r>
              <w:rPr>
                <w:rFonts w:hint="default" w:ascii="仿宋_GB2312" w:hAnsi="仿宋_GB2312" w:eastAsia="仿宋_GB2312" w:cs="仿宋_GB2312"/>
                <w:b/>
                <w:bCs/>
                <w:lang w:val="en-US"/>
              </w:rPr>
              <w:t>64000m</w:t>
            </w:r>
          </w:p>
          <w:p>
            <w:pPr>
              <w:spacing w:line="360" w:lineRule="auto"/>
              <w:jc w:val="left"/>
              <w:rPr>
                <w:rFonts w:hint="default" w:ascii="仿宋_GB2312" w:hAnsi="仿宋_GB2312" w:eastAsia="仿宋_GB2312" w:cs="仿宋_GB2312"/>
                <w:b/>
                <w:bCs/>
                <w:sz w:val="22"/>
                <w:szCs w:val="22"/>
                <w:lang w:val="en-US"/>
              </w:rPr>
            </w:pPr>
            <w:r>
              <w:rPr>
                <w:rFonts w:hint="default" w:ascii="仿宋_GB2312" w:hAnsi="仿宋_GB2312" w:eastAsia="仿宋_GB2312" w:cs="仿宋_GB2312"/>
                <w:b/>
                <w:bCs/>
                <w:sz w:val="22"/>
                <w:szCs w:val="22"/>
                <w:lang w:val="en-US"/>
              </w:rPr>
              <w:t xml:space="preserve">    2.6.电缆共进场4610m(120mm2共497m.185mm2共3735m.240mm2共396m.485mm2共1930m)</w:t>
            </w:r>
          </w:p>
          <w:p>
            <w:pPr>
              <w:spacing w:line="360" w:lineRule="auto"/>
              <w:jc w:val="left"/>
              <w:rPr>
                <w:rFonts w:hint="default" w:ascii="仿宋_GB2312" w:hAnsi="仿宋_GB2312" w:eastAsia="仿宋_GB2312" w:cs="仿宋_GB2312"/>
                <w:b/>
                <w:bCs/>
                <w:sz w:val="22"/>
                <w:szCs w:val="22"/>
                <w:lang w:val="en-US"/>
              </w:rPr>
            </w:pPr>
            <w:r>
              <w:rPr>
                <w:rFonts w:hint="default" w:ascii="仿宋_GB2312" w:hAnsi="仿宋_GB2312" w:eastAsia="仿宋_GB2312" w:cs="仿宋_GB2312"/>
                <w:b/>
                <w:bCs/>
                <w:sz w:val="22"/>
                <w:szCs w:val="22"/>
                <w:lang w:val="en-US"/>
              </w:rPr>
              <w:t xml:space="preserve">    2.7.汇流箱共进场共24个</w:t>
            </w:r>
          </w:p>
          <w:p>
            <w:pPr>
              <w:spacing w:line="360" w:lineRule="auto"/>
              <w:jc w:val="left"/>
              <w:rPr>
                <w:rFonts w:hint="eastAsia" w:ascii="仿宋_GB2312" w:hAnsi="仿宋_GB2312" w:eastAsia="仿宋_GB2312" w:cs="仿宋_GB2312"/>
                <w:b/>
                <w:bCs/>
                <w:sz w:val="21"/>
                <w:szCs w:val="21"/>
                <w:lang w:eastAsia="zh-CN"/>
              </w:rPr>
            </w:pPr>
            <w:r>
              <w:rPr>
                <w:rFonts w:hint="default" w:ascii="仿宋_GB2312" w:hAnsi="仿宋_GB2312" w:eastAsia="仿宋_GB2312" w:cs="仿宋_GB2312"/>
                <w:b/>
                <w:bCs/>
                <w:sz w:val="22"/>
                <w:szCs w:val="22"/>
                <w:lang w:val="en-US"/>
              </w:rPr>
              <w:t>3</w:t>
            </w:r>
            <w:r>
              <w:rPr>
                <w:rFonts w:hint="eastAsia" w:ascii="仿宋_GB2312" w:hAnsi="仿宋_GB2312" w:eastAsia="仿宋_GB2312" w:cs="仿宋_GB2312"/>
                <w:b/>
                <w:bCs/>
                <w:sz w:val="22"/>
                <w:szCs w:val="22"/>
              </w:rPr>
              <w:t>、</w:t>
            </w:r>
            <w:r>
              <w:rPr>
                <w:rFonts w:hint="eastAsia" w:ascii="仿宋_GB2312" w:hAnsi="仿宋_GB2312" w:eastAsia="仿宋_GB2312" w:cs="仿宋_GB2312"/>
                <w:b/>
                <w:bCs/>
                <w:color w:val="auto"/>
                <w:sz w:val="22"/>
                <w:szCs w:val="22"/>
                <w:lang w:val="en-US" w:eastAsia="zh-CN"/>
              </w:rPr>
              <w:t>工程形象进度及下周计划（根据工程进度表填写）</w:t>
            </w:r>
          </w:p>
          <w:p>
            <w:pPr>
              <w:numPr>
                <w:ilvl w:val="0"/>
                <w:numId w:val="0"/>
              </w:numPr>
              <w:spacing w:line="360" w:lineRule="auto"/>
              <w:jc w:val="left"/>
              <w:rPr>
                <w:rFonts w:hint="default" w:ascii="仿宋_GB2312" w:hAnsi="仿宋_GB2312" w:eastAsia="仿宋_GB2312" w:cs="仿宋_GB2312"/>
                <w:b/>
                <w:bCs/>
                <w:sz w:val="20"/>
                <w:szCs w:val="20"/>
                <w:lang w:val="en-US"/>
              </w:rPr>
            </w:pPr>
            <w:r>
              <w:rPr>
                <w:rFonts w:hint="default" w:ascii="仿宋_GB2312" w:hAnsi="仿宋_GB2312" w:eastAsia="仿宋_GB2312" w:cs="仿宋_GB2312"/>
                <w:b/>
                <w:bCs/>
                <w:sz w:val="20"/>
                <w:szCs w:val="20"/>
                <w:lang w:val="en-US"/>
              </w:rPr>
              <w:t xml:space="preserve">    3.1,一号地块除箱变外其余全部完成:</w:t>
            </w:r>
          </w:p>
          <w:p>
            <w:pPr>
              <w:numPr>
                <w:ilvl w:val="0"/>
                <w:numId w:val="0"/>
              </w:numPr>
              <w:spacing w:line="360" w:lineRule="auto"/>
              <w:jc w:val="left"/>
              <w:rPr>
                <w:rFonts w:hint="default" w:ascii="仿宋_GB2312" w:hAnsi="仿宋_GB2312" w:eastAsia="仿宋_GB2312" w:cs="仿宋_GB2312"/>
                <w:b/>
                <w:bCs/>
                <w:sz w:val="20"/>
                <w:szCs w:val="20"/>
                <w:lang w:val="en-US"/>
              </w:rPr>
            </w:pPr>
            <w:r>
              <w:rPr>
                <w:rFonts w:hint="default" w:ascii="仿宋_GB2312" w:hAnsi="仿宋_GB2312" w:eastAsia="仿宋_GB2312" w:cs="仿宋_GB2312"/>
                <w:b/>
                <w:bCs/>
                <w:sz w:val="20"/>
                <w:szCs w:val="20"/>
                <w:lang w:val="en-US"/>
              </w:rPr>
              <w:t xml:space="preserve">    3.2.二号地块汇流箱.箱变未施工,电缆沟回填50%其余全部完成.</w:t>
            </w:r>
          </w:p>
          <w:p>
            <w:pPr>
              <w:numPr>
                <w:ilvl w:val="0"/>
                <w:numId w:val="0"/>
              </w:numPr>
              <w:spacing w:line="360" w:lineRule="auto"/>
              <w:ind w:firstLine="402" w:firstLineChars="200"/>
              <w:jc w:val="left"/>
              <w:rPr>
                <w:rFonts w:hint="default" w:ascii="仿宋_GB2312" w:hAnsi="仿宋_GB2312" w:eastAsia="仿宋_GB2312" w:cs="仿宋_GB2312"/>
                <w:b/>
                <w:bCs/>
                <w:sz w:val="20"/>
                <w:szCs w:val="20"/>
                <w:lang w:val="en-US"/>
              </w:rPr>
            </w:pPr>
            <w:r>
              <w:rPr>
                <w:rFonts w:hint="default" w:ascii="仿宋_GB2312" w:hAnsi="仿宋_GB2312" w:eastAsia="仿宋_GB2312" w:cs="仿宋_GB2312"/>
                <w:b/>
                <w:bCs/>
                <w:sz w:val="20"/>
                <w:szCs w:val="20"/>
                <w:lang w:val="en-US"/>
              </w:rPr>
              <w:t>3.3.三号地块征地设计81亩,开累征地完成75亩,开累征地完成93%.三号地块管桩设计1844</w:t>
            </w:r>
            <w:r>
              <w:rPr>
                <w:rFonts w:hint="default" w:ascii="仿宋_GB2312" w:hAnsi="仿宋_GB2312" w:eastAsia="仿宋_GB2312" w:cs="仿宋_GB2312"/>
                <w:b/>
                <w:bCs/>
                <w:sz w:val="22"/>
                <w:szCs w:val="22"/>
                <w:lang w:val="en-US"/>
              </w:rPr>
              <w:t>根,</w:t>
            </w:r>
            <w:r>
              <w:rPr>
                <w:rFonts w:hint="default" w:ascii="仿宋_GB2312" w:hAnsi="仿宋_GB2312" w:eastAsia="仿宋_GB2312" w:cs="仿宋_GB2312"/>
                <w:b/>
                <w:bCs/>
                <w:sz w:val="20"/>
                <w:szCs w:val="20"/>
                <w:lang w:val="en-US"/>
              </w:rPr>
              <w:t>开累管桩完成125</w:t>
            </w:r>
            <w:r>
              <w:rPr>
                <w:rFonts w:hint="default" w:ascii="仿宋_GB2312" w:hAnsi="仿宋_GB2312" w:eastAsia="仿宋_GB2312" w:cs="仿宋_GB2312"/>
                <w:b/>
                <w:bCs/>
                <w:sz w:val="22"/>
                <w:szCs w:val="22"/>
                <w:lang w:val="en-US"/>
              </w:rPr>
              <w:t>根,</w:t>
            </w:r>
            <w:r>
              <w:rPr>
                <w:rFonts w:hint="default" w:ascii="仿宋_GB2312" w:hAnsi="仿宋_GB2312" w:eastAsia="仿宋_GB2312" w:cs="仿宋_GB2312"/>
                <w:b/>
                <w:bCs/>
                <w:sz w:val="20"/>
                <w:szCs w:val="20"/>
                <w:lang w:val="en-US"/>
              </w:rPr>
              <w:t>开累管桩完成7%.三号地块支架设计317组,开累支架完成24组,开累支架完成8% ,三号地块组件设计8876块,开累组件完成672块,开累组件完成8% ,</w:t>
            </w:r>
          </w:p>
          <w:p>
            <w:pPr>
              <w:pStyle w:val="2"/>
              <w:spacing w:line="360" w:lineRule="auto"/>
              <w:ind w:left="0" w:leftChars="0" w:firstLine="316" w:firstLineChars="150"/>
              <w:rPr>
                <w:rFonts w:hint="default"/>
                <w:b/>
                <w:bCs/>
                <w:lang w:val="en-US"/>
              </w:rPr>
            </w:pPr>
            <w:r>
              <w:rPr>
                <w:rFonts w:hint="default"/>
                <w:b/>
                <w:bCs/>
                <w:lang w:val="en-US"/>
              </w:rPr>
              <w:t>3.</w:t>
            </w:r>
            <w:r>
              <w:rPr>
                <w:rFonts w:hint="eastAsia" w:ascii="仿宋_GB2312" w:hAnsi="仿宋_GB2312" w:eastAsia="仿宋_GB2312" w:cs="仿宋_GB2312"/>
                <w:b/>
                <w:bCs/>
                <w:lang w:val="en-US"/>
              </w:rPr>
              <w:t>4.四</w:t>
            </w:r>
            <w:r>
              <w:rPr>
                <w:rFonts w:hint="default" w:ascii="仿宋_GB2312" w:hAnsi="仿宋_GB2312" w:eastAsia="仿宋_GB2312" w:cs="仿宋_GB2312"/>
                <w:b/>
                <w:bCs/>
                <w:sz w:val="20"/>
                <w:szCs w:val="20"/>
                <w:lang w:val="en-US"/>
              </w:rPr>
              <w:t>号地块征地设计50亩,开累完成50亩,开累完成100%.</w:t>
            </w:r>
            <w:r>
              <w:rPr>
                <w:rFonts w:hint="eastAsia" w:ascii="仿宋_GB2312" w:hAnsi="仿宋_GB2312" w:eastAsia="仿宋_GB2312" w:cs="仿宋_GB2312"/>
                <w:b/>
                <w:bCs/>
                <w:lang w:val="en-US"/>
              </w:rPr>
              <w:t>四</w:t>
            </w:r>
            <w:r>
              <w:rPr>
                <w:rFonts w:hint="default" w:ascii="仿宋_GB2312" w:hAnsi="仿宋_GB2312" w:eastAsia="仿宋_GB2312" w:cs="仿宋_GB2312"/>
                <w:b/>
                <w:bCs/>
                <w:sz w:val="20"/>
                <w:szCs w:val="20"/>
                <w:lang w:val="en-US"/>
              </w:rPr>
              <w:t>号地块管桩设计737</w:t>
            </w:r>
            <w:r>
              <w:rPr>
                <w:rFonts w:hint="default" w:ascii="仿宋_GB2312" w:hAnsi="仿宋_GB2312" w:eastAsia="仿宋_GB2312" w:cs="仿宋_GB2312"/>
                <w:b/>
                <w:bCs/>
                <w:sz w:val="22"/>
                <w:szCs w:val="22"/>
                <w:lang w:val="en-US"/>
              </w:rPr>
              <w:t>根,</w:t>
            </w:r>
            <w:r>
              <w:rPr>
                <w:rFonts w:hint="default" w:ascii="仿宋_GB2312" w:hAnsi="仿宋_GB2312" w:eastAsia="仿宋_GB2312" w:cs="仿宋_GB2312"/>
                <w:b/>
                <w:bCs/>
                <w:sz w:val="20"/>
                <w:szCs w:val="20"/>
                <w:lang w:val="en-US"/>
              </w:rPr>
              <w:t>开累完成502</w:t>
            </w:r>
            <w:r>
              <w:rPr>
                <w:rFonts w:hint="default" w:ascii="仿宋_GB2312" w:hAnsi="仿宋_GB2312" w:eastAsia="仿宋_GB2312" w:cs="仿宋_GB2312"/>
                <w:b/>
                <w:bCs/>
                <w:sz w:val="22"/>
                <w:szCs w:val="22"/>
                <w:lang w:val="en-US"/>
              </w:rPr>
              <w:t>根,</w:t>
            </w:r>
            <w:r>
              <w:rPr>
                <w:rFonts w:hint="default" w:ascii="仿宋_GB2312" w:hAnsi="仿宋_GB2312" w:eastAsia="仿宋_GB2312" w:cs="仿宋_GB2312"/>
                <w:b/>
                <w:bCs/>
                <w:sz w:val="20"/>
                <w:szCs w:val="20"/>
                <w:lang w:val="en-US"/>
              </w:rPr>
              <w:t>开累完成</w:t>
            </w:r>
          </w:p>
          <w:p>
            <w:pPr>
              <w:numPr>
                <w:ilvl w:val="0"/>
                <w:numId w:val="0"/>
              </w:numPr>
              <w:spacing w:line="360" w:lineRule="auto"/>
              <w:jc w:val="left"/>
              <w:rPr>
                <w:rFonts w:hint="default" w:ascii="仿宋_GB2312" w:hAnsi="仿宋_GB2312" w:eastAsia="仿宋_GB2312" w:cs="仿宋_GB2312"/>
                <w:b/>
                <w:bCs/>
                <w:sz w:val="20"/>
                <w:szCs w:val="20"/>
                <w:lang w:val="en-US"/>
              </w:rPr>
            </w:pPr>
            <w:r>
              <w:rPr>
                <w:rFonts w:hint="default" w:ascii="仿宋_GB2312" w:hAnsi="仿宋_GB2312" w:eastAsia="仿宋_GB2312" w:cs="仿宋_GB2312"/>
                <w:b/>
                <w:bCs/>
                <w:sz w:val="20"/>
                <w:szCs w:val="20"/>
                <w:lang w:val="en-US"/>
              </w:rPr>
              <w:t xml:space="preserve">69%. </w:t>
            </w:r>
            <w:r>
              <w:rPr>
                <w:rFonts w:hint="eastAsia" w:ascii="仿宋_GB2312" w:hAnsi="仿宋_GB2312" w:eastAsia="仿宋_GB2312" w:cs="仿宋_GB2312"/>
                <w:b/>
                <w:bCs/>
                <w:lang w:val="en-US"/>
              </w:rPr>
              <w:t>四</w:t>
            </w:r>
            <w:r>
              <w:rPr>
                <w:rFonts w:hint="default" w:ascii="仿宋_GB2312" w:hAnsi="仿宋_GB2312" w:eastAsia="仿宋_GB2312" w:cs="仿宋_GB2312"/>
                <w:b/>
                <w:bCs/>
                <w:sz w:val="20"/>
                <w:szCs w:val="20"/>
                <w:lang w:val="en-US"/>
              </w:rPr>
              <w:t>号地块支架设计205组,开累支架完成107组,开累支架完成53% ,</w:t>
            </w:r>
            <w:r>
              <w:rPr>
                <w:rFonts w:hint="eastAsia" w:ascii="仿宋_GB2312" w:hAnsi="仿宋_GB2312" w:eastAsia="仿宋_GB2312" w:cs="仿宋_GB2312"/>
                <w:b/>
                <w:bCs/>
                <w:lang w:val="en-US"/>
              </w:rPr>
              <w:t>四</w:t>
            </w:r>
            <w:r>
              <w:rPr>
                <w:rFonts w:hint="default" w:ascii="仿宋_GB2312" w:hAnsi="仿宋_GB2312" w:eastAsia="仿宋_GB2312" w:cs="仿宋_GB2312"/>
                <w:b/>
                <w:bCs/>
                <w:sz w:val="20"/>
                <w:szCs w:val="20"/>
                <w:lang w:val="en-US"/>
              </w:rPr>
              <w:t>号地块组件设计5740块,开累组件完成2576块,开累组件完成49% ,</w:t>
            </w:r>
          </w:p>
          <w:p>
            <w:pPr>
              <w:numPr>
                <w:ilvl w:val="0"/>
                <w:numId w:val="0"/>
              </w:numPr>
              <w:spacing w:line="360" w:lineRule="auto"/>
              <w:ind w:firstLine="301" w:firstLineChars="150"/>
              <w:jc w:val="left"/>
              <w:rPr>
                <w:rFonts w:hint="default" w:ascii="仿宋_GB2312" w:hAnsi="仿宋_GB2312" w:eastAsia="仿宋_GB2312" w:cs="仿宋_GB2312"/>
                <w:b/>
                <w:bCs/>
                <w:sz w:val="20"/>
                <w:szCs w:val="20"/>
                <w:lang w:val="en-US"/>
              </w:rPr>
            </w:pPr>
            <w:r>
              <w:rPr>
                <w:rFonts w:hint="default" w:ascii="仿宋_GB2312" w:hAnsi="仿宋_GB2312" w:eastAsia="仿宋_GB2312" w:cs="仿宋_GB2312"/>
                <w:b/>
                <w:bCs/>
                <w:sz w:val="20"/>
                <w:szCs w:val="20"/>
                <w:lang w:val="en-US"/>
              </w:rPr>
              <w:t>备注:(征地开累完成235亩,管桩开累完成1965根,支架开累完成8.8MW,组件开累完成12980块,支架开累完成8.8MW,接地开累完成4240m,4m2</w:t>
            </w:r>
            <w:r>
              <w:rPr>
                <w:rFonts w:hint="eastAsia" w:ascii="仿宋_GB2312" w:hAnsi="仿宋_GB2312" w:eastAsia="仿宋_GB2312" w:cs="仿宋_GB2312"/>
                <w:b/>
                <w:bCs/>
                <w:lang w:val="en-US"/>
              </w:rPr>
              <w:t>电气直流线</w:t>
            </w:r>
            <w:r>
              <w:rPr>
                <w:rFonts w:hint="default" w:ascii="仿宋_GB2312" w:hAnsi="仿宋_GB2312" w:eastAsia="仿宋_GB2312" w:cs="仿宋_GB2312"/>
                <w:b/>
                <w:bCs/>
                <w:sz w:val="20"/>
                <w:szCs w:val="20"/>
                <w:lang w:val="en-US"/>
              </w:rPr>
              <w:t>开累完成67400m,</w:t>
            </w:r>
            <w:r>
              <w:rPr>
                <w:rFonts w:hint="default" w:ascii="仿宋_GB2312" w:hAnsi="仿宋_GB2312" w:eastAsia="仿宋_GB2312" w:cs="仿宋_GB2312"/>
                <w:b/>
                <w:bCs/>
                <w:sz w:val="22"/>
                <w:szCs w:val="22"/>
                <w:lang w:val="en-US"/>
              </w:rPr>
              <w:t>电缆</w:t>
            </w:r>
            <w:r>
              <w:rPr>
                <w:rFonts w:hint="default" w:ascii="仿宋_GB2312" w:hAnsi="仿宋_GB2312" w:eastAsia="仿宋_GB2312" w:cs="仿宋_GB2312"/>
                <w:b/>
                <w:bCs/>
                <w:sz w:val="20"/>
                <w:szCs w:val="20"/>
                <w:lang w:val="en-US"/>
              </w:rPr>
              <w:t>开累完成7006m,</w:t>
            </w:r>
            <w:r>
              <w:rPr>
                <w:rFonts w:hint="default" w:ascii="仿宋_GB2312" w:hAnsi="仿宋_GB2312" w:eastAsia="仿宋_GB2312" w:cs="仿宋_GB2312"/>
                <w:b/>
                <w:bCs/>
                <w:sz w:val="22"/>
                <w:szCs w:val="22"/>
                <w:lang w:val="en-US"/>
              </w:rPr>
              <w:t>汇流箱</w:t>
            </w:r>
            <w:r>
              <w:rPr>
                <w:rFonts w:hint="default" w:ascii="仿宋_GB2312" w:hAnsi="仿宋_GB2312" w:eastAsia="仿宋_GB2312" w:cs="仿宋_GB2312"/>
                <w:b/>
                <w:bCs/>
                <w:sz w:val="20"/>
                <w:szCs w:val="20"/>
                <w:lang w:val="en-US"/>
              </w:rPr>
              <w:t>开累完成11个)</w:t>
            </w:r>
          </w:p>
          <w:bookmarkEnd w:id="1"/>
          <w:p>
            <w:pPr>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b/>
                <w:bCs/>
                <w:sz w:val="24"/>
                <w:szCs w:val="24"/>
                <w:lang w:val="en-US"/>
              </w:rPr>
            </w:pPr>
            <w:r>
              <w:rPr>
                <w:rFonts w:hint="eastAsia" w:ascii="仿宋_GB2312" w:hAnsi="仿宋_GB2312" w:eastAsia="仿宋_GB2312" w:cs="仿宋_GB2312"/>
                <w:b/>
                <w:bCs/>
                <w:color w:val="auto"/>
                <w:sz w:val="24"/>
                <w:szCs w:val="28"/>
              </w:rPr>
              <w:t>四、下步</w:t>
            </w:r>
            <w:r>
              <w:rPr>
                <w:rFonts w:hint="eastAsia" w:ascii="仿宋_GB2312" w:hAnsi="仿宋_GB2312" w:eastAsia="仿宋_GB2312" w:cs="仿宋_GB2312"/>
                <w:b/>
                <w:bCs/>
                <w:sz w:val="24"/>
                <w:szCs w:val="24"/>
              </w:rPr>
              <w:t>工作安排如下</w:t>
            </w:r>
            <w:r>
              <w:rPr>
                <w:rFonts w:hint="default" w:ascii="仿宋_GB2312" w:hAnsi="仿宋_GB2312" w:eastAsia="仿宋_GB2312" w:cs="仿宋_GB2312"/>
                <w:b/>
                <w:bCs/>
                <w:sz w:val="24"/>
                <w:szCs w:val="24"/>
                <w:lang w:val="en-US"/>
              </w:rPr>
              <w:t>:</w:t>
            </w:r>
          </w:p>
          <w:p>
            <w:pPr>
              <w:spacing w:line="360" w:lineRule="auto"/>
              <w:ind w:firstLine="316" w:firstLineChars="150"/>
              <w:rPr>
                <w:rFonts w:hint="default" w:ascii="仿宋_GB2312" w:hAnsi="仿宋_GB2312" w:eastAsia="仿宋_GB2312" w:cs="仿宋_GB2312"/>
                <w:b/>
                <w:bCs/>
                <w:sz w:val="21"/>
                <w:szCs w:val="22"/>
                <w:lang w:val="en-US" w:eastAsia="zh-CN"/>
              </w:rPr>
            </w:pPr>
            <w:r>
              <w:rPr>
                <w:rFonts w:hint="default" w:ascii="仿宋_GB2312" w:hAnsi="仿宋_GB2312" w:eastAsia="仿宋_GB2312" w:cs="仿宋_GB2312"/>
                <w:b/>
                <w:bCs/>
                <w:sz w:val="21"/>
                <w:szCs w:val="22"/>
                <w:lang w:val="en-US" w:eastAsia="zh-CN"/>
              </w:rPr>
              <w:t>4,1.坤能公司尹总要求:</w:t>
            </w:r>
          </w:p>
          <w:p>
            <w:pPr>
              <w:pStyle w:val="2"/>
              <w:spacing w:line="360" w:lineRule="auto"/>
              <w:ind w:left="0" w:leftChars="0" w:firstLine="316" w:firstLineChars="150"/>
              <w:rPr>
                <w:rFonts w:hint="default" w:ascii="仿宋_GB2312" w:hAnsi="仿宋_GB2312" w:eastAsia="仿宋_GB2312" w:cs="仿宋_GB2312"/>
                <w:b/>
                <w:bCs/>
                <w:sz w:val="22"/>
                <w:szCs w:val="24"/>
                <w:lang w:val="en-US" w:eastAsia="zh-CN"/>
              </w:rPr>
            </w:pPr>
            <w:r>
              <w:rPr>
                <w:rFonts w:hint="default" w:ascii="仿宋_GB2312" w:hAnsi="仿宋_GB2312" w:eastAsia="仿宋_GB2312" w:cs="仿宋_GB2312"/>
                <w:b/>
                <w:bCs/>
                <w:sz w:val="21"/>
                <w:szCs w:val="22"/>
                <w:lang w:val="en-US" w:eastAsia="zh-CN"/>
              </w:rPr>
              <w:t>(1)</w:t>
            </w:r>
            <w:r>
              <w:rPr>
                <w:rFonts w:hint="default" w:ascii="仿宋_GB2312" w:hAnsi="仿宋_GB2312" w:eastAsia="仿宋_GB2312" w:cs="仿宋_GB2312"/>
                <w:b/>
                <w:bCs/>
                <w:sz w:val="22"/>
                <w:szCs w:val="24"/>
                <w:lang w:val="en-US" w:eastAsia="zh-CN"/>
              </w:rPr>
              <w:t>及时与公路局对接,做好顶管穿越公路环评工作(春节放假前必须完成):</w:t>
            </w:r>
          </w:p>
          <w:p>
            <w:pPr>
              <w:pStyle w:val="2"/>
              <w:spacing w:line="360" w:lineRule="auto"/>
              <w:ind w:left="0" w:leftChars="0" w:firstLine="0" w:firstLineChars="0"/>
              <w:rPr>
                <w:rFonts w:hint="default" w:ascii="仿宋_GB2312" w:hAnsi="仿宋_GB2312" w:eastAsia="仿宋_GB2312" w:cs="仿宋_GB2312"/>
                <w:b/>
                <w:bCs/>
                <w:lang w:val="en-US" w:eastAsia="zh-CN"/>
              </w:rPr>
            </w:pPr>
            <w:r>
              <w:rPr>
                <w:rFonts w:hint="default"/>
                <w:lang w:val="en-US" w:eastAsia="zh-CN"/>
              </w:rPr>
              <w:t xml:space="preserve"> </w:t>
            </w:r>
            <w:r>
              <w:rPr>
                <w:rFonts w:hint="default"/>
                <w:b/>
                <w:bCs/>
                <w:lang w:val="en-US" w:eastAsia="zh-CN"/>
              </w:rPr>
              <w:t xml:space="preserve">  </w:t>
            </w:r>
            <w:r>
              <w:rPr>
                <w:rFonts w:hint="eastAsia" w:ascii="仿宋_GB2312" w:hAnsi="仿宋_GB2312" w:eastAsia="仿宋_GB2312" w:cs="仿宋_GB2312"/>
                <w:b/>
                <w:bCs/>
                <w:lang w:val="en-US" w:eastAsia="zh-CN"/>
              </w:rPr>
              <w:t>(2)做好春节之前安全排查工作,总包单位必须配置专职安全员排查现场安全隐患并做好安全生产中规定资料收集整理及归档工作</w:t>
            </w:r>
            <w:r>
              <w:rPr>
                <w:rFonts w:hint="default" w:ascii="仿宋_GB2312" w:hAnsi="仿宋_GB2312" w:eastAsia="仿宋_GB2312" w:cs="仿宋_GB2312"/>
                <w:b/>
                <w:bCs/>
                <w:lang w:val="en-US" w:eastAsia="zh-CN"/>
              </w:rPr>
              <w:t>:</w:t>
            </w:r>
          </w:p>
          <w:p>
            <w:pPr>
              <w:pStyle w:val="4"/>
              <w:spacing w:line="360" w:lineRule="auto"/>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(3)做好三号地块及五号地块剩余征地工作:</w:t>
            </w:r>
          </w:p>
          <w:p>
            <w:pPr>
              <w:pStyle w:val="4"/>
              <w:spacing w:line="360" w:lineRule="auto"/>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(4)根据己征土地情况,统计管桩剩余工作量,春节前管桩必须完戍:</w:t>
            </w:r>
          </w:p>
          <w:p>
            <w:pPr>
              <w:pStyle w:val="4"/>
              <w:spacing w:line="360" w:lineRule="auto"/>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(5)一号地块围栏必须春节前必须完成:</w:t>
            </w:r>
          </w:p>
          <w:p>
            <w:pPr>
              <w:pStyle w:val="4"/>
              <w:spacing w:line="360" w:lineRule="auto"/>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(6)春节期间必须留专人看守做好防偷防盗工作:</w:t>
            </w:r>
          </w:p>
          <w:p>
            <w:pPr>
              <w:pStyle w:val="4"/>
              <w:spacing w:line="360" w:lineRule="auto"/>
              <w:ind w:left="0" w:leftChars="0" w:firstLine="421" w:firstLineChars="0"/>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(7)施工工地必须安装监控确保安全:</w:t>
            </w:r>
          </w:p>
          <w:p>
            <w:pPr>
              <w:pStyle w:val="4"/>
              <w:spacing w:line="360" w:lineRule="auto"/>
              <w:ind w:left="0" w:leftChars="0" w:firstLine="421" w:firstLineChars="0"/>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(8)集电线路征地工作必须春节前完成,否则影响节后施工;</w:t>
            </w:r>
          </w:p>
          <w:p>
            <w:pPr>
              <w:pStyle w:val="4"/>
              <w:spacing w:line="360" w:lineRule="auto"/>
              <w:ind w:left="0" w:leftChars="0" w:firstLine="421" w:firstLineChars="0"/>
              <w:rPr>
                <w:rFonts w:hint="default" w:ascii="仿宋_GB2312" w:hAnsi="仿宋_GB2312" w:eastAsia="仿宋_GB2312" w:cs="仿宋_GB2312"/>
                <w:b/>
                <w:bCs/>
                <w:lang w:val="en-US" w:eastAsia="zh-CN"/>
              </w:rPr>
            </w:pPr>
            <w:r>
              <w:rPr>
                <w:rFonts w:hint="default" w:ascii="仿宋_GB2312" w:hAnsi="仿宋_GB2312" w:eastAsia="仿宋_GB2312" w:cs="仿宋_GB2312"/>
                <w:b/>
                <w:bCs/>
                <w:lang w:val="en-US" w:eastAsia="zh-CN"/>
              </w:rPr>
              <w:t>(9)总包单位配合检测单位对一号地块及二号地块光伏组件隐裂检测工作:</w:t>
            </w:r>
          </w:p>
          <w:p>
            <w:pPr>
              <w:numPr>
                <w:ilvl w:val="0"/>
                <w:numId w:val="0"/>
              </w:numPr>
              <w:topLinePunct/>
              <w:snapToGrid w:val="0"/>
              <w:spacing w:before="60" w:after="60" w:line="360" w:lineRule="auto"/>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b/>
                <w:bCs/>
                <w:sz w:val="24"/>
                <w:szCs w:val="24"/>
                <w:lang w:val="en-US" w:eastAsia="zh-CN"/>
              </w:rPr>
              <w:t xml:space="preserve">   4.2.</w:t>
            </w:r>
            <w:r>
              <w:rPr>
                <w:rFonts w:hint="default" w:ascii="仿宋_GB2312" w:hAnsi="仿宋_GB2312" w:eastAsia="仿宋_GB2312" w:cs="仿宋_GB2312"/>
                <w:b/>
                <w:bCs/>
                <w:sz w:val="21"/>
                <w:szCs w:val="22"/>
                <w:lang w:val="en-US" w:eastAsia="zh-CN"/>
              </w:rPr>
              <w:t>坤能公司王总要求:</w:t>
            </w:r>
          </w:p>
          <w:p>
            <w:pPr>
              <w:numPr>
                <w:ilvl w:val="0"/>
                <w:numId w:val="0"/>
              </w:numPr>
              <w:topLinePunct/>
              <w:snapToGrid w:val="0"/>
              <w:spacing w:before="60" w:after="60" w:line="360" w:lineRule="auto"/>
              <w:ind w:firstLine="331" w:firstLineChars="150"/>
              <w:rPr>
                <w:rFonts w:hint="default" w:ascii="仿宋_GB2312" w:hAnsi="仿宋_GB2312" w:eastAsia="仿宋_GB2312" w:cs="仿宋_GB2312"/>
                <w:b/>
                <w:bCs/>
                <w:sz w:val="22"/>
                <w:szCs w:val="22"/>
                <w:lang w:val="en-US" w:eastAsia="zh-CN"/>
              </w:rPr>
            </w:pPr>
            <w:r>
              <w:rPr>
                <w:rFonts w:hint="default" w:ascii="仿宋_GB2312" w:hAnsi="仿宋_GB2312" w:eastAsia="仿宋_GB2312" w:cs="仿宋_GB2312"/>
                <w:b/>
                <w:bCs/>
                <w:sz w:val="22"/>
                <w:szCs w:val="22"/>
                <w:lang w:val="en-US" w:eastAsia="zh-CN"/>
              </w:rPr>
              <w:t>1.对三号地块及五号地块剩佘地块及时提供航拍便于设计出图:</w:t>
            </w:r>
          </w:p>
          <w:p>
            <w:pPr>
              <w:pStyle w:val="2"/>
              <w:numPr>
                <w:ilvl w:val="0"/>
                <w:numId w:val="0"/>
              </w:numPr>
              <w:spacing w:line="360" w:lineRule="auto"/>
              <w:ind w:firstLine="331" w:firstLineChars="150"/>
              <w:rPr>
                <w:rFonts w:hint="eastAsia" w:ascii="仿宋_GB2312" w:hAnsi="仿宋_GB2312" w:eastAsia="仿宋_GB2312" w:cs="仿宋_GB2312"/>
                <w:b/>
                <w:bCs/>
                <w:sz w:val="22"/>
                <w:szCs w:val="24"/>
                <w:lang w:val="en-US" w:eastAsia="zh-CN"/>
              </w:rPr>
            </w:pPr>
            <w:r>
              <w:rPr>
                <w:rFonts w:hint="default" w:ascii="仿宋_GB2312" w:hAnsi="仿宋_GB2312" w:eastAsia="仿宋_GB2312" w:cs="仿宋_GB2312"/>
                <w:b/>
                <w:bCs/>
                <w:sz w:val="22"/>
                <w:szCs w:val="24"/>
                <w:lang w:val="en-US" w:eastAsia="zh-CN"/>
              </w:rPr>
              <w:t>4.3..正衡监理要求:</w:t>
            </w:r>
          </w:p>
          <w:p>
            <w:pPr>
              <w:pStyle w:val="2"/>
              <w:spacing w:line="360" w:lineRule="auto"/>
              <w:ind w:left="0" w:leftChars="0" w:firstLine="0" w:firstLineChars="0"/>
              <w:rPr>
                <w:rFonts w:hint="eastAsia" w:ascii="仿宋_GB2312" w:hAnsi="仿宋_GB2312" w:eastAsia="仿宋_GB2312" w:cs="仿宋_GB2312"/>
                <w:b/>
                <w:bCs/>
                <w:sz w:val="22"/>
                <w:szCs w:val="24"/>
                <w:lang w:val="en-US" w:eastAsia="zh-CN"/>
              </w:rPr>
            </w:pPr>
            <w:r>
              <w:rPr>
                <w:rFonts w:hint="default"/>
                <w:b/>
                <w:bCs/>
                <w:lang w:val="en-US" w:eastAsia="zh-CN"/>
              </w:rPr>
              <w:t xml:space="preserve">  </w:t>
            </w:r>
            <w:r>
              <w:rPr>
                <w:rFonts w:hint="eastAsia" w:ascii="仿宋_GB2312" w:hAnsi="仿宋_GB2312" w:eastAsia="仿宋_GB2312" w:cs="仿宋_GB2312"/>
                <w:b/>
                <w:bCs/>
                <w:sz w:val="22"/>
                <w:szCs w:val="24"/>
                <w:lang w:val="en-US" w:eastAsia="zh-CN"/>
              </w:rPr>
              <w:t xml:space="preserve"> </w:t>
            </w:r>
            <w:r>
              <w:rPr>
                <w:rFonts w:hint="default" w:ascii="仿宋_GB2312" w:hAnsi="仿宋_GB2312" w:eastAsia="仿宋_GB2312" w:cs="仿宋_GB2312"/>
                <w:b/>
                <w:bCs/>
                <w:sz w:val="22"/>
                <w:szCs w:val="24"/>
                <w:lang w:val="en-US" w:eastAsia="zh-CN"/>
              </w:rPr>
              <w:t>4.3.1</w:t>
            </w:r>
            <w:r>
              <w:rPr>
                <w:rFonts w:hint="eastAsia" w:ascii="仿宋_GB2312" w:hAnsi="仿宋_GB2312" w:eastAsia="仿宋_GB2312" w:cs="仿宋_GB2312"/>
                <w:b/>
                <w:bCs/>
                <w:sz w:val="22"/>
                <w:szCs w:val="24"/>
                <w:lang w:val="en-US" w:eastAsia="zh-CN"/>
              </w:rPr>
              <w:t>.对春节前需要施工节点倒排工期</w:t>
            </w:r>
            <w:r>
              <w:rPr>
                <w:rFonts w:hint="default" w:ascii="仿宋_GB2312" w:hAnsi="仿宋_GB2312" w:eastAsia="仿宋_GB2312" w:cs="仿宋_GB2312"/>
                <w:b/>
                <w:bCs/>
                <w:sz w:val="22"/>
                <w:szCs w:val="24"/>
                <w:lang w:val="en-US" w:eastAsia="zh-CN"/>
              </w:rPr>
              <w:t>,前紧后松,确保完成,否则对总包单位进行考核</w:t>
            </w:r>
            <w:r>
              <w:rPr>
                <w:rFonts w:hint="eastAsia" w:ascii="仿宋_GB2312" w:hAnsi="仿宋_GB2312" w:eastAsia="仿宋_GB2312" w:cs="仿宋_GB2312"/>
                <w:b/>
                <w:bCs/>
                <w:sz w:val="22"/>
                <w:szCs w:val="24"/>
                <w:lang w:val="en-US" w:eastAsia="zh-CN"/>
              </w:rPr>
              <w:t>:</w:t>
            </w:r>
          </w:p>
          <w:p>
            <w:pPr>
              <w:pStyle w:val="4"/>
              <w:spacing w:line="360" w:lineRule="auto"/>
              <w:ind w:left="0" w:leftChars="0" w:firstLine="331" w:firstLineChars="150"/>
              <w:rPr>
                <w:rFonts w:hint="default" w:ascii="仿宋_GB2312" w:hAnsi="仿宋_GB2312" w:eastAsia="仿宋_GB2312" w:cs="仿宋_GB2312"/>
                <w:b/>
                <w:bCs/>
                <w:sz w:val="22"/>
                <w:szCs w:val="24"/>
                <w:lang w:val="en-US" w:eastAsia="zh-CN"/>
              </w:rPr>
            </w:pPr>
            <w:r>
              <w:rPr>
                <w:rFonts w:hint="default" w:ascii="仿宋_GB2312" w:hAnsi="仿宋_GB2312" w:eastAsia="仿宋_GB2312" w:cs="仿宋_GB2312"/>
                <w:b/>
                <w:bCs/>
                <w:sz w:val="22"/>
                <w:szCs w:val="24"/>
                <w:lang w:val="en-US" w:eastAsia="zh-CN"/>
              </w:rPr>
              <w:t>4.3.2.及时完善内业资料,内业资料与</w:t>
            </w:r>
            <w:r>
              <w:rPr>
                <w:rFonts w:hint="eastAsia" w:ascii="仿宋_GB2312" w:hAnsi="仿宋_GB2312" w:eastAsia="仿宋_GB2312" w:cs="仿宋_GB2312"/>
                <w:b/>
                <w:bCs/>
                <w:kern w:val="0"/>
                <w:sz w:val="22"/>
                <w:szCs w:val="24"/>
              </w:rPr>
              <w:t>施</w:t>
            </w:r>
            <w:r>
              <w:rPr>
                <w:rFonts w:hint="default" w:ascii="仿宋_GB2312" w:hAnsi="仿宋_GB2312" w:eastAsia="仿宋_GB2312" w:cs="仿宋_GB2312"/>
                <w:b/>
                <w:bCs/>
                <w:sz w:val="22"/>
                <w:szCs w:val="24"/>
                <w:lang w:val="en-US" w:eastAsia="zh-CN"/>
              </w:rPr>
              <w:t>工同步进行.</w:t>
            </w:r>
          </w:p>
          <w:p>
            <w:pPr>
              <w:pageBreakBefore w:val="0"/>
              <w:widowControl w:val="0"/>
              <w:kinsoku/>
              <w:wordWrap/>
              <w:overflowPunct/>
              <w:topLinePunct w:val="0"/>
              <w:autoSpaceDE/>
              <w:autoSpaceDN/>
              <w:bidi w:val="0"/>
              <w:adjustRightInd/>
              <w:snapToGrid/>
              <w:spacing w:line="360" w:lineRule="auto"/>
              <w:ind w:firstLine="211" w:firstLineChars="100"/>
              <w:jc w:val="left"/>
              <w:textAlignment w:val="auto"/>
              <w:rPr>
                <w:rFonts w:hint="eastAsia" w:ascii="仿宋_GB2312" w:hAnsi="仿宋_GB2312" w:eastAsia="仿宋_GB2312" w:cs="仿宋_GB2312"/>
                <w:sz w:val="24"/>
                <w:szCs w:val="28"/>
                <w:lang w:val="en-US" w:eastAsia="zh-CN"/>
              </w:rPr>
            </w:pPr>
            <w:r>
              <w:rPr>
                <w:rFonts w:hint="default"/>
                <w:b/>
                <w:bCs/>
                <w:lang w:val="en-US" w:eastAsia="zh-CN"/>
              </w:rPr>
              <w:t xml:space="preserve">  4.3.3.</w:t>
            </w:r>
            <w:r>
              <w:rPr>
                <w:rFonts w:hint="eastAsia" w:ascii="仿宋_GB2312" w:hAnsi="仿宋_GB2312" w:eastAsia="仿宋_GB2312" w:cs="仿宋_GB2312"/>
                <w:b/>
                <w:bCs/>
                <w:sz w:val="24"/>
                <w:szCs w:val="28"/>
                <w:lang w:val="en-US" w:eastAsia="zh-CN"/>
              </w:rPr>
              <w:t>安全文明施工常态化管理。</w:t>
            </w:r>
          </w:p>
          <w:p>
            <w:pPr>
              <w:spacing w:line="360" w:lineRule="auto"/>
              <w:ind w:firstLine="221" w:firstLineChars="100"/>
              <w:jc w:val="left"/>
              <w:rPr>
                <w:rFonts w:hint="eastAsia" w:ascii="仿宋_GB2312" w:hAnsi="仿宋_GB2312" w:eastAsia="仿宋_GB2312" w:cs="仿宋_GB2312"/>
                <w:b/>
                <w:bCs/>
                <w:sz w:val="22"/>
                <w:szCs w:val="24"/>
                <w:lang w:val="en-US" w:eastAsia="zh-CN"/>
              </w:rPr>
            </w:pPr>
            <w:r>
              <w:rPr>
                <w:rFonts w:hint="default" w:ascii="仿宋_GB2312" w:hAnsi="仿宋_GB2312" w:eastAsia="仿宋_GB2312" w:cs="仿宋_GB2312"/>
                <w:b/>
                <w:bCs/>
                <w:sz w:val="22"/>
                <w:szCs w:val="24"/>
                <w:lang w:val="en-US" w:eastAsia="zh-CN"/>
              </w:rPr>
              <w:t>4.3.4.</w:t>
            </w:r>
            <w:r>
              <w:rPr>
                <w:rFonts w:hint="eastAsia" w:ascii="仿宋_GB2312" w:hAnsi="仿宋_GB2312" w:eastAsia="仿宋_GB2312" w:cs="仿宋_GB2312"/>
                <w:b/>
                <w:bCs/>
                <w:sz w:val="22"/>
                <w:szCs w:val="24"/>
                <w:lang w:val="en-US" w:eastAsia="zh-CN"/>
              </w:rPr>
              <w:t>加强施工现场质量、安全巡视检查工作。</w:t>
            </w:r>
          </w:p>
          <w:p>
            <w:pPr>
              <w:pStyle w:val="2"/>
              <w:spacing w:line="360" w:lineRule="auto"/>
              <w:ind w:left="0" w:leftChars="0" w:firstLine="0" w:firstLineChars="0"/>
              <w:rPr>
                <w:rFonts w:hint="eastAsia" w:ascii="仿宋_GB2312" w:hAnsi="仿宋_GB2312" w:eastAsia="仿宋_GB2312" w:cs="仿宋_GB2312"/>
                <w:b/>
                <w:bCs/>
                <w:sz w:val="22"/>
                <w:szCs w:val="24"/>
                <w:lang w:val="en-US" w:eastAsia="zh-CN"/>
              </w:rPr>
            </w:pPr>
          </w:p>
          <w:p>
            <w:pPr>
              <w:pStyle w:val="2"/>
              <w:spacing w:line="360" w:lineRule="auto"/>
              <w:ind w:left="0" w:leftChars="0" w:firstLine="0" w:firstLineChars="0"/>
              <w:rPr>
                <w:rFonts w:hint="eastAsia"/>
                <w:b/>
                <w:bCs/>
                <w:lang w:val="en-US" w:eastAsia="zh-CN"/>
              </w:rPr>
            </w:pPr>
          </w:p>
          <w:p>
            <w:pPr>
              <w:numPr>
                <w:ilvl w:val="0"/>
                <w:numId w:val="0"/>
              </w:numPr>
              <w:spacing w:line="360" w:lineRule="auto"/>
              <w:ind w:left="315" w:leftChars="0" w:firstLine="843" w:firstLineChars="350"/>
              <w:jc w:val="left"/>
              <w:rPr>
                <w:rFonts w:hint="eastAsia" w:ascii="仿宋_GB2312" w:hAnsi="仿宋_GB2312" w:eastAsia="仿宋_GB2312" w:cs="仿宋_GB2312"/>
                <w:b/>
                <w:bCs/>
                <w:sz w:val="24"/>
                <w:szCs w:val="22"/>
                <w:lang w:val="en-US" w:eastAsia="zh-CN"/>
              </w:rPr>
            </w:pPr>
          </w:p>
          <w:p>
            <w:pPr>
              <w:pStyle w:val="16"/>
              <w:spacing w:line="360" w:lineRule="auto"/>
              <w:ind w:left="0" w:leftChars="0" w:firstLine="0" w:firstLineChars="0"/>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b/>
                <w:bCs/>
                <w:sz w:val="24"/>
                <w:szCs w:val="24"/>
                <w:lang w:val="en-US" w:eastAsia="zh-CN"/>
              </w:rPr>
              <w:t xml:space="preserve">                         </w:t>
            </w:r>
          </w:p>
          <w:p>
            <w:pPr>
              <w:pStyle w:val="16"/>
              <w:spacing w:line="360" w:lineRule="auto"/>
              <w:ind w:left="0" w:leftChars="0" w:firstLine="0" w:firstLineChars="0"/>
              <w:rPr>
                <w:rFonts w:hint="eastAsia" w:ascii="仿宋_GB2312" w:hAnsi="仿宋_GB2312" w:eastAsia="仿宋_GB2312" w:cs="仿宋_GB2312"/>
                <w:b/>
                <w:bCs/>
                <w:color w:val="auto"/>
                <w:sz w:val="24"/>
                <w:szCs w:val="24"/>
                <w:u w:val="none"/>
                <w:lang w:val="en-US" w:eastAsia="zh-CN"/>
              </w:rPr>
            </w:pPr>
            <w:r>
              <w:rPr>
                <w:rFonts w:hint="default" w:ascii="仿宋_GB2312" w:hAnsi="仿宋_GB2312" w:eastAsia="仿宋_GB2312" w:cs="仿宋_GB2312"/>
                <w:b/>
                <w:bCs/>
                <w:sz w:val="24"/>
                <w:szCs w:val="24"/>
                <w:lang w:val="en-US" w:eastAsia="zh-CN"/>
              </w:rPr>
              <w:t xml:space="preserve">          </w:t>
            </w:r>
            <w:r>
              <w:rPr>
                <w:rFonts w:hint="default" w:ascii="仿宋_GB2312" w:hAnsi="仿宋_GB2312" w:eastAsia="仿宋_GB2312" w:cs="仿宋_GB2312"/>
                <w:b/>
                <w:bCs/>
                <w:sz w:val="22"/>
                <w:szCs w:val="22"/>
                <w:lang w:val="en-US" w:eastAsia="zh-CN"/>
              </w:rPr>
              <w:t xml:space="preserve"> </w:t>
            </w:r>
            <w:r>
              <w:rPr>
                <w:rFonts w:hint="eastAsia" w:ascii="仿宋_GB2312" w:hAnsi="仿宋_GB2312" w:eastAsia="仿宋_GB2312" w:cs="仿宋_GB2312"/>
                <w:b/>
                <w:bCs/>
                <w:color w:val="auto"/>
                <w:sz w:val="24"/>
                <w:szCs w:val="24"/>
                <w:u w:val="none"/>
                <w:lang w:val="en-US" w:eastAsia="zh-CN"/>
              </w:rPr>
              <w:drawing>
                <wp:inline distT="0" distB="0" distL="114300" distR="114300">
                  <wp:extent cx="4443095" cy="3118485"/>
                  <wp:effectExtent l="0" t="0" r="14605" b="5715"/>
                  <wp:docPr id="1" name="图片 1" descr="a9fed0b3b0b1d93ae341fda74b6dc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9fed0b3b0b1d93ae341fda74b6dc59"/>
                          <pic:cNvPicPr>
                            <a:picLocks noChangeAspect="1"/>
                          </pic:cNvPicPr>
                        </pic:nvPicPr>
                        <pic:blipFill>
                          <a:blip r:embed="rId4"/>
                          <a:stretch>
                            <a:fillRect/>
                          </a:stretch>
                        </pic:blipFill>
                        <pic:spPr>
                          <a:xfrm>
                            <a:off x="0" y="0"/>
                            <a:ext cx="4443095" cy="3118485"/>
                          </a:xfrm>
                          <a:prstGeom prst="rect">
                            <a:avLst/>
                          </a:prstGeom>
                        </pic:spPr>
                      </pic:pic>
                    </a:graphicData>
                  </a:graphic>
                </wp:inline>
              </w:drawing>
            </w:r>
          </w:p>
          <w:p>
            <w:pPr>
              <w:pStyle w:val="16"/>
              <w:spacing w:line="360" w:lineRule="auto"/>
              <w:ind w:firstLine="3850" w:firstLineChars="1743"/>
              <w:rPr>
                <w:rFonts w:hint="default" w:asciiTheme="minorEastAsia" w:hAnsiTheme="minorEastAsia"/>
                <w:b/>
                <w:bCs/>
                <w:sz w:val="24"/>
                <w:lang w:val="en-US"/>
              </w:rPr>
            </w:pPr>
            <w:r>
              <w:rPr>
                <w:rFonts w:hint="default" w:ascii="仿宋_GB2312" w:hAnsi="仿宋_GB2312" w:eastAsia="仿宋_GB2312" w:cs="仿宋_GB2312"/>
                <w:b/>
                <w:bCs/>
                <w:sz w:val="22"/>
                <w:szCs w:val="22"/>
                <w:lang w:val="en-US" w:eastAsia="zh-CN"/>
              </w:rPr>
              <w:t>工地例会现场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0"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主送单位</w:t>
            </w:r>
          </w:p>
        </w:tc>
        <w:tc>
          <w:tcPr>
            <w:tcW w:w="3179"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pacing w:val="40"/>
                <w:sz w:val="24"/>
                <w:szCs w:val="24"/>
              </w:rPr>
            </w:pP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0"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抄送单位</w:t>
            </w:r>
          </w:p>
        </w:tc>
        <w:tc>
          <w:tcPr>
            <w:tcW w:w="3179"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napToGrid w:val="0"/>
                <w:kern w:val="0"/>
                <w:sz w:val="22"/>
                <w:szCs w:val="21"/>
              </w:rPr>
            </w:pPr>
            <w:r>
              <w:rPr>
                <w:rFonts w:hint="eastAsia" w:ascii="仿宋_GB2312" w:hAnsi="仿宋_GB2312" w:eastAsia="仿宋_GB2312" w:cs="仿宋_GB2312"/>
                <w:snapToGrid w:val="0"/>
                <w:kern w:val="0"/>
                <w:sz w:val="22"/>
                <w:szCs w:val="21"/>
              </w:rPr>
              <w:t>常州正衡电力工程监理有限公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20"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发文单位</w:t>
            </w:r>
          </w:p>
        </w:tc>
        <w:tc>
          <w:tcPr>
            <w:tcW w:w="1615" w:type="pct"/>
            <w:tcMar>
              <w:left w:w="0" w:type="dxa"/>
              <w:right w:w="0" w:type="dxa"/>
            </w:tcMar>
            <w:vAlign w:val="center"/>
          </w:tcPr>
          <w:p>
            <w:pPr>
              <w:spacing w:before="100" w:after="100"/>
              <w:jc w:val="left"/>
              <w:rPr>
                <w:rFonts w:hint="eastAsia" w:ascii="仿宋_GB2312" w:hAnsi="仿宋_GB2312" w:eastAsia="仿宋_GB2312" w:cs="仿宋_GB2312"/>
                <w:spacing w:val="40"/>
                <w:sz w:val="28"/>
                <w:szCs w:val="28"/>
              </w:rPr>
            </w:pPr>
            <w:r>
              <w:rPr>
                <w:rFonts w:hint="eastAsia" w:ascii="仿宋_GB2312" w:hAnsi="仿宋_GB2312" w:eastAsia="仿宋_GB2312" w:cs="仿宋_GB2312"/>
                <w:sz w:val="22"/>
                <w:szCs w:val="21"/>
              </w:rPr>
              <w:t>防城港港坤新能源开发有限公司</w:t>
            </w:r>
          </w:p>
        </w:tc>
        <w:tc>
          <w:tcPr>
            <w:tcW w:w="627" w:type="pct"/>
            <w:tcMar>
              <w:left w:w="0" w:type="dxa"/>
              <w:right w:w="0" w:type="dxa"/>
            </w:tcMar>
            <w:vAlign w:val="center"/>
          </w:tcPr>
          <w:p>
            <w:pPr>
              <w:spacing w:before="100" w:after="100"/>
              <w:jc w:val="center"/>
              <w:rPr>
                <w:rFonts w:hint="eastAsia" w:ascii="仿宋_GB2312" w:hAnsi="仿宋_GB2312" w:eastAsia="仿宋_GB2312" w:cs="仿宋_GB2312"/>
                <w:sz w:val="28"/>
                <w:szCs w:val="28"/>
              </w:rPr>
            </w:pPr>
            <w:r>
              <w:rPr>
                <w:rFonts w:hint="eastAsia" w:ascii="仿宋_GB2312" w:hAnsi="仿宋_GB2312" w:eastAsia="仿宋_GB2312" w:cs="仿宋_GB2312"/>
                <w:sz w:val="22"/>
                <w:szCs w:val="22"/>
              </w:rPr>
              <w:t>发文时间</w:t>
            </w:r>
          </w:p>
        </w:tc>
        <w:tc>
          <w:tcPr>
            <w:tcW w:w="936" w:type="pct"/>
            <w:tcMar>
              <w:left w:w="0" w:type="dxa"/>
              <w:right w:w="0" w:type="dxa"/>
            </w:tcMar>
            <w:vAlign w:val="center"/>
          </w:tcPr>
          <w:p>
            <w:pPr>
              <w:spacing w:before="100" w:after="100"/>
              <w:jc w:val="center"/>
              <w:rPr>
                <w:rFonts w:hint="default" w:asciiTheme="minorEastAsia" w:hAnsiTheme="minorEastAsia" w:eastAsiaTheme="minorEastAsia"/>
                <w:spacing w:val="40"/>
                <w:sz w:val="24"/>
                <w:szCs w:val="24"/>
                <w:lang w:val="en-US" w:eastAsia="zh-CN"/>
              </w:rPr>
            </w:pPr>
            <w:r>
              <w:rPr>
                <w:rFonts w:hint="default" w:asciiTheme="minorEastAsia" w:hAnsiTheme="minorEastAsia"/>
                <w:spacing w:val="40"/>
                <w:sz w:val="22"/>
                <w:szCs w:val="22"/>
                <w:lang w:val="en-US" w:eastAsia="zh-CN"/>
              </w:rPr>
              <w:t>2024.12.18</w:t>
            </w:r>
          </w:p>
        </w:tc>
      </w:tr>
    </w:tbl>
    <w:p>
      <w:pPr>
        <w:pStyle w:val="8"/>
        <w:ind w:left="0" w:leftChars="0" w:firstLine="0" w:firstLineChars="0"/>
      </w:pPr>
    </w:p>
    <w:p>
      <w:pPr>
        <w:topLinePunct/>
        <w:spacing w:line="240" w:lineRule="auto"/>
        <w:ind w:firstLine="1890" w:firstLineChars="900"/>
        <w:jc w:val="both"/>
        <w:outlineLvl w:val="0"/>
        <w:rPr>
          <w:rFonts w:hint="eastAsia"/>
        </w:rPr>
      </w:pPr>
    </w:p>
    <w:bookmarkEnd w:id="0"/>
    <w:p>
      <w:pPr>
        <w:topLinePunct/>
        <w:spacing w:line="240" w:lineRule="auto"/>
        <w:ind w:firstLine="210" w:firstLineChars="100"/>
        <w:jc w:val="left"/>
        <w:outlineLvl w:val="0"/>
        <w:rPr>
          <w:rFonts w:hint="eastAsia" w:ascii="仿宋_GB2312" w:hAnsi="仿宋_GB2312" w:eastAsia="仿宋_GB2312" w:cs="仿宋_GB2312"/>
          <w:sz w:val="21"/>
          <w:szCs w:val="21"/>
        </w:rPr>
      </w:pPr>
    </w:p>
    <w:p>
      <w:pPr>
        <w:pStyle w:val="8"/>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84276"/>
    <w:multiLevelType w:val="multilevel"/>
    <w:tmpl w:val="C4084276"/>
    <w:lvl w:ilvl="0" w:tentative="0">
      <w:start w:val="1"/>
      <w:numFmt w:val="decimal"/>
      <w:pStyle w:val="5"/>
      <w:suff w:val="space"/>
      <w:lvlText w:val="%1."/>
      <w:lvlJc w:val="left"/>
      <w:pPr>
        <w:tabs>
          <w:tab w:val="left" w:pos="0"/>
        </w:tabs>
        <w:ind w:left="0" w:firstLine="0"/>
      </w:pPr>
      <w:rPr>
        <w:rFonts w:hint="default" w:ascii="宋体" w:hAnsi="宋体" w:eastAsia="宋体" w:cs="宋体"/>
      </w:rPr>
    </w:lvl>
    <w:lvl w:ilvl="1" w:tentative="0">
      <w:start w:val="1"/>
      <w:numFmt w:val="decimal"/>
      <w:isLgl/>
      <w:suff w:val="space"/>
      <w:lvlText w:val="%1.%2."/>
      <w:lvlJc w:val="left"/>
      <w:pPr>
        <w:tabs>
          <w:tab w:val="left" w:pos="420"/>
        </w:tabs>
        <w:ind w:left="0" w:firstLine="0"/>
      </w:pPr>
      <w:rPr>
        <w:rFonts w:hint="default" w:ascii="宋体" w:hAnsi="宋体" w:eastAsia="宋体" w:cs="宋体"/>
      </w:rPr>
    </w:lvl>
    <w:lvl w:ilvl="2" w:tentative="0">
      <w:start w:val="1"/>
      <w:numFmt w:val="decimal"/>
      <w:isLgl/>
      <w:suff w:val="space"/>
      <w:lvlText w:val="%1.%2.%3."/>
      <w:lvlJc w:val="left"/>
      <w:pPr>
        <w:tabs>
          <w:tab w:val="left" w:pos="420"/>
        </w:tabs>
        <w:ind w:left="0" w:firstLine="0"/>
      </w:pPr>
      <w:rPr>
        <w:rFonts w:hint="default" w:ascii="宋体" w:hAnsi="宋体" w:eastAsia="宋体" w:cs="宋体"/>
      </w:rPr>
    </w:lvl>
    <w:lvl w:ilvl="3" w:tentative="0">
      <w:start w:val="1"/>
      <w:numFmt w:val="decimal"/>
      <w:isLgl/>
      <w:suff w:val="space"/>
      <w:lvlText w:val="%1.%2.%3.%4."/>
      <w:lvlJc w:val="left"/>
      <w:pPr>
        <w:tabs>
          <w:tab w:val="left" w:pos="420"/>
        </w:tabs>
        <w:ind w:left="0" w:firstLine="0"/>
      </w:pPr>
      <w:rPr>
        <w:rFonts w:hint="default" w:ascii="宋体" w:hAnsi="宋体" w:eastAsia="宋体" w:cs="宋体"/>
      </w:rPr>
    </w:lvl>
    <w:lvl w:ilvl="4" w:tentative="0">
      <w:start w:val="1"/>
      <w:numFmt w:val="decimal"/>
      <w:isLgl/>
      <w:suff w:val="space"/>
      <w:lvlText w:val="%1.%2.%3.%4.%5."/>
      <w:lvlJc w:val="left"/>
      <w:pPr>
        <w:tabs>
          <w:tab w:val="left" w:pos="420"/>
        </w:tabs>
        <w:ind w:left="0" w:firstLine="0"/>
      </w:pPr>
      <w:rPr>
        <w:rFonts w:hint="default" w:ascii="宋体" w:hAnsi="宋体" w:eastAsia="宋体" w:cs="宋体"/>
      </w:rPr>
    </w:lvl>
    <w:lvl w:ilvl="5" w:tentative="0">
      <w:start w:val="1"/>
      <w:numFmt w:val="decimal"/>
      <w:isLgl/>
      <w:suff w:val="space"/>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1D"/>
    <w:multiLevelType w:val="multilevel"/>
    <w:tmpl w:val="FFFFFF1D"/>
    <w:lvl w:ilvl="0" w:tentative="0">
      <w:start w:val="1"/>
      <w:numFmt w:val="bullet"/>
      <w:lvlText w:val=""/>
      <w:lvlJc w:val="left"/>
      <w:pPr>
        <w:tabs>
          <w:tab w:val="left" w:pos="0"/>
        </w:tabs>
        <w:ind w:left="0" w:firstLine="0"/>
      </w:pPr>
      <w:rPr>
        <w:rFonts w:hint="default" w:ascii="Wingdings" w:hAnsi="Wingdings"/>
      </w:rPr>
    </w:lvl>
    <w:lvl w:ilvl="1" w:tentative="0">
      <w:start w:val="1"/>
      <w:numFmt w:val="bullet"/>
      <w:pStyle w:val="22"/>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2Y3ZTYzN2M0MTNmOGM2NzczYjM3ZDFlNWY3NjQifQ=="/>
  </w:docVars>
  <w:rsids>
    <w:rsidRoot w:val="00D96050"/>
    <w:rsid w:val="005C5909"/>
    <w:rsid w:val="006118E4"/>
    <w:rsid w:val="00665D4F"/>
    <w:rsid w:val="00846BED"/>
    <w:rsid w:val="00B70DBF"/>
    <w:rsid w:val="00D3705A"/>
    <w:rsid w:val="00D96050"/>
    <w:rsid w:val="00E02E99"/>
    <w:rsid w:val="01073E88"/>
    <w:rsid w:val="0206646F"/>
    <w:rsid w:val="02E7731D"/>
    <w:rsid w:val="034905DC"/>
    <w:rsid w:val="035633E7"/>
    <w:rsid w:val="037F26B1"/>
    <w:rsid w:val="04B41118"/>
    <w:rsid w:val="05765EAB"/>
    <w:rsid w:val="05772CEB"/>
    <w:rsid w:val="057F5443"/>
    <w:rsid w:val="06985574"/>
    <w:rsid w:val="06C93112"/>
    <w:rsid w:val="080A5BE8"/>
    <w:rsid w:val="09B45B67"/>
    <w:rsid w:val="09C90497"/>
    <w:rsid w:val="0A2E7F1E"/>
    <w:rsid w:val="0A34051E"/>
    <w:rsid w:val="0AAD1DC1"/>
    <w:rsid w:val="0AC663A4"/>
    <w:rsid w:val="0C3D22AD"/>
    <w:rsid w:val="0CA87AAD"/>
    <w:rsid w:val="0CF53F83"/>
    <w:rsid w:val="0F516E65"/>
    <w:rsid w:val="0F677D83"/>
    <w:rsid w:val="104463FF"/>
    <w:rsid w:val="105072DE"/>
    <w:rsid w:val="10CF30E1"/>
    <w:rsid w:val="12124CBC"/>
    <w:rsid w:val="128830AA"/>
    <w:rsid w:val="12C54B7B"/>
    <w:rsid w:val="13753FD4"/>
    <w:rsid w:val="13F53078"/>
    <w:rsid w:val="143F4068"/>
    <w:rsid w:val="14781263"/>
    <w:rsid w:val="150D3DBE"/>
    <w:rsid w:val="156C652D"/>
    <w:rsid w:val="162D5F10"/>
    <w:rsid w:val="16822B3B"/>
    <w:rsid w:val="176F1C02"/>
    <w:rsid w:val="179B72B4"/>
    <w:rsid w:val="17AE0704"/>
    <w:rsid w:val="18FD627D"/>
    <w:rsid w:val="1946708C"/>
    <w:rsid w:val="19731389"/>
    <w:rsid w:val="1A9C20BA"/>
    <w:rsid w:val="1BA37980"/>
    <w:rsid w:val="1C0F4EF3"/>
    <w:rsid w:val="1C175353"/>
    <w:rsid w:val="1D203599"/>
    <w:rsid w:val="1D846B44"/>
    <w:rsid w:val="1D8F29DD"/>
    <w:rsid w:val="1DA60A9C"/>
    <w:rsid w:val="1E226DBF"/>
    <w:rsid w:val="1E834DB7"/>
    <w:rsid w:val="1ECB7BB2"/>
    <w:rsid w:val="1F0D6B0B"/>
    <w:rsid w:val="21161514"/>
    <w:rsid w:val="219C7E2B"/>
    <w:rsid w:val="22846EED"/>
    <w:rsid w:val="23250D8E"/>
    <w:rsid w:val="23AE20DF"/>
    <w:rsid w:val="247D593F"/>
    <w:rsid w:val="24863EC7"/>
    <w:rsid w:val="24990317"/>
    <w:rsid w:val="24BE29DF"/>
    <w:rsid w:val="25127F00"/>
    <w:rsid w:val="26BF433E"/>
    <w:rsid w:val="274C6DBA"/>
    <w:rsid w:val="275F799B"/>
    <w:rsid w:val="28B93FBE"/>
    <w:rsid w:val="28F445AA"/>
    <w:rsid w:val="28FE68FE"/>
    <w:rsid w:val="290301D3"/>
    <w:rsid w:val="29D670BE"/>
    <w:rsid w:val="2B4C572C"/>
    <w:rsid w:val="2B5F3405"/>
    <w:rsid w:val="2CF50FE0"/>
    <w:rsid w:val="2D8312B5"/>
    <w:rsid w:val="2E8213D6"/>
    <w:rsid w:val="2E8B6BF9"/>
    <w:rsid w:val="2EB13BD6"/>
    <w:rsid w:val="2EB8417A"/>
    <w:rsid w:val="2EF67FCD"/>
    <w:rsid w:val="2F57132F"/>
    <w:rsid w:val="2FB70D17"/>
    <w:rsid w:val="2FBB140E"/>
    <w:rsid w:val="3024737C"/>
    <w:rsid w:val="304C1009"/>
    <w:rsid w:val="317916DC"/>
    <w:rsid w:val="318E0C53"/>
    <w:rsid w:val="31AC2B68"/>
    <w:rsid w:val="31C5188E"/>
    <w:rsid w:val="32F965A4"/>
    <w:rsid w:val="33F33961"/>
    <w:rsid w:val="343D31CA"/>
    <w:rsid w:val="34D92089"/>
    <w:rsid w:val="351E6B60"/>
    <w:rsid w:val="3536054E"/>
    <w:rsid w:val="35851BB7"/>
    <w:rsid w:val="35ED140D"/>
    <w:rsid w:val="37320063"/>
    <w:rsid w:val="392A766B"/>
    <w:rsid w:val="3937009F"/>
    <w:rsid w:val="39C27990"/>
    <w:rsid w:val="39F12518"/>
    <w:rsid w:val="3AFD398E"/>
    <w:rsid w:val="3B3A2D0B"/>
    <w:rsid w:val="3BE27328"/>
    <w:rsid w:val="3CA32879"/>
    <w:rsid w:val="3EDB5211"/>
    <w:rsid w:val="3EF766CA"/>
    <w:rsid w:val="3F225C64"/>
    <w:rsid w:val="3FE87860"/>
    <w:rsid w:val="403E4EE8"/>
    <w:rsid w:val="40774428"/>
    <w:rsid w:val="407C36DB"/>
    <w:rsid w:val="424A1CA5"/>
    <w:rsid w:val="4269775F"/>
    <w:rsid w:val="42A912B5"/>
    <w:rsid w:val="42F92261"/>
    <w:rsid w:val="438F1F09"/>
    <w:rsid w:val="44D21B73"/>
    <w:rsid w:val="452D7D3F"/>
    <w:rsid w:val="455C26A8"/>
    <w:rsid w:val="46A46FDF"/>
    <w:rsid w:val="46FE56C3"/>
    <w:rsid w:val="477D4E8F"/>
    <w:rsid w:val="492F1CA1"/>
    <w:rsid w:val="4A0F67B7"/>
    <w:rsid w:val="4A727CED"/>
    <w:rsid w:val="4A736A11"/>
    <w:rsid w:val="4A927A02"/>
    <w:rsid w:val="4B2B474B"/>
    <w:rsid w:val="4BD77719"/>
    <w:rsid w:val="4C6006BB"/>
    <w:rsid w:val="4C9100D5"/>
    <w:rsid w:val="4D10155D"/>
    <w:rsid w:val="4E886A7D"/>
    <w:rsid w:val="4F9F7B0B"/>
    <w:rsid w:val="4FD85058"/>
    <w:rsid w:val="50F5658A"/>
    <w:rsid w:val="5115623B"/>
    <w:rsid w:val="529A0FE0"/>
    <w:rsid w:val="52EB4AD2"/>
    <w:rsid w:val="53DB20BD"/>
    <w:rsid w:val="55B329C3"/>
    <w:rsid w:val="55F45FFC"/>
    <w:rsid w:val="5651426B"/>
    <w:rsid w:val="57972AF2"/>
    <w:rsid w:val="57B47ED5"/>
    <w:rsid w:val="5A296A4E"/>
    <w:rsid w:val="5B474588"/>
    <w:rsid w:val="5C4D2A21"/>
    <w:rsid w:val="5D015C1F"/>
    <w:rsid w:val="5E47538A"/>
    <w:rsid w:val="5EE551ED"/>
    <w:rsid w:val="5F984775"/>
    <w:rsid w:val="5FC83C48"/>
    <w:rsid w:val="5FCD6842"/>
    <w:rsid w:val="603041B7"/>
    <w:rsid w:val="606047EE"/>
    <w:rsid w:val="60964FC2"/>
    <w:rsid w:val="60AB6749"/>
    <w:rsid w:val="6131049E"/>
    <w:rsid w:val="625050D5"/>
    <w:rsid w:val="637F40F1"/>
    <w:rsid w:val="63855EFC"/>
    <w:rsid w:val="63AF77DC"/>
    <w:rsid w:val="644C4973"/>
    <w:rsid w:val="64541AEC"/>
    <w:rsid w:val="65371CB0"/>
    <w:rsid w:val="653962A9"/>
    <w:rsid w:val="657E4DCF"/>
    <w:rsid w:val="66544392"/>
    <w:rsid w:val="66D1139F"/>
    <w:rsid w:val="66D81D9E"/>
    <w:rsid w:val="679117BC"/>
    <w:rsid w:val="67D061EB"/>
    <w:rsid w:val="68AD508E"/>
    <w:rsid w:val="69CF2512"/>
    <w:rsid w:val="69E34ED7"/>
    <w:rsid w:val="6B0C5DE8"/>
    <w:rsid w:val="6B885034"/>
    <w:rsid w:val="6C092B09"/>
    <w:rsid w:val="6C2B6455"/>
    <w:rsid w:val="6C3E25B1"/>
    <w:rsid w:val="6C870C44"/>
    <w:rsid w:val="6CBA1CC9"/>
    <w:rsid w:val="6E72240D"/>
    <w:rsid w:val="6E7B1312"/>
    <w:rsid w:val="6FA95A49"/>
    <w:rsid w:val="6FED3849"/>
    <w:rsid w:val="71271AFA"/>
    <w:rsid w:val="713E1D2C"/>
    <w:rsid w:val="719925D6"/>
    <w:rsid w:val="71C57363"/>
    <w:rsid w:val="72664F90"/>
    <w:rsid w:val="72912B2C"/>
    <w:rsid w:val="73A320D2"/>
    <w:rsid w:val="74A15F6E"/>
    <w:rsid w:val="76564A6D"/>
    <w:rsid w:val="76BD54C6"/>
    <w:rsid w:val="77036887"/>
    <w:rsid w:val="77830AD8"/>
    <w:rsid w:val="77FC11EE"/>
    <w:rsid w:val="78266726"/>
    <w:rsid w:val="78657AB0"/>
    <w:rsid w:val="7B063D79"/>
    <w:rsid w:val="7B2525D3"/>
    <w:rsid w:val="7B3D5E01"/>
    <w:rsid w:val="7BE97E2D"/>
    <w:rsid w:val="7BFC5D00"/>
    <w:rsid w:val="7C920181"/>
    <w:rsid w:val="7CD24A22"/>
    <w:rsid w:val="7E837FAE"/>
    <w:rsid w:val="7E9E2E0E"/>
    <w:rsid w:val="7EAF697F"/>
    <w:rsid w:val="7EDD1FEF"/>
    <w:rsid w:val="7F90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1"/>
    <w:pPr>
      <w:numPr>
        <w:ilvl w:val="0"/>
        <w:numId w:val="1"/>
      </w:numPr>
      <w:spacing w:line="360" w:lineRule="auto"/>
      <w:outlineLvl w:val="0"/>
    </w:pPr>
    <w:rPr>
      <w:b/>
      <w:bCs/>
      <w:sz w:val="28"/>
    </w:rPr>
  </w:style>
  <w:style w:type="paragraph" w:styleId="6">
    <w:name w:val="heading 4"/>
    <w:basedOn w:val="1"/>
    <w:next w:val="7"/>
    <w:unhideWhenUsed/>
    <w:qFormat/>
    <w:uiPriority w:val="9"/>
    <w:pPr>
      <w:keepNext/>
      <w:keepLines/>
      <w:widowControl/>
      <w:spacing w:before="200" w:line="276" w:lineRule="auto"/>
      <w:jc w:val="left"/>
      <w:outlineLvl w:val="3"/>
    </w:pPr>
    <w:rPr>
      <w:rFonts w:ascii="Cambria" w:hAnsi="Cambria" w:eastAsia="宋体" w:cs="Times New Roman"/>
      <w:b/>
      <w:bCs/>
      <w:i/>
      <w:iCs/>
      <w:kern w:val="0"/>
      <w:sz w:val="22"/>
      <w:szCs w:val="22"/>
      <w:lang w:eastAsia="en-US" w:bidi="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360"/>
        <w:tab w:val="left" w:pos="1200"/>
      </w:tabs>
      <w:ind w:left="1554" w:hanging="420"/>
    </w:pPr>
    <w:rPr>
      <w:b w:val="0"/>
    </w:rPr>
  </w:style>
  <w:style w:type="paragraph" w:customStyle="1" w:styleId="3">
    <w:name w:val="引言一级条标题"/>
    <w:basedOn w:val="1"/>
    <w:next w:val="4"/>
    <w:qFormat/>
    <w:uiPriority w:val="0"/>
    <w:pPr>
      <w:widowControl/>
      <w:tabs>
        <w:tab w:val="left" w:pos="1200"/>
      </w:tabs>
      <w:ind w:left="1200" w:hanging="720"/>
    </w:pPr>
    <w:rPr>
      <w:rFonts w:eastAsia="黑体"/>
      <w:b/>
    </w:rPr>
  </w:style>
  <w:style w:type="paragraph" w:customStyle="1" w:styleId="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styleId="8">
    <w:name w:val="Normal Indent"/>
    <w:basedOn w:val="1"/>
    <w:semiHidden/>
    <w:qFormat/>
    <w:uiPriority w:val="0"/>
    <w:pPr>
      <w:adjustRightInd w:val="0"/>
      <w:snapToGrid w:val="0"/>
      <w:ind w:firstLine="420"/>
    </w:pPr>
    <w:rPr>
      <w:rFonts w:ascii="宋体" w:hAnsi="宋体"/>
      <w:kern w:val="24"/>
    </w:rPr>
  </w:style>
  <w:style w:type="paragraph" w:styleId="9">
    <w:name w:val="Body Text"/>
    <w:basedOn w:val="1"/>
    <w:next w:val="10"/>
    <w:qFormat/>
    <w:uiPriority w:val="0"/>
    <w:pPr>
      <w:adjustRightInd w:val="0"/>
      <w:snapToGrid w:val="0"/>
    </w:pPr>
    <w:rPr>
      <w:rFonts w:ascii="宋体" w:hAnsi="宋体"/>
      <w:kern w:val="0"/>
      <w:sz w:val="28"/>
    </w:rPr>
  </w:style>
  <w:style w:type="paragraph" w:styleId="10">
    <w:name w:val="List"/>
    <w:basedOn w:val="1"/>
    <w:qFormat/>
    <w:uiPriority w:val="0"/>
    <w:pPr>
      <w:ind w:left="420" w:hanging="420"/>
    </w:pPr>
    <w:rPr>
      <w:szCs w:val="20"/>
    </w:rPr>
  </w:style>
  <w:style w:type="paragraph" w:styleId="11">
    <w:name w:val="Body Text Indent"/>
    <w:basedOn w:val="1"/>
    <w:next w:val="1"/>
    <w:unhideWhenUsed/>
    <w:qFormat/>
    <w:uiPriority w:val="99"/>
    <w:pPr>
      <w:spacing w:after="120"/>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szCs w:val="24"/>
    </w:rPr>
  </w:style>
  <w:style w:type="paragraph" w:styleId="13">
    <w:name w:val="HTML Preformatted"/>
    <w:basedOn w:val="1"/>
    <w:qFormat/>
    <w:uiPriority w:val="0"/>
    <w:rPr>
      <w:rFonts w:ascii="Courier New" w:hAnsi="Courier New"/>
      <w:sz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9"/>
    <w:next w:val="1"/>
    <w:qFormat/>
    <w:uiPriority w:val="0"/>
    <w:pPr>
      <w:ind w:firstLine="100" w:firstLineChars="100"/>
    </w:pPr>
    <w:rPr>
      <w:sz w:val="28"/>
      <w:szCs w:val="28"/>
    </w:rPr>
  </w:style>
  <w:style w:type="paragraph" w:styleId="16">
    <w:name w:val="Body Text First Indent 2"/>
    <w:basedOn w:val="11"/>
    <w:next w:val="15"/>
    <w:unhideWhenUsed/>
    <w:qFormat/>
    <w:uiPriority w:val="99"/>
    <w:pPr>
      <w:ind w:left="200" w:firstLine="200"/>
    </w:pPr>
    <w:rPr>
      <w:szCs w:val="24"/>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标书2-二级标题"/>
    <w:basedOn w:val="6"/>
    <w:next w:val="23"/>
    <w:qFormat/>
    <w:uiPriority w:val="0"/>
    <w:pPr>
      <w:numPr>
        <w:ilvl w:val="1"/>
        <w:numId w:val="2"/>
      </w:numPr>
      <w:tabs>
        <w:tab w:val="left" w:pos="360"/>
        <w:tab w:val="left" w:pos="630"/>
        <w:tab w:val="left" w:pos="848"/>
      </w:tabs>
      <w:spacing w:line="360" w:lineRule="auto"/>
      <w:outlineLvl w:val="1"/>
    </w:pPr>
    <w:rPr>
      <w:rFonts w:ascii="Times New Roman" w:hAnsi="Times New Roman"/>
      <w:color w:val="000000"/>
    </w:rPr>
  </w:style>
  <w:style w:type="paragraph" w:customStyle="1" w:styleId="23">
    <w:name w:val="标书6-正文"/>
    <w:basedOn w:val="7"/>
    <w:qFormat/>
    <w:uiPriority w:val="0"/>
    <w:pPr>
      <w:ind w:firstLine="482"/>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1384</Words>
  <Characters>1612</Characters>
  <Lines>12</Lines>
  <Paragraphs>3</Paragraphs>
  <TotalTime>13</TotalTime>
  <ScaleCrop>false</ScaleCrop>
  <LinksUpToDate>false</LinksUpToDate>
  <CharactersWithSpaces>1745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2023-02-26T00:10:00Z</dcterms:created>
  <dc:creator>Administrator</dc:creator>
  <cp:lastModifiedBy>吉祥如意</cp:lastModifiedBy>
  <cp:lastPrinted>2024-12-21T06:02:00Z</cp:lastPrinted>
  <dcterms:modified xsi:type="dcterms:W3CDTF">2024-12-30T08:46:58Z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6272A1A2B2914E989271547EA050ACEE_13</vt:lpwstr>
  </property>
</Properties>
</file>