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kern w:val="2"/>
        </w:rPr>
      </w:pPr>
      <w:r>
        <w:rPr>
          <w:rFonts w:hint="eastAsia"/>
          <w:kern w:val="2"/>
          <w:lang w:val="en-US"/>
        </w:rPr>
        <w:t>GFDZ</w:t>
      </w:r>
      <w:r>
        <w:rPr>
          <w:rFonts w:hint="eastAsia"/>
          <w:kern w:val="2"/>
        </w:rPr>
        <w:t>JBM</w:t>
      </w:r>
      <w:r>
        <w:rPr>
          <w:rFonts w:hint="eastAsia"/>
          <w:kern w:val="2"/>
          <w:lang w:val="en-US"/>
        </w:rPr>
        <w:t>16</w:t>
      </w:r>
      <w:r>
        <w:rPr>
          <w:rFonts w:hint="eastAsia"/>
          <w:kern w:val="2"/>
        </w:rPr>
        <w:t>：监理周报</w:t>
      </w:r>
    </w:p>
    <w:p>
      <w:pPr>
        <w:topLinePunct/>
        <w:ind w:firstLine="425"/>
        <w:rPr>
          <w:szCs w:val="21"/>
        </w:rPr>
      </w:pPr>
    </w:p>
    <w:p>
      <w:pPr>
        <w:tabs>
          <w:tab w:val="left" w:pos="6237"/>
        </w:tabs>
        <w:topLinePunct/>
        <w:ind w:firstLine="425"/>
        <w:rPr>
          <w:sz w:val="18"/>
          <w:szCs w:val="18"/>
        </w:rPr>
      </w:pPr>
      <w:r>
        <w:rPr>
          <w:rFonts w:hint="eastAsia"/>
          <w:sz w:val="18"/>
          <w:szCs w:val="18"/>
        </w:rPr>
        <w:tab/>
      </w:r>
      <w:r>
        <w:rPr>
          <w:rFonts w:hint="eastAsia"/>
          <w:sz w:val="18"/>
          <w:szCs w:val="18"/>
        </w:rPr>
        <w:t>编号：</w:t>
      </w:r>
      <w:r>
        <w:rPr>
          <w:sz w:val="18"/>
          <w:szCs w:val="18"/>
        </w:rPr>
        <w:t>NBHS-Z</w:t>
      </w:r>
      <w:r>
        <w:rPr>
          <w:rFonts w:hint="eastAsia"/>
          <w:sz w:val="18"/>
          <w:szCs w:val="18"/>
        </w:rPr>
        <w:t>B-201</w:t>
      </w:r>
      <w:r>
        <w:rPr>
          <w:sz w:val="18"/>
          <w:szCs w:val="18"/>
        </w:rPr>
        <w:t>7</w:t>
      </w:r>
      <w:r>
        <w:rPr>
          <w:rFonts w:hint="eastAsia"/>
          <w:sz w:val="18"/>
          <w:szCs w:val="18"/>
        </w:rPr>
        <w:t>0</w:t>
      </w:r>
      <w:r>
        <w:rPr>
          <w:sz w:val="18"/>
          <w:szCs w:val="18"/>
        </w:rPr>
        <w:t>3-1</w:t>
      </w:r>
    </w:p>
    <w:p>
      <w:pPr>
        <w:topLinePunct/>
        <w:ind w:firstLine="425"/>
        <w:rPr>
          <w:szCs w:val="21"/>
        </w:rPr>
      </w:pPr>
    </w:p>
    <w:p>
      <w:pPr>
        <w:topLinePunct/>
        <w:ind w:firstLine="425"/>
        <w:rPr>
          <w:szCs w:val="21"/>
        </w:rPr>
      </w:pPr>
      <w:r>
        <w:rPr>
          <w:szCs w:val="21"/>
        </w:rPr>
        <w:t xml:space="preserve"> </w:t>
      </w:r>
    </w:p>
    <w:p>
      <w:pPr>
        <w:pStyle w:val="5"/>
      </w:pPr>
      <w:bookmarkStart w:id="0" w:name="_Toc388020196"/>
      <w:r>
        <w:rPr>
          <w:rFonts w:hint="eastAsia"/>
        </w:rPr>
        <w:t>监  理  周  报</w:t>
      </w:r>
      <w:bookmarkEnd w:id="0"/>
    </w:p>
    <w:p>
      <w:pPr>
        <w:topLinePunct/>
        <w:ind w:firstLine="425"/>
        <w:rPr>
          <w:szCs w:val="21"/>
        </w:rPr>
      </w:pPr>
      <w:r>
        <w:rPr>
          <w:szCs w:val="21"/>
        </w:rPr>
        <w:t xml:space="preserve"> </w:t>
      </w:r>
    </w:p>
    <w:p>
      <w:pPr>
        <w:topLinePunct/>
        <w:ind w:firstLine="425"/>
        <w:jc w:val="center"/>
        <w:rPr>
          <w:szCs w:val="21"/>
        </w:rPr>
      </w:pPr>
      <w:r>
        <w:rPr>
          <w:rFonts w:hint="eastAsia"/>
          <w:szCs w:val="21"/>
        </w:rPr>
        <w:t>工程名称：</w:t>
      </w:r>
      <w:r>
        <w:rPr>
          <w:rFonts w:ascii="宋体" w:hAnsi="宋体" w:cs="宋体"/>
          <w:kern w:val="0"/>
          <w:szCs w:val="21"/>
        </w:rPr>
        <w:t>宁波杭州湾新区跨境电商仓储（一期）光伏电站建设项目</w:t>
      </w:r>
    </w:p>
    <w:p>
      <w:pPr>
        <w:topLinePunct/>
        <w:ind w:firstLine="425"/>
        <w:rPr>
          <w:szCs w:val="21"/>
        </w:rPr>
      </w:pPr>
      <w:r>
        <w:rPr>
          <w:rFonts w:hint="eastAsia"/>
          <w:szCs w:val="21"/>
        </w:rPr>
        <w:t xml:space="preserve"> </w:t>
      </w:r>
    </w:p>
    <w:p>
      <w:pPr>
        <w:topLinePunct/>
        <w:ind w:firstLine="425"/>
        <w:rPr>
          <w:szCs w:val="21"/>
        </w:rPr>
      </w:pPr>
    </w:p>
    <w:p>
      <w:pPr>
        <w:topLinePunct/>
        <w:ind w:firstLine="425"/>
        <w:rPr>
          <w:szCs w:val="21"/>
        </w:rPr>
      </w:pPr>
      <w:r>
        <w:rPr>
          <w:rFonts w:hint="eastAsia"/>
          <w:szCs w:val="21"/>
        </w:rPr>
        <w:t xml:space="preserve">  </w:t>
      </w:r>
    </w:p>
    <w:p>
      <w:pPr>
        <w:topLinePunct/>
        <w:ind w:firstLine="425"/>
        <w:jc w:val="center"/>
        <w:rPr>
          <w:szCs w:val="21"/>
        </w:rPr>
      </w:pPr>
      <w:r>
        <w:rPr>
          <w:rFonts w:hint="eastAsia"/>
          <w:szCs w:val="21"/>
        </w:rPr>
        <w:t>201</w:t>
      </w:r>
      <w:r>
        <w:rPr>
          <w:szCs w:val="21"/>
        </w:rPr>
        <w:t>7</w:t>
      </w:r>
      <w:r>
        <w:rPr>
          <w:rFonts w:hint="eastAsia"/>
          <w:szCs w:val="21"/>
        </w:rPr>
        <w:t>年0</w:t>
      </w:r>
      <w:r>
        <w:rPr>
          <w:szCs w:val="21"/>
        </w:rPr>
        <w:t>3</w:t>
      </w:r>
      <w:r>
        <w:rPr>
          <w:rFonts w:hint="eastAsia"/>
          <w:szCs w:val="21"/>
        </w:rPr>
        <w:t>月   第一期</w:t>
      </w:r>
    </w:p>
    <w:p>
      <w:pPr>
        <w:topLinePunct/>
        <w:ind w:firstLine="425"/>
        <w:rPr>
          <w:szCs w:val="21"/>
        </w:rPr>
      </w:pPr>
      <w:r>
        <w:rPr>
          <w:rFonts w:hint="eastAsia"/>
          <w:szCs w:val="21"/>
        </w:rPr>
        <w:t xml:space="preserve"> </w:t>
      </w: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jc w:val="center"/>
        <w:rPr>
          <w:szCs w:val="21"/>
          <w:u w:val="single"/>
        </w:rPr>
      </w:pPr>
      <w:r>
        <w:rPr>
          <w:rFonts w:hint="eastAsia"/>
          <w:szCs w:val="21"/>
        </w:rPr>
        <w:t>总监理工程师：_</w:t>
      </w:r>
      <w:r>
        <w:rPr>
          <w:rFonts w:hint="eastAsia"/>
          <w:szCs w:val="21"/>
          <w:u w:val="single"/>
        </w:rPr>
        <w:t>戚  平_</w:t>
      </w:r>
    </w:p>
    <w:p>
      <w:pPr>
        <w:topLinePunct/>
        <w:ind w:firstLine="425"/>
        <w:rPr>
          <w:szCs w:val="21"/>
          <w:u w:val="single"/>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rPr>
          <w:szCs w:val="21"/>
        </w:rPr>
      </w:pPr>
    </w:p>
    <w:p>
      <w:pPr>
        <w:topLinePunct/>
        <w:ind w:firstLine="425"/>
        <w:jc w:val="center"/>
        <w:rPr>
          <w:szCs w:val="21"/>
          <w:u w:val="single"/>
        </w:rPr>
      </w:pPr>
      <w:r>
        <w:rPr>
          <w:rFonts w:hint="eastAsia"/>
          <w:szCs w:val="21"/>
        </w:rPr>
        <w:t>监理项目部（章）</w:t>
      </w:r>
    </w:p>
    <w:p>
      <w:pPr>
        <w:topLinePunct/>
        <w:ind w:firstLine="425"/>
        <w:jc w:val="center"/>
        <w:rPr>
          <w:szCs w:val="21"/>
        </w:rPr>
      </w:pPr>
      <w:r>
        <w:rPr>
          <w:rFonts w:hint="eastAsia"/>
          <w:szCs w:val="21"/>
        </w:rPr>
        <w:t>报告日期：</w:t>
      </w:r>
      <w:r>
        <w:rPr>
          <w:rFonts w:hint="eastAsia"/>
          <w:szCs w:val="21"/>
          <w:u w:val="single"/>
        </w:rPr>
        <w:t>201</w:t>
      </w:r>
      <w:r>
        <w:rPr>
          <w:szCs w:val="21"/>
          <w:u w:val="single"/>
        </w:rPr>
        <w:t>7</w:t>
      </w:r>
      <w:r>
        <w:rPr>
          <w:rFonts w:hint="eastAsia"/>
          <w:szCs w:val="21"/>
        </w:rPr>
        <w:t>年</w:t>
      </w:r>
      <w:r>
        <w:rPr>
          <w:rFonts w:hint="eastAsia"/>
          <w:szCs w:val="21"/>
          <w:u w:val="single"/>
        </w:rPr>
        <w:t>0</w:t>
      </w:r>
      <w:r>
        <w:rPr>
          <w:szCs w:val="21"/>
          <w:u w:val="single"/>
        </w:rPr>
        <w:t>3</w:t>
      </w:r>
      <w:r>
        <w:rPr>
          <w:rFonts w:hint="eastAsia"/>
          <w:szCs w:val="21"/>
        </w:rPr>
        <w:t>月</w:t>
      </w:r>
      <w:r>
        <w:rPr>
          <w:rFonts w:hint="eastAsia"/>
          <w:szCs w:val="21"/>
          <w:u w:val="single"/>
        </w:rPr>
        <w:t>08</w:t>
      </w:r>
      <w:r>
        <w:rPr>
          <w:rFonts w:hint="eastAsia"/>
          <w:szCs w:val="21"/>
        </w:rPr>
        <w:t>日</w:t>
      </w:r>
    </w:p>
    <w:p>
      <w:pPr>
        <w:topLinePunct/>
        <w:ind w:firstLine="425"/>
        <w:rPr>
          <w:szCs w:val="21"/>
        </w:rPr>
      </w:pPr>
    </w:p>
    <w:p>
      <w:pPr>
        <w:topLinePunct/>
        <w:spacing w:line="960" w:lineRule="auto"/>
        <w:jc w:val="center"/>
        <w:rPr>
          <w:rFonts w:ascii="黑体" w:hAnsi="宋体" w:eastAsia="黑体"/>
          <w:kern w:val="21"/>
          <w:sz w:val="28"/>
          <w:szCs w:val="28"/>
        </w:rPr>
      </w:pPr>
      <w:r>
        <w:rPr>
          <w:szCs w:val="21"/>
        </w:rPr>
        <w:br w:type="page"/>
      </w:r>
      <w:r>
        <w:rPr>
          <w:rFonts w:hint="eastAsia" w:ascii="黑体" w:hAnsi="宋体" w:eastAsia="黑体"/>
          <w:kern w:val="21"/>
          <w:sz w:val="28"/>
          <w:szCs w:val="28"/>
        </w:rPr>
        <w:t>监  理  周  报</w:t>
      </w:r>
    </w:p>
    <w:p>
      <w:pPr>
        <w:spacing w:line="360" w:lineRule="auto"/>
        <w:rPr>
          <w:rFonts w:ascii="黑体" w:hAnsi="黑体" w:eastAsia="黑体"/>
        </w:rPr>
      </w:pPr>
      <w:r>
        <w:rPr>
          <w:rFonts w:hint="eastAsia"/>
          <w:b/>
        </w:rPr>
        <w:t>一</w:t>
      </w:r>
      <w:r>
        <w:rPr>
          <w:rFonts w:hint="eastAsia" w:ascii="黑体" w:hAnsi="黑体" w:eastAsia="黑体"/>
          <w:b/>
        </w:rPr>
        <w:t xml:space="preserve">、 </w:t>
      </w:r>
      <w:r>
        <w:rPr>
          <w:rFonts w:hint="eastAsia" w:ascii="黑体" w:hAnsi="黑体" w:eastAsia="黑体"/>
        </w:rPr>
        <w:t>本周工程实施情况</w:t>
      </w:r>
    </w:p>
    <w:p>
      <w:pPr>
        <w:spacing w:line="360" w:lineRule="auto"/>
        <w:ind w:firstLine="420" w:firstLineChars="200"/>
        <w:rPr>
          <w:rFonts w:ascii="宋体" w:hAnsi="宋体"/>
          <w:smallCaps/>
          <w:sz w:val="24"/>
        </w:rPr>
      </w:pPr>
      <w:r>
        <w:rPr>
          <w:rFonts w:hint="eastAsia" w:ascii="宋体" w:hAnsi="宋体" w:cs="宋体"/>
        </w:rPr>
        <w:t>项目现场位于宁波市</w:t>
      </w:r>
      <w:r>
        <w:rPr>
          <w:rFonts w:hint="eastAsia" w:ascii="宋体" w:hAnsi="宋体"/>
          <w:smallCaps/>
        </w:rPr>
        <w:t>杭州湾新区出口加工区内</w:t>
      </w:r>
      <w:r>
        <w:rPr>
          <w:rFonts w:hint="eastAsia" w:ascii="宋体" w:hAnsi="宋体" w:cs="宋体"/>
        </w:rPr>
        <w:t>的一座混凝土楼房屋顶和三座钢结构彩钢瓦屋顶上。总包管理人员</w:t>
      </w:r>
      <w:r>
        <w:rPr>
          <w:rFonts w:ascii="宋体" w:hAnsi="宋体" w:cs="宋体"/>
        </w:rPr>
        <w:t>3</w:t>
      </w:r>
      <w:r>
        <w:rPr>
          <w:rFonts w:hint="eastAsia" w:ascii="宋体" w:hAnsi="宋体" w:cs="宋体"/>
        </w:rPr>
        <w:t>人和施工人员</w:t>
      </w:r>
      <w:r>
        <w:rPr>
          <w:rFonts w:ascii="宋体" w:hAnsi="宋体" w:cs="宋体"/>
        </w:rPr>
        <w:t>1</w:t>
      </w:r>
      <w:r>
        <w:rPr>
          <w:rFonts w:hint="eastAsia" w:ascii="宋体" w:hAnsi="宋体" w:cs="宋体"/>
        </w:rPr>
        <w:t>0人共</w:t>
      </w:r>
      <w:r>
        <w:rPr>
          <w:rFonts w:ascii="宋体" w:hAnsi="宋体" w:cs="宋体"/>
        </w:rPr>
        <w:t>13</w:t>
      </w:r>
      <w:r>
        <w:rPr>
          <w:rFonts w:hint="eastAsia" w:ascii="宋体" w:hAnsi="宋体" w:cs="宋体"/>
        </w:rPr>
        <w:t>人；施工机械有两台卸货叉车和两台材料吊运用吊车；现场作业面为两个屋顶进行支架或导轨安装。</w:t>
      </w:r>
    </w:p>
    <w:p>
      <w:pPr>
        <w:spacing w:line="360" w:lineRule="auto"/>
        <w:ind w:firstLine="420" w:firstLineChars="200"/>
        <w:rPr>
          <w:rFonts w:ascii="宋体" w:hAnsi="宋体" w:cs="宋体"/>
        </w:rPr>
      </w:pPr>
      <w:r>
        <w:rPr>
          <w:rFonts w:hint="eastAsia" w:ascii="宋体" w:hAnsi="宋体" w:cs="宋体"/>
        </w:rPr>
        <w:t>1、施工进度：</w:t>
      </w:r>
    </w:p>
    <w:p>
      <w:pPr>
        <w:spacing w:line="360" w:lineRule="auto"/>
        <w:rPr>
          <w:rFonts w:ascii="宋体" w:hAnsi="宋体" w:cs="宋体"/>
          <w:szCs w:val="21"/>
        </w:rPr>
      </w:pPr>
      <w:r>
        <w:rPr>
          <w:rFonts w:hint="eastAsia" w:ascii="宋体" w:hAnsi="宋体" w:cs="宋体"/>
          <w:szCs w:val="21"/>
        </w:rPr>
        <w:t xml:space="preserve">    （1）混凝土屋顶砼配重块施工完成25%支模，砼配重块定点放线全部结束；</w:t>
      </w:r>
    </w:p>
    <w:p>
      <w:pPr>
        <w:spacing w:line="360" w:lineRule="auto"/>
        <w:ind w:firstLine="420"/>
        <w:rPr>
          <w:rFonts w:ascii="宋体" w:hAnsi="宋体" w:cs="宋体"/>
          <w:szCs w:val="21"/>
        </w:rPr>
      </w:pPr>
      <w:r>
        <w:rPr>
          <w:rFonts w:hint="eastAsia" w:ascii="宋体" w:hAnsi="宋体" w:cs="宋体"/>
          <w:szCs w:val="21"/>
        </w:rPr>
        <w:t>（2）彩钢瓦屋顶定位放线全部结束；</w:t>
      </w:r>
    </w:p>
    <w:p>
      <w:pPr>
        <w:spacing w:line="360" w:lineRule="auto"/>
        <w:ind w:firstLine="420"/>
        <w:rPr>
          <w:rFonts w:hint="eastAsia" w:ascii="宋体" w:hAnsi="宋体" w:cs="宋体"/>
          <w:szCs w:val="21"/>
        </w:rPr>
      </w:pPr>
      <w:r>
        <w:rPr>
          <w:rFonts w:hint="eastAsia" w:ascii="宋体" w:hAnsi="宋体" w:cs="宋体"/>
          <w:szCs w:val="21"/>
        </w:rPr>
        <w:t>（3）电缆沟、井和箱逆变基础开挖完成</w:t>
      </w:r>
      <w:r>
        <w:rPr>
          <w:rFonts w:ascii="宋体" w:hAnsi="宋体" w:cs="宋体"/>
          <w:szCs w:val="21"/>
        </w:rPr>
        <w:t>7</w:t>
      </w:r>
      <w:r>
        <w:rPr>
          <w:rFonts w:hint="eastAsia" w:ascii="宋体" w:hAnsi="宋体" w:cs="宋体"/>
          <w:szCs w:val="21"/>
        </w:rPr>
        <w:t>0%工程量，配电房改造完成</w:t>
      </w:r>
      <w:r>
        <w:rPr>
          <w:rFonts w:ascii="宋体" w:hAnsi="宋体" w:cs="宋体"/>
          <w:szCs w:val="21"/>
        </w:rPr>
        <w:t>7</w:t>
      </w:r>
      <w:r>
        <w:rPr>
          <w:rFonts w:hint="eastAsia" w:ascii="宋体" w:hAnsi="宋体" w:cs="宋体"/>
          <w:szCs w:val="21"/>
        </w:rPr>
        <w:t xml:space="preserve">0%。 </w:t>
      </w:r>
    </w:p>
    <w:p>
      <w:pPr>
        <w:spacing w:line="360" w:lineRule="auto"/>
        <w:rPr>
          <w:rFonts w:ascii="宋体" w:hAnsi="宋体" w:cs="宋体"/>
          <w:szCs w:val="21"/>
        </w:rPr>
      </w:pPr>
      <w:r>
        <w:rPr>
          <w:rFonts w:hint="eastAsia" w:ascii="宋体" w:hAnsi="宋体" w:cs="宋体"/>
          <w:szCs w:val="21"/>
        </w:rPr>
        <w:t xml:space="preserve">    2、设计图纸情况</w:t>
      </w:r>
    </w:p>
    <w:p>
      <w:pPr>
        <w:spacing w:line="360" w:lineRule="auto"/>
        <w:ind w:firstLine="480"/>
        <w:rPr>
          <w:rFonts w:ascii="宋体" w:hAnsi="宋体" w:cs="宋体"/>
          <w:szCs w:val="21"/>
        </w:rPr>
      </w:pPr>
      <w:r>
        <w:rPr>
          <w:rFonts w:hint="eastAsia" w:ascii="宋体" w:hAnsi="宋体" w:cs="宋体"/>
          <w:szCs w:val="21"/>
        </w:rPr>
        <w:t>设计单位提供了现场支架导轨和组件的安装平面图，场平施工图，其他电气图纸仍在设计中，总包方已在催促设计单位尽快完成设计，预计在2017年3月10日能给出施工蓝图。</w:t>
      </w:r>
    </w:p>
    <w:p>
      <w:pPr>
        <w:spacing w:line="360" w:lineRule="auto"/>
        <w:ind w:firstLine="480"/>
        <w:rPr>
          <w:rFonts w:ascii="宋体" w:hAnsi="宋体" w:cs="宋体"/>
          <w:szCs w:val="21"/>
        </w:rPr>
      </w:pPr>
      <w:r>
        <w:rPr>
          <w:rFonts w:hint="eastAsia" w:ascii="宋体" w:hAnsi="宋体" w:cs="宋体"/>
          <w:szCs w:val="21"/>
        </w:rPr>
        <w:t>3、工程资料情况</w:t>
      </w:r>
    </w:p>
    <w:p>
      <w:pPr>
        <w:spacing w:line="360" w:lineRule="auto"/>
        <w:ind w:firstLine="480"/>
        <w:rPr>
          <w:rFonts w:ascii="宋体" w:hAnsi="宋体" w:cs="宋体"/>
          <w:szCs w:val="21"/>
        </w:rPr>
      </w:pPr>
      <w:r>
        <w:rPr>
          <w:rFonts w:hint="eastAsia" w:ascii="宋体" w:hAnsi="宋体" w:cs="宋体"/>
          <w:szCs w:val="21"/>
        </w:rPr>
        <w:t>总包单位（中机国能）2</w:t>
      </w:r>
      <w:r>
        <w:rPr>
          <w:rFonts w:ascii="宋体" w:hAnsi="宋体" w:cs="宋体"/>
          <w:szCs w:val="21"/>
        </w:rPr>
        <w:t>017</w:t>
      </w:r>
      <w:r>
        <w:rPr>
          <w:rFonts w:hint="eastAsia" w:ascii="宋体" w:hAnsi="宋体" w:cs="宋体"/>
          <w:szCs w:val="21"/>
        </w:rPr>
        <w:t>年3月6日提供开工前的报审资料（电子档），我方按业主要求总包单位（中机国能）做了明确，要求尽快完善前期报审资料的纸质档（要求完成内部签名和盖章）。</w:t>
      </w:r>
    </w:p>
    <w:p>
      <w:pPr>
        <w:spacing w:line="360" w:lineRule="auto"/>
        <w:ind w:firstLine="480"/>
        <w:rPr>
          <w:rFonts w:ascii="宋体" w:hAnsi="宋体" w:cs="宋体"/>
          <w:szCs w:val="21"/>
        </w:rPr>
      </w:pPr>
      <w:r>
        <w:rPr>
          <w:rFonts w:hint="eastAsia" w:ascii="宋体" w:hAnsi="宋体" w:cs="宋体"/>
          <w:szCs w:val="21"/>
        </w:rPr>
        <w:t>4、质量、安全情况</w:t>
      </w:r>
    </w:p>
    <w:p>
      <w:pPr>
        <w:spacing w:line="360" w:lineRule="auto"/>
        <w:ind w:firstLine="480"/>
        <w:rPr>
          <w:rFonts w:ascii="宋体" w:hAnsi="宋体" w:cs="宋体"/>
          <w:szCs w:val="21"/>
        </w:rPr>
      </w:pPr>
      <w:r>
        <w:rPr>
          <w:rFonts w:hint="eastAsia" w:ascii="宋体" w:hAnsi="宋体" w:cs="宋体"/>
          <w:szCs w:val="21"/>
        </w:rPr>
        <w:t>（1）施工人员安全意识有所增强，佩戴安全帽施工，直爬梯的防护围栏已完成焊接加固。彩钢瓦屋顶的防护围栏未进行加装。</w:t>
      </w:r>
    </w:p>
    <w:p>
      <w:pPr>
        <w:spacing w:line="360" w:lineRule="auto"/>
        <w:ind w:firstLine="480"/>
        <w:rPr>
          <w:rFonts w:ascii="宋体" w:hAnsi="宋体" w:cs="宋体"/>
          <w:szCs w:val="21"/>
        </w:rPr>
      </w:pPr>
      <w:r>
        <w:rPr>
          <w:rFonts w:hint="eastAsia" w:ascii="宋体" w:hAnsi="宋体" w:cs="宋体"/>
          <w:szCs w:val="21"/>
        </w:rPr>
        <w:t>（2）在电缆沟、井开挖前和过程中没有加强与原土建施工单位沟通，导致挖到三棵树木和八根下水管道。</w:t>
      </w:r>
    </w:p>
    <w:p>
      <w:pPr>
        <w:spacing w:line="360" w:lineRule="auto"/>
        <w:ind w:firstLine="480"/>
        <w:rPr>
          <w:rFonts w:ascii="宋体" w:hAnsi="宋体" w:cs="宋体"/>
          <w:szCs w:val="21"/>
        </w:rPr>
      </w:pPr>
      <w:r>
        <w:rPr>
          <w:rFonts w:hint="eastAsia" w:ascii="宋体" w:hAnsi="宋体" w:cs="宋体"/>
          <w:szCs w:val="21"/>
        </w:rPr>
        <w:t>（3）总包单位承诺进行树木移栽和修复下水管道。</w:t>
      </w:r>
    </w:p>
    <w:p>
      <w:pPr>
        <w:spacing w:line="360" w:lineRule="auto"/>
        <w:ind w:firstLine="480"/>
        <w:rPr>
          <w:rFonts w:ascii="宋体" w:hAnsi="宋体" w:cs="宋体"/>
          <w:szCs w:val="21"/>
        </w:rPr>
      </w:pPr>
      <w:r>
        <w:rPr>
          <w:rFonts w:hint="eastAsia" w:ascii="宋体" w:hAnsi="宋体" w:cs="宋体"/>
          <w:szCs w:val="21"/>
        </w:rPr>
        <w:t>5需协调事宜</w:t>
      </w:r>
    </w:p>
    <w:p>
      <w:pPr>
        <w:pStyle w:val="6"/>
        <w:numPr>
          <w:ilvl w:val="0"/>
          <w:numId w:val="1"/>
        </w:numPr>
        <w:spacing w:line="360" w:lineRule="auto"/>
        <w:ind w:firstLineChars="0"/>
        <w:rPr>
          <w:rFonts w:ascii="宋体" w:hAnsi="宋体" w:cs="宋体"/>
          <w:szCs w:val="21"/>
        </w:rPr>
      </w:pPr>
      <w:r>
        <w:rPr>
          <w:rFonts w:hint="eastAsia" w:ascii="宋体" w:hAnsi="宋体" w:cs="宋体"/>
          <w:szCs w:val="21"/>
        </w:rPr>
        <w:t>施工单位和监理单位的首笔预付款支付；</w:t>
      </w:r>
    </w:p>
    <w:p>
      <w:pPr>
        <w:pStyle w:val="6"/>
        <w:numPr>
          <w:ilvl w:val="0"/>
          <w:numId w:val="1"/>
        </w:numPr>
        <w:spacing w:line="360" w:lineRule="auto"/>
        <w:ind w:firstLineChars="0"/>
        <w:rPr>
          <w:rFonts w:ascii="宋体" w:hAnsi="宋体" w:cs="宋体"/>
          <w:szCs w:val="21"/>
        </w:rPr>
      </w:pPr>
      <w:r>
        <w:rPr>
          <w:rFonts w:hint="eastAsia" w:ascii="宋体" w:hAnsi="宋体" w:cs="宋体"/>
          <w:szCs w:val="21"/>
        </w:rPr>
        <w:t>光伏组件检测事宜；</w:t>
      </w:r>
    </w:p>
    <w:p>
      <w:pPr>
        <w:pStyle w:val="6"/>
        <w:numPr>
          <w:ilvl w:val="0"/>
          <w:numId w:val="1"/>
        </w:numPr>
        <w:spacing w:line="360" w:lineRule="auto"/>
        <w:ind w:firstLineChars="0"/>
        <w:rPr>
          <w:rFonts w:hint="eastAsia" w:ascii="宋体" w:hAnsi="宋体" w:cs="宋体"/>
          <w:szCs w:val="21"/>
        </w:rPr>
      </w:pPr>
      <w:r>
        <w:rPr>
          <w:rFonts w:hint="eastAsia" w:ascii="宋体" w:hAnsi="宋体" w:cs="宋体"/>
          <w:szCs w:val="21"/>
        </w:rPr>
        <w:t>资料整理的要求。</w:t>
      </w:r>
    </w:p>
    <w:p>
      <w:pPr>
        <w:tabs>
          <w:tab w:val="right" w:pos="7541"/>
        </w:tabs>
        <w:topLinePunct/>
        <w:adjustRightInd w:val="0"/>
        <w:spacing w:line="360" w:lineRule="auto"/>
        <w:rPr>
          <w:rFonts w:ascii="黑体" w:hAnsi="黑体" w:eastAsia="黑体" w:cs="黑体"/>
          <w:szCs w:val="21"/>
        </w:rPr>
      </w:pPr>
      <w:r>
        <w:rPr>
          <w:rFonts w:hint="eastAsia" w:ascii="黑体" w:hAnsi="黑体" w:eastAsia="黑体" w:cs="黑体"/>
          <w:b/>
          <w:szCs w:val="21"/>
        </w:rPr>
        <w:t>二、</w:t>
      </w:r>
      <w:r>
        <w:rPr>
          <w:rFonts w:hint="eastAsia" w:ascii="黑体" w:hAnsi="黑体" w:eastAsia="黑体" w:cs="黑体"/>
          <w:szCs w:val="21"/>
        </w:rPr>
        <w:t>本周监理工作情况</w:t>
      </w:r>
    </w:p>
    <w:p>
      <w:pPr>
        <w:tabs>
          <w:tab w:val="right" w:pos="7541"/>
        </w:tabs>
        <w:topLinePunct/>
        <w:adjustRightInd w:val="0"/>
        <w:spacing w:line="360" w:lineRule="auto"/>
        <w:ind w:firstLine="210" w:firstLineChars="100"/>
        <w:rPr>
          <w:rFonts w:ascii="宋体" w:hAnsi="宋体" w:cs="宋体"/>
          <w:szCs w:val="21"/>
        </w:rPr>
      </w:pPr>
      <w:r>
        <w:rPr>
          <w:rFonts w:ascii="宋体" w:hAnsi="宋体" w:cs="宋体"/>
          <w:szCs w:val="21"/>
        </w:rPr>
        <w:t>1</w:t>
      </w:r>
      <w:r>
        <w:rPr>
          <w:rFonts w:hint="eastAsia" w:ascii="宋体" w:hAnsi="宋体" w:cs="宋体"/>
          <w:szCs w:val="21"/>
        </w:rPr>
        <w:t>、工程进度控制方面的工作情况</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我监理部和人员进驻项目以来，以会议纪要和工作联系单形式要求总包单位上报施工进度计划和材料进场计划，从项目开始施工把握施工进度。因总包单位的施工合同滞后，材料未能按计划时间经常故支架和导轨安装未能安计划进行，施工进度慢了下来。</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2 、工程质量控制方面的工作情况</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我监理部和人员进驻项目以来，以会议纪要和工作联系单形式要求总包单位上报施工的专项施工方案，进行图纸会审和技术交底。尤此交代要求施工队伍杜绝野蛮作业，保护好组件和半成品。</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3、安全生产管理方面的工作情况</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我监理部和人员进驻项目以来，以会议纪要和工作联系单形式要求总包单位上报施工的安全文明施工方案和应急预案。对施工现场的安全防护措施、特种设备作业的安全防护措施以及施工过程中安全文明做了逐一核对和要求。对阴雨天和高温天施工加以要求和督促有关事项。</w:t>
      </w:r>
    </w:p>
    <w:p>
      <w:pPr>
        <w:tabs>
          <w:tab w:val="right" w:pos="7541"/>
        </w:tabs>
        <w:topLinePunct/>
        <w:adjustRightInd w:val="0"/>
        <w:spacing w:line="360" w:lineRule="auto"/>
        <w:ind w:firstLine="210" w:firstLineChars="100"/>
        <w:rPr>
          <w:rFonts w:ascii="宋体" w:hAnsi="宋体" w:cs="宋体"/>
          <w:szCs w:val="21"/>
        </w:rPr>
      </w:pPr>
      <w:r>
        <w:rPr>
          <w:rFonts w:hint="eastAsia" w:ascii="宋体" w:hAnsi="宋体" w:cs="宋体"/>
          <w:szCs w:val="21"/>
        </w:rPr>
        <w:t>4、工程计量与工程款支付方面的工作情况</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略</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5、合同其他事项的管理工作情况</w:t>
      </w:r>
    </w:p>
    <w:p>
      <w:pPr>
        <w:spacing w:line="360" w:lineRule="auto"/>
        <w:ind w:firstLine="480"/>
        <w:rPr>
          <w:rFonts w:ascii="宋体" w:hAnsi="宋体" w:cs="宋体"/>
          <w:szCs w:val="21"/>
        </w:rPr>
      </w:pPr>
      <w:r>
        <w:rPr>
          <w:rFonts w:hint="eastAsia" w:ascii="宋体" w:hAnsi="宋体" w:cs="宋体"/>
          <w:szCs w:val="21"/>
        </w:rPr>
        <w:t xml:space="preserve"> 业主和我方签订的监理合同要求我方安排1名监理人员常驻现场进行监理管理工作，另一名总监为项目的负责人，每周到现场参加监理例会。现场因施工进度较慢，暂时两人能胜任目前工作。</w:t>
      </w:r>
    </w:p>
    <w:p>
      <w:pPr>
        <w:spacing w:line="360" w:lineRule="auto"/>
        <w:ind w:firstLine="480"/>
        <w:rPr>
          <w:rFonts w:ascii="宋体" w:hAnsi="宋体" w:cs="宋体"/>
          <w:szCs w:val="21"/>
        </w:rPr>
      </w:pPr>
      <w:r>
        <w:rPr>
          <w:rFonts w:hint="eastAsia" w:ascii="宋体" w:hAnsi="宋体" w:cs="宋体"/>
          <w:szCs w:val="21"/>
        </w:rPr>
        <w:t>交通和住宿情况：目前两人作为项目监理人员，已完成了公寓租住，租住地离厂区只有</w:t>
      </w:r>
      <w:r>
        <w:rPr>
          <w:rFonts w:hint="eastAsia" w:ascii="宋体" w:hAnsi="宋体" w:cs="宋体"/>
          <w:szCs w:val="21"/>
          <w:lang w:eastAsia="zh-CN"/>
        </w:rPr>
        <w:t>四</w:t>
      </w:r>
      <w:r>
        <w:rPr>
          <w:rFonts w:hint="eastAsia" w:ascii="宋体" w:hAnsi="宋体" w:cs="宋体"/>
          <w:szCs w:val="21"/>
        </w:rPr>
        <w:t>十多分钟电瓶车程，基本能满足现场的工作需要，</w:t>
      </w:r>
      <w:r>
        <w:rPr>
          <w:rFonts w:ascii="宋体" w:hAnsi="宋体" w:cs="宋体"/>
          <w:szCs w:val="21"/>
        </w:rPr>
        <w:t xml:space="preserve"> </w:t>
      </w:r>
    </w:p>
    <w:p>
      <w:pPr>
        <w:tabs>
          <w:tab w:val="right" w:pos="7541"/>
        </w:tabs>
        <w:topLinePunct/>
        <w:adjustRightInd w:val="0"/>
        <w:spacing w:line="360" w:lineRule="auto"/>
        <w:rPr>
          <w:rFonts w:ascii="黑体" w:hAnsi="黑体" w:eastAsia="黑体" w:cs="黑体"/>
          <w:szCs w:val="21"/>
        </w:rPr>
      </w:pPr>
      <w:r>
        <w:rPr>
          <w:rFonts w:hint="eastAsia" w:ascii="黑体" w:hAnsi="黑体" w:eastAsia="黑体" w:cs="黑体"/>
          <w:b/>
          <w:szCs w:val="21"/>
        </w:rPr>
        <w:t>3</w:t>
      </w:r>
      <w:r>
        <w:rPr>
          <w:rFonts w:hint="eastAsia" w:ascii="黑体" w:hAnsi="黑体" w:eastAsia="黑体" w:cs="黑体"/>
          <w:szCs w:val="21"/>
        </w:rPr>
        <w:t xml:space="preserve">  工程存在问题及建议 </w:t>
      </w:r>
    </w:p>
    <w:p>
      <w:pPr>
        <w:tabs>
          <w:tab w:val="right" w:pos="7541"/>
        </w:tabs>
        <w:topLinePunct/>
        <w:adjustRightInd w:val="0"/>
        <w:spacing w:line="360" w:lineRule="auto"/>
        <w:rPr>
          <w:rFonts w:ascii="宋体" w:hAnsi="宋体" w:cs="宋体"/>
          <w:szCs w:val="21"/>
        </w:rPr>
      </w:pPr>
      <w:r>
        <w:rPr>
          <w:rFonts w:hint="eastAsia" w:ascii="宋体" w:hAnsi="宋体" w:cs="宋体"/>
          <w:szCs w:val="21"/>
        </w:rPr>
        <w:t xml:space="preserve">   （1）、总包单位的人员和材料进场滞后，导致目前的施工进度与计划有脱节现象。建议总包单位加派人员利用一到两周时间把前期滞后的工程量补上。</w:t>
      </w:r>
    </w:p>
    <w:p>
      <w:pPr>
        <w:tabs>
          <w:tab w:val="right" w:pos="7541"/>
        </w:tabs>
        <w:topLinePunct/>
        <w:adjustRightInd w:val="0"/>
        <w:spacing w:line="360" w:lineRule="auto"/>
        <w:rPr>
          <w:rFonts w:ascii="宋体" w:hAnsi="宋体" w:cs="宋体"/>
          <w:szCs w:val="21"/>
        </w:rPr>
      </w:pPr>
      <w:r>
        <w:rPr>
          <w:rFonts w:hint="eastAsia" w:ascii="宋体" w:hAnsi="宋体" w:cs="宋体"/>
          <w:szCs w:val="21"/>
        </w:rPr>
        <w:t xml:space="preserve">   （2）、对现场施工的质量管理方面，我部及时和总包、施工单位沟通要求，避免验收不合格再进行整改。对下一道工序和要求及时告知他们催促总包单位提前做好相关的施工准备。</w:t>
      </w:r>
    </w:p>
    <w:p>
      <w:pPr>
        <w:tabs>
          <w:tab w:val="right" w:pos="7541"/>
        </w:tabs>
        <w:topLinePunct/>
        <w:adjustRightInd w:val="0"/>
        <w:spacing w:line="360" w:lineRule="auto"/>
        <w:rPr>
          <w:rFonts w:ascii="黑体" w:hAnsi="黑体" w:eastAsia="黑体" w:cs="黑体"/>
          <w:szCs w:val="21"/>
        </w:rPr>
      </w:pPr>
      <w:r>
        <w:rPr>
          <w:rFonts w:hint="eastAsia" w:ascii="黑体" w:hAnsi="黑体" w:eastAsia="黑体" w:cs="黑体"/>
          <w:b/>
          <w:szCs w:val="21"/>
        </w:rPr>
        <w:t xml:space="preserve">4 </w:t>
      </w:r>
      <w:r>
        <w:rPr>
          <w:rFonts w:hint="eastAsia" w:ascii="黑体" w:hAnsi="黑体" w:eastAsia="黑体" w:cs="黑体"/>
          <w:szCs w:val="21"/>
        </w:rPr>
        <w:t xml:space="preserve"> 下周监理工作重点 </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4.1  在工程管理方面的监理工作重点</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1、继续催促施工按计划节点进行推进；</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2、继续催促设计出图给出时间节点；</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3、继续催促并网方案的上报审批和图纸审核，未并网创造条件。</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4.2  在项目监理机构内部管理方面的工作重点</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1、完善内部的策划文件编写和审批；</w:t>
      </w:r>
    </w:p>
    <w:p>
      <w:pPr>
        <w:tabs>
          <w:tab w:val="right" w:pos="7541"/>
        </w:tabs>
        <w:topLinePunct/>
        <w:adjustRightInd w:val="0"/>
        <w:spacing w:line="360" w:lineRule="auto"/>
        <w:ind w:firstLine="227"/>
        <w:rPr>
          <w:rFonts w:ascii="宋体" w:hAnsi="宋体" w:cs="宋体"/>
          <w:szCs w:val="21"/>
        </w:rPr>
      </w:pPr>
      <w:r>
        <w:rPr>
          <w:rFonts w:hint="eastAsia" w:ascii="宋体" w:hAnsi="宋体" w:cs="宋体"/>
          <w:szCs w:val="21"/>
        </w:rPr>
        <w:t xml:space="preserve"> 2、及时完善监理过程的文件编写和保存；</w:t>
      </w:r>
    </w:p>
    <w:p>
      <w:pPr>
        <w:spacing w:line="360" w:lineRule="auto"/>
        <w:rPr>
          <w:rFonts w:ascii="宋体" w:hAnsi="宋体" w:cs="宋体"/>
          <w:szCs w:val="21"/>
        </w:rPr>
      </w:pPr>
      <w:r>
        <w:rPr>
          <w:rFonts w:hint="eastAsia" w:ascii="宋体" w:hAnsi="宋体" w:cs="宋体"/>
          <w:szCs w:val="21"/>
        </w:rPr>
        <w:t xml:space="preserve">   3、及时配合建设单位完善安全考核、出勤制度等资料。</w:t>
      </w:r>
    </w:p>
    <w:p>
      <w:pPr>
        <w:topLinePunct/>
        <w:ind w:firstLine="425"/>
        <w:rPr>
          <w:szCs w:val="21"/>
        </w:rPr>
      </w:pPr>
    </w:p>
    <w:p>
      <w:pPr>
        <w:rPr>
          <w:rFonts w:hint="eastAsia"/>
        </w:rPr>
      </w:pPr>
    </w:p>
    <w:p>
      <w:pPr>
        <w:rPr>
          <w:rFonts w:ascii="黑体" w:hAnsi="黑体" w:eastAsia="黑体" w:cs="黑体"/>
          <w:sz w:val="24"/>
        </w:rPr>
      </w:pPr>
      <w:r>
        <w:rPr>
          <w:rFonts w:hint="eastAsia"/>
        </w:rPr>
        <w:t xml:space="preserve">                                 </w:t>
      </w:r>
      <w:r>
        <w:rPr>
          <w:rFonts w:hint="eastAsia" w:ascii="黑体" w:hAnsi="黑体" w:eastAsia="黑体" w:cs="黑体"/>
          <w:sz w:val="24"/>
        </w:rPr>
        <w:t>常州正衡电力工程监理有限公司</w:t>
      </w:r>
    </w:p>
    <w:p>
      <w:pPr>
        <w:rPr>
          <w:rFonts w:ascii="黑体" w:hAnsi="黑体" w:eastAsia="黑体" w:cs="黑体"/>
          <w:bCs/>
          <w:sz w:val="24"/>
        </w:rPr>
      </w:pPr>
      <w:r>
        <w:rPr>
          <w:rFonts w:hint="eastAsia" w:ascii="宋体" w:hAnsi="宋体" w:cs="宋体"/>
          <w:bCs/>
          <w:sz w:val="24"/>
        </w:rPr>
        <w:t xml:space="preserve">              </w:t>
      </w:r>
      <w:r>
        <w:rPr>
          <w:rFonts w:ascii="黑体" w:hAnsi="黑体" w:eastAsia="黑体" w:cs="宋体"/>
          <w:kern w:val="0"/>
          <w:sz w:val="24"/>
        </w:rPr>
        <w:t>宁波杭州湾新区跨境电商仓储（一期）光伏电站建设项目</w:t>
      </w:r>
      <w:r>
        <w:rPr>
          <w:rFonts w:hint="eastAsia" w:ascii="黑体" w:hAnsi="黑体" w:eastAsia="黑体" w:cs="黑体"/>
          <w:bCs/>
          <w:sz w:val="24"/>
        </w:rPr>
        <w:t>监理部</w:t>
      </w:r>
    </w:p>
    <w:p>
      <w:pPr>
        <w:rPr>
          <w:rFonts w:ascii="黑体" w:hAnsi="黑体" w:eastAsia="黑体" w:cs="黑体"/>
          <w:bCs/>
          <w:sz w:val="24"/>
        </w:rPr>
      </w:pPr>
      <w:r>
        <w:rPr>
          <w:rFonts w:hint="eastAsia" w:ascii="黑体" w:hAnsi="黑体" w:eastAsia="黑体" w:cs="黑体"/>
          <w:bCs/>
          <w:sz w:val="24"/>
        </w:rPr>
        <w:t xml:space="preserve">                                    201</w:t>
      </w:r>
      <w:r>
        <w:rPr>
          <w:rFonts w:ascii="黑体" w:hAnsi="黑体" w:eastAsia="黑体" w:cs="黑体"/>
          <w:bCs/>
          <w:sz w:val="24"/>
        </w:rPr>
        <w:t>7</w:t>
      </w:r>
      <w:r>
        <w:rPr>
          <w:rFonts w:hint="eastAsia" w:ascii="黑体" w:hAnsi="黑体" w:eastAsia="黑体" w:cs="黑体"/>
          <w:bCs/>
          <w:sz w:val="24"/>
        </w:rPr>
        <w:t>年</w:t>
      </w:r>
      <w:r>
        <w:rPr>
          <w:rFonts w:ascii="黑体" w:hAnsi="黑体" w:eastAsia="黑体" w:cs="黑体"/>
          <w:bCs/>
          <w:sz w:val="24"/>
        </w:rPr>
        <w:t>3</w:t>
      </w:r>
      <w:r>
        <w:rPr>
          <w:rFonts w:hint="eastAsia" w:ascii="黑体" w:hAnsi="黑体" w:eastAsia="黑体" w:cs="黑体"/>
          <w:bCs/>
          <w:sz w:val="24"/>
        </w:rPr>
        <w:t>月</w:t>
      </w:r>
      <w:r>
        <w:rPr>
          <w:rFonts w:ascii="黑体" w:hAnsi="黑体" w:eastAsia="黑体" w:cs="黑体"/>
          <w:bCs/>
          <w:sz w:val="24"/>
        </w:rPr>
        <w:t>8</w:t>
      </w:r>
      <w:r>
        <w:rPr>
          <w:rFonts w:hint="eastAsia" w:ascii="黑体" w:hAnsi="黑体" w:eastAsia="黑体" w:cs="黑体"/>
          <w:bCs/>
          <w:sz w:val="24"/>
        </w:rPr>
        <w:t>日</w:t>
      </w:r>
    </w:p>
    <w:p>
      <w:bookmarkStart w:id="1" w:name="_GoBack"/>
      <w:r>
        <w:drawing>
          <wp:inline distT="0" distB="0" distL="114300" distR="114300">
            <wp:extent cx="5133340" cy="3851910"/>
            <wp:effectExtent l="0" t="0" r="10160" b="15240"/>
            <wp:docPr id="3" name="图片 3" descr="822929929291027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22929929291027825"/>
                    <pic:cNvPicPr>
                      <a:picLocks noChangeAspect="1"/>
                    </pic:cNvPicPr>
                  </pic:nvPicPr>
                  <pic:blipFill>
                    <a:blip r:embed="rId4"/>
                    <a:stretch>
                      <a:fillRect/>
                    </a:stretch>
                  </pic:blipFill>
                  <pic:spPr>
                    <a:xfrm>
                      <a:off x="0" y="0"/>
                      <a:ext cx="5133340" cy="3851910"/>
                    </a:xfrm>
                    <a:prstGeom prst="rect">
                      <a:avLst/>
                    </a:prstGeom>
                  </pic:spPr>
                </pic:pic>
              </a:graphicData>
            </a:graphic>
          </wp:inline>
        </w:drawing>
      </w:r>
      <w:bookmarkEnd w:id="1"/>
      <w:r>
        <w:drawing>
          <wp:inline distT="0" distB="0" distL="114300" distR="114300">
            <wp:extent cx="5266690" cy="5266690"/>
            <wp:effectExtent l="0" t="0" r="10160" b="10160"/>
            <wp:docPr id="4" name="图片 4" descr="28230559250053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2305592500530805"/>
                    <pic:cNvPicPr>
                      <a:picLocks noChangeAspect="1"/>
                    </pic:cNvPicPr>
                  </pic:nvPicPr>
                  <pic:blipFill>
                    <a:blip r:embed="rId5"/>
                    <a:stretch>
                      <a:fillRect/>
                    </a:stretch>
                  </pic:blipFill>
                  <pic:spPr>
                    <a:xfrm>
                      <a:off x="0" y="0"/>
                      <a:ext cx="5266690" cy="5266690"/>
                    </a:xfrm>
                    <a:prstGeom prst="rect">
                      <a:avLst/>
                    </a:prstGeom>
                  </pic:spPr>
                </pic:pic>
              </a:graphicData>
            </a:graphic>
          </wp:inline>
        </w:drawing>
      </w:r>
      <w:r>
        <w:drawing>
          <wp:inline distT="0" distB="0" distL="114300" distR="114300">
            <wp:extent cx="5266690" cy="3949700"/>
            <wp:effectExtent l="0" t="0" r="10160" b="12700"/>
            <wp:docPr id="5" name="图片 5" descr="805216038022292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05216038022292513"/>
                    <pic:cNvPicPr>
                      <a:picLocks noChangeAspect="1"/>
                    </pic:cNvPicPr>
                  </pic:nvPicPr>
                  <pic:blipFill>
                    <a:blip r:embed="rId6"/>
                    <a:stretch>
                      <a:fillRect/>
                    </a:stretch>
                  </pic:blipFill>
                  <pic:spPr>
                    <a:xfrm>
                      <a:off x="0" y="0"/>
                      <a:ext cx="5266690" cy="3949700"/>
                    </a:xfrm>
                    <a:prstGeom prst="rect">
                      <a:avLst/>
                    </a:prstGeom>
                  </pic:spPr>
                </pic:pic>
              </a:graphicData>
            </a:graphic>
          </wp:inline>
        </w:drawing>
      </w:r>
      <w:r>
        <w:drawing>
          <wp:inline distT="0" distB="0" distL="114300" distR="114300">
            <wp:extent cx="5266055" cy="7021830"/>
            <wp:effectExtent l="0" t="0" r="10795" b="7620"/>
            <wp:docPr id="6" name="图片 6" descr="81090979087722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10909790877228072"/>
                    <pic:cNvPicPr>
                      <a:picLocks noChangeAspect="1"/>
                    </pic:cNvPicPr>
                  </pic:nvPicPr>
                  <pic:blipFill>
                    <a:blip r:embed="rId7"/>
                    <a:stretch>
                      <a:fillRect/>
                    </a:stretch>
                  </pic:blipFill>
                  <pic:spPr>
                    <a:xfrm>
                      <a:off x="0" y="0"/>
                      <a:ext cx="5266055" cy="70218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B676D"/>
    <w:multiLevelType w:val="multilevel"/>
    <w:tmpl w:val="3DCB676D"/>
    <w:lvl w:ilvl="0" w:tentative="0">
      <w:start w:val="1"/>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20A5B64"/>
    <w:rsid w:val="00225E65"/>
    <w:rsid w:val="0037690E"/>
    <w:rsid w:val="006A6ADF"/>
    <w:rsid w:val="00B02531"/>
    <w:rsid w:val="00DF0A4E"/>
    <w:rsid w:val="00F92462"/>
    <w:rsid w:val="120A5B64"/>
    <w:rsid w:val="30B1638E"/>
    <w:rsid w:val="74417280"/>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unhideWhenUsed/>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 w:type="paragraph" w:customStyle="1" w:styleId="4">
    <w:name w:val="样式4"/>
    <w:basedOn w:val="1"/>
    <w:qFormat/>
    <w:uiPriority w:val="0"/>
    <w:pPr>
      <w:tabs>
        <w:tab w:val="left" w:pos="366"/>
        <w:tab w:val="left" w:pos="720"/>
      </w:tabs>
      <w:topLinePunct/>
      <w:ind w:firstLine="425"/>
    </w:pPr>
    <w:rPr>
      <w:rFonts w:eastAsia="黑体"/>
      <w:bCs/>
      <w:caps/>
      <w:kern w:val="21"/>
      <w:szCs w:val="21"/>
      <w:lang w:val="zh-CN"/>
    </w:rPr>
  </w:style>
  <w:style w:type="paragraph" w:customStyle="1" w:styleId="5">
    <w:name w:val="样式5"/>
    <w:basedOn w:val="1"/>
    <w:qFormat/>
    <w:uiPriority w:val="0"/>
    <w:pPr>
      <w:topLinePunct/>
      <w:adjustRightInd w:val="0"/>
      <w:spacing w:line="1200" w:lineRule="auto"/>
      <w:jc w:val="center"/>
    </w:pPr>
    <w:rPr>
      <w:rFonts w:ascii="宋体" w:hAnsi="宋体" w:eastAsia="黑体"/>
      <w:sz w:val="26"/>
      <w:szCs w:val="26"/>
    </w:rPr>
  </w:style>
  <w:style w:type="paragraph" w:customStyle="1"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Pages>
  <Words>278</Words>
  <Characters>1585</Characters>
  <Lines>13</Lines>
  <Paragraphs>3</Paragraphs>
  <TotalTime>0</TotalTime>
  <ScaleCrop>false</ScaleCrop>
  <LinksUpToDate>false</LinksUpToDate>
  <CharactersWithSpaces>1860</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2016-09-29T05:27:00Z</dcterms:created>
  <dc:creator>zh9</dc:creator>
  <cp:lastModifiedBy>Administrator</cp:lastModifiedBy>
  <dcterms:modified xsi:type="dcterms:W3CDTF">2017-03-09T14:02:34Z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