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仿宋" w:asciiTheme="minorEastAsia" w:hAnsiTheme="minorEastAsia" w:eastAsiaTheme="minorEastAsia"/>
          <w:b/>
          <w:sz w:val="32"/>
          <w:szCs w:val="32"/>
        </w:rPr>
      </w:pPr>
      <w:r>
        <w:rPr>
          <w:rFonts w:hint="eastAsia" w:cs="仿宋" w:asciiTheme="minorEastAsia" w:hAnsiTheme="minorEastAsia" w:eastAsiaTheme="minorEastAsia"/>
          <w:b/>
          <w:sz w:val="32"/>
          <w:szCs w:val="32"/>
        </w:rPr>
        <w:t>普枫建设项目监理周报</w:t>
      </w:r>
    </w:p>
    <w:p>
      <w:pPr>
        <w:tabs>
          <w:tab w:val="left" w:pos="420"/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  <w:r>
        <w:rPr>
          <w:rFonts w:hint="eastAsia" w:cs="仿宋" w:asciiTheme="minorEastAsia" w:hAnsiTheme="minorEastAsia" w:eastAsiaTheme="minorEastAsia"/>
          <w:b/>
          <w:szCs w:val="21"/>
        </w:rPr>
        <w:t>一、项目基本信息：</w:t>
      </w:r>
    </w:p>
    <w:tbl>
      <w:tblPr>
        <w:tblStyle w:val="9"/>
        <w:tblW w:w="1020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27"/>
        <w:gridCol w:w="5670"/>
        <w:gridCol w:w="240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27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区域</w:t>
            </w:r>
          </w:p>
        </w:tc>
        <w:tc>
          <w:tcPr>
            <w:tcW w:w="5670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项目及容量</w:t>
            </w:r>
          </w:p>
        </w:tc>
        <w:tc>
          <w:tcPr>
            <w:tcW w:w="2404" w:type="dxa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</w:rPr>
              <w:t>状态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restart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杭州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default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Merge w:val="continue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cs="仿宋" w:asciiTheme="minorEastAsia" w:hAnsiTheme="minorEastAsia" w:eastAsiaTheme="minorEastAsia"/>
                <w:b/>
                <w:szCs w:val="21"/>
              </w:rPr>
            </w:pP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正常施工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  <w:jc w:val="center"/>
        </w:trPr>
        <w:tc>
          <w:tcPr>
            <w:tcW w:w="2127" w:type="dxa"/>
            <w:vAlign w:val="center"/>
          </w:tcPr>
          <w:p>
            <w:pPr>
              <w:tabs>
                <w:tab w:val="left" w:pos="540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eastAsia="zh-CN"/>
              </w:rPr>
              <w:t>嘉兴</w:t>
            </w:r>
          </w:p>
        </w:tc>
        <w:tc>
          <w:tcPr>
            <w:tcW w:w="5670" w:type="dxa"/>
            <w:vAlign w:val="center"/>
          </w:tcPr>
          <w:p>
            <w:pPr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404" w:type="dxa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b/>
                <w:szCs w:val="21"/>
                <w:lang w:val="en-US" w:eastAsia="zh-CN"/>
              </w:rPr>
              <w:t>未施工</w:t>
            </w:r>
          </w:p>
        </w:tc>
      </w:tr>
    </w:tbl>
    <w:p>
      <w:pPr>
        <w:tabs>
          <w:tab w:val="left" w:pos="540"/>
        </w:tabs>
        <w:rPr>
          <w:rFonts w:cs="仿宋" w:asciiTheme="minorEastAsia" w:hAnsiTheme="minorEastAsia" w:eastAsiaTheme="minorEastAsia"/>
          <w:b/>
          <w:szCs w:val="21"/>
        </w:rPr>
      </w:pPr>
    </w:p>
    <w:p>
      <w:pPr>
        <w:tabs>
          <w:tab w:val="left" w:pos="420"/>
          <w:tab w:val="left" w:pos="540"/>
        </w:tabs>
        <w:rPr>
          <w:rFonts w:asciiTheme="minorEastAsia" w:hAnsiTheme="minorEastAsia" w:eastAsiaTheme="minorEastAsia"/>
          <w:b/>
          <w:szCs w:val="21"/>
        </w:rPr>
      </w:pPr>
      <w:r>
        <w:rPr>
          <w:rFonts w:hint="eastAsia" w:asciiTheme="minorEastAsia" w:hAnsiTheme="minorEastAsia" w:eastAsiaTheme="minorEastAsia"/>
          <w:b/>
          <w:szCs w:val="21"/>
        </w:rPr>
        <w:t>二、现场安全、进度质量等状况</w:t>
      </w:r>
    </w:p>
    <w:tbl>
      <w:tblPr>
        <w:tblStyle w:val="8"/>
        <w:tblW w:w="101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8"/>
        <w:gridCol w:w="1363"/>
        <w:gridCol w:w="1344"/>
        <w:gridCol w:w="323"/>
        <w:gridCol w:w="880"/>
        <w:gridCol w:w="557"/>
        <w:gridCol w:w="787"/>
        <w:gridCol w:w="442"/>
        <w:gridCol w:w="780"/>
        <w:gridCol w:w="1276"/>
        <w:gridCol w:w="12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报告项目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情况概括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</w:rPr>
              <w:t>上周天气</w:t>
            </w:r>
          </w:p>
        </w:tc>
        <w:tc>
          <w:tcPr>
            <w:tcW w:w="136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04/24</w:t>
            </w:r>
          </w:p>
        </w:tc>
        <w:tc>
          <w:tcPr>
            <w:tcW w:w="134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04/25</w:t>
            </w:r>
          </w:p>
        </w:tc>
        <w:tc>
          <w:tcPr>
            <w:tcW w:w="1203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04/26</w:t>
            </w:r>
          </w:p>
        </w:tc>
        <w:tc>
          <w:tcPr>
            <w:tcW w:w="1344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04/27</w:t>
            </w:r>
          </w:p>
        </w:tc>
        <w:tc>
          <w:tcPr>
            <w:tcW w:w="122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04/28</w:t>
            </w:r>
          </w:p>
        </w:tc>
        <w:tc>
          <w:tcPr>
            <w:tcW w:w="127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04/29</w:t>
            </w:r>
          </w:p>
        </w:tc>
        <w:tc>
          <w:tcPr>
            <w:tcW w:w="120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04/30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6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12-23℃</w:t>
            </w:r>
          </w:p>
        </w:tc>
        <w:tc>
          <w:tcPr>
            <w:tcW w:w="134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14-26℃</w:t>
            </w:r>
          </w:p>
        </w:tc>
        <w:tc>
          <w:tcPr>
            <w:tcW w:w="1203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13-26℃</w:t>
            </w:r>
          </w:p>
        </w:tc>
        <w:tc>
          <w:tcPr>
            <w:tcW w:w="1344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9-22℃</w:t>
            </w:r>
          </w:p>
        </w:tc>
        <w:tc>
          <w:tcPr>
            <w:tcW w:w="122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12-24℃</w:t>
            </w:r>
          </w:p>
        </w:tc>
        <w:tc>
          <w:tcPr>
            <w:tcW w:w="127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17-30℃</w:t>
            </w:r>
          </w:p>
        </w:tc>
        <w:tc>
          <w:tcPr>
            <w:tcW w:w="120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21-32℃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ind w:right="252" w:rightChars="120"/>
              <w:jc w:val="center"/>
              <w:rPr>
                <w:rFonts w:cs="仿宋" w:asciiTheme="minorEastAsia" w:hAnsiTheme="minorEastAsia" w:eastAsiaTheme="minorEastAsia"/>
                <w:color w:val="000000"/>
                <w:szCs w:val="21"/>
              </w:rPr>
            </w:pPr>
          </w:p>
        </w:tc>
        <w:tc>
          <w:tcPr>
            <w:tcW w:w="1363" w:type="dxa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</w:tc>
        <w:tc>
          <w:tcPr>
            <w:tcW w:w="1344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多云转阴</w:t>
            </w:r>
          </w:p>
        </w:tc>
        <w:tc>
          <w:tcPr>
            <w:tcW w:w="1203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多云</w:t>
            </w:r>
          </w:p>
        </w:tc>
        <w:tc>
          <w:tcPr>
            <w:tcW w:w="1344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阴转晴</w:t>
            </w:r>
          </w:p>
        </w:tc>
        <w:tc>
          <w:tcPr>
            <w:tcW w:w="1222" w:type="dxa"/>
            <w:gridSpan w:val="2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晴</w:t>
            </w:r>
          </w:p>
        </w:tc>
        <w:tc>
          <w:tcPr>
            <w:tcW w:w="1276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晴</w:t>
            </w:r>
          </w:p>
        </w:tc>
        <w:tc>
          <w:tcPr>
            <w:tcW w:w="1203" w:type="dxa"/>
            <w:vAlign w:val="center"/>
          </w:tcPr>
          <w:p>
            <w:pPr>
              <w:ind w:right="252" w:rightChars="120"/>
              <w:jc w:val="center"/>
              <w:rPr>
                <w:rFonts w:hint="default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color w:val="000000"/>
                <w:szCs w:val="21"/>
                <w:lang w:val="en-US" w:eastAsia="zh-CN"/>
              </w:rPr>
              <w:t>晴转阴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cs="仿宋" w:asciiTheme="minorEastAsia" w:hAnsiTheme="minorEastAsia" w:eastAsiaTheme="minorEastAsia"/>
                <w:szCs w:val="21"/>
              </w:rPr>
              <w:t>原材料进场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eastAsia="zh-CN"/>
              </w:rPr>
              <w:t>夹具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及支架已进场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1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工程进度</w:t>
            </w:r>
          </w:p>
        </w:tc>
        <w:tc>
          <w:tcPr>
            <w:tcW w:w="5696" w:type="dxa"/>
            <w:gridSpan w:val="7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计划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实际完成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8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jc w:val="left"/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B2屋面夹具及支架安装。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南区B2屋面夹具安装完成100%；南区B2屋面支架安装完成100%。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3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B2屋顶加固安装。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B2屋顶加固安装完成68%</w:t>
            </w: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ind w:left="0" w:leftChars="0" w:firstLine="0" w:firstLineChars="0"/>
              <w:jc w:val="left"/>
              <w:rPr>
                <w:rFonts w:hint="default"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A2屋顶采光带防护及夹具安装。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A2屋顶采光带防护完成100%;</w:t>
            </w:r>
          </w:p>
          <w:p>
            <w:pPr>
              <w:tabs>
                <w:tab w:val="left" w:pos="360"/>
                <w:tab w:val="left" w:pos="425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A2屋顶夹具安装完成50%.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3030" w:type="dxa"/>
            <w:gridSpan w:val="3"/>
            <w:vAlign w:val="center"/>
          </w:tcPr>
          <w:p>
            <w:pPr>
              <w:jc w:val="left"/>
              <w:rPr>
                <w:rFonts w:asciiTheme="minorEastAsia" w:hAnsiTheme="minorEastAsia" w:eastAsiaTheme="minorEastAsia"/>
                <w:szCs w:val="21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2666" w:type="dxa"/>
            <w:gridSpan w:val="4"/>
            <w:vAlign w:val="center"/>
          </w:tcPr>
          <w:p>
            <w:pPr>
              <w:numPr>
                <w:ilvl w:val="0"/>
                <w:numId w:val="0"/>
              </w:num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  <w:tc>
          <w:tcPr>
            <w:tcW w:w="3259" w:type="dxa"/>
            <w:gridSpan w:val="3"/>
            <w:vAlign w:val="center"/>
          </w:tcPr>
          <w:p>
            <w:pPr>
              <w:tabs>
                <w:tab w:val="left" w:pos="360"/>
                <w:tab w:val="left" w:pos="425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质量监督</w:t>
            </w:r>
          </w:p>
        </w:tc>
        <w:tc>
          <w:tcPr>
            <w:tcW w:w="8955" w:type="dxa"/>
            <w:gridSpan w:val="10"/>
          </w:tcPr>
          <w:p>
            <w:pPr>
              <w:jc w:val="left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1监理日常监督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restart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下周重点</w:t>
            </w:r>
          </w:p>
          <w:p>
            <w:pPr>
              <w:jc w:val="center"/>
              <w:rPr>
                <w:rFonts w:cs="Arial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工作</w:t>
            </w:r>
          </w:p>
        </w:tc>
        <w:tc>
          <w:tcPr>
            <w:tcW w:w="4467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杭州普枫新能源杭州物流园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1.5MWp分布式光伏发电项目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夹具安装旁站；支架安装旁站；开展巡视及工序检查验收工作。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tabs>
                <w:tab w:val="left" w:pos="360"/>
                <w:tab w:val="left" w:pos="425"/>
              </w:tabs>
              <w:jc w:val="left"/>
              <w:rPr>
                <w:rFonts w:cs="仿宋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1MWp分布式光伏发电项目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屋顶加固安装旁站，开展巡视及工序检查工作。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杭州普枫新能源临江南物流园</w:t>
            </w:r>
            <w:r>
              <w:rPr>
                <w:rFonts w:hint="eastAsia" w:ascii="宋体" w:hAnsi="宋体"/>
                <w:b w:val="0"/>
                <w:bCs/>
                <w:lang w:val="en-US" w:eastAsia="zh-CN"/>
              </w:rPr>
              <w:t>0.85MWp分布式光伏发电项目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材料进场质量管控；支架材料吊装安全旁站；夹具安装旁站；支架安装旁站；开展巡视及工序检查验收工作。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" w:hRule="atLeast"/>
          <w:jc w:val="center"/>
        </w:trPr>
        <w:tc>
          <w:tcPr>
            <w:tcW w:w="1228" w:type="dxa"/>
            <w:vMerge w:val="continue"/>
            <w:vAlign w:val="center"/>
          </w:tcPr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</w:p>
        </w:tc>
        <w:tc>
          <w:tcPr>
            <w:tcW w:w="4467" w:type="dxa"/>
            <w:gridSpan w:val="5"/>
            <w:vAlign w:val="center"/>
          </w:tcPr>
          <w:p>
            <w:pPr>
              <w:jc w:val="left"/>
              <w:rPr>
                <w:rFonts w:cs="Times New Roman" w:asciiTheme="minorEastAsia" w:hAnsiTheme="minorEastAsia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/>
                <w:b w:val="0"/>
                <w:bCs/>
                <w:lang w:eastAsia="zh-CN"/>
              </w:rPr>
              <w:t>嘉兴市普枫新能源有限责任公司1.6MWp（平嘉仓储）分布式发电项目</w:t>
            </w:r>
          </w:p>
        </w:tc>
        <w:tc>
          <w:tcPr>
            <w:tcW w:w="4488" w:type="dxa"/>
            <w:gridSpan w:val="5"/>
            <w:vAlign w:val="center"/>
          </w:tcPr>
          <w:p>
            <w:pPr>
              <w:tabs>
                <w:tab w:val="left" w:pos="312"/>
              </w:tabs>
              <w:jc w:val="center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2" w:hRule="atLeast"/>
          <w:jc w:val="center"/>
        </w:trPr>
        <w:tc>
          <w:tcPr>
            <w:tcW w:w="1228" w:type="dxa"/>
            <w:vAlign w:val="center"/>
          </w:tcPr>
          <w:p>
            <w:pPr>
              <w:jc w:val="center"/>
              <w:rPr>
                <w:rFonts w:hint="eastAsia"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急需协调</w:t>
            </w:r>
          </w:p>
          <w:p>
            <w:pPr>
              <w:jc w:val="center"/>
              <w:rPr>
                <w:rFonts w:cs="仿宋" w:asciiTheme="minorEastAsia" w:hAnsiTheme="minorEastAsia" w:eastAsiaTheme="minorEastAsia"/>
                <w:szCs w:val="21"/>
              </w:rPr>
            </w:pPr>
            <w:r>
              <w:rPr>
                <w:rFonts w:hint="eastAsia" w:cs="仿宋" w:asciiTheme="minorEastAsia" w:hAnsiTheme="minorEastAsia" w:eastAsiaTheme="minorEastAsia"/>
                <w:szCs w:val="21"/>
              </w:rPr>
              <w:t>事宜</w:t>
            </w:r>
          </w:p>
        </w:tc>
        <w:tc>
          <w:tcPr>
            <w:tcW w:w="8955" w:type="dxa"/>
            <w:gridSpan w:val="10"/>
            <w:vAlign w:val="center"/>
          </w:tcPr>
          <w:p>
            <w:pPr>
              <w:jc w:val="left"/>
              <w:rPr>
                <w:rFonts w:hint="default" w:cs="仿宋" w:asciiTheme="minorEastAsia" w:hAnsiTheme="minorEastAsia" w:eastAsiaTheme="minorEastAsia"/>
                <w:szCs w:val="21"/>
                <w:lang w:val="en-US" w:eastAsia="zh-CN"/>
              </w:rPr>
            </w:pPr>
          </w:p>
        </w:tc>
      </w:tr>
    </w:tbl>
    <w:p>
      <w:pPr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253105" cy="2369820"/>
            <wp:effectExtent l="0" t="0" r="4445" b="11430"/>
            <wp:docPr id="1" name="图片 1" descr="20200424-084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424-0845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261995" cy="2392680"/>
            <wp:effectExtent l="0" t="0" r="14605" b="7620"/>
            <wp:docPr id="4" name="图片 4" descr="20200426-100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0426-1002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282950" cy="2550795"/>
            <wp:effectExtent l="0" t="0" r="12700" b="1905"/>
            <wp:docPr id="2" name="图片 2" descr="5d7d3fd2e32f4e0dc0e4b5b2ef612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d7d3fd2e32f4e0dc0e4b5b2ef612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82950" cy="255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227705" cy="2536825"/>
            <wp:effectExtent l="0" t="0" r="10795" b="15875"/>
            <wp:docPr id="3" name="图片 3" descr="20200429-112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00429-1120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7705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lang w:val="en-US" w:eastAsia="zh-CN"/>
        </w:rPr>
        <w:drawing>
          <wp:inline distT="0" distB="0" distL="114300" distR="114300">
            <wp:extent cx="3302635" cy="2461895"/>
            <wp:effectExtent l="0" t="0" r="12065" b="14605"/>
            <wp:docPr id="5" name="图片 5" descr="360b5c76bb36aafa76fdb0594e437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60b5c76bb36aafa76fdb0594e437c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bookmarkStart w:id="0" w:name="_GoBack"/>
      <w:r>
        <w:rPr>
          <w:rFonts w:hint="default" w:eastAsia="宋体"/>
          <w:lang w:val="en-US" w:eastAsia="zh-CN"/>
        </w:rPr>
        <w:drawing>
          <wp:inline distT="0" distB="0" distL="114300" distR="114300">
            <wp:extent cx="3170555" cy="2454275"/>
            <wp:effectExtent l="0" t="0" r="10795" b="3175"/>
            <wp:docPr id="6" name="图片 6" descr="1d548d4b93f6f47917bc4fe56d66e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d548d4b93f6f47917bc4fe56d66ec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7055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  </w:t>
      </w:r>
    </w:p>
    <w:p>
      <w:pPr>
        <w:rPr>
          <w:rFonts w:hint="default"/>
          <w:lang w:val="en-US"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568" w:footer="992" w:gutter="0"/>
      <w:pgNumType w:fmt="numberInDash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left="359" w:leftChars="171"/>
      <w:jc w:val="center"/>
    </w:pPr>
    <w:r>
      <w:fldChar w:fldCharType="begin"/>
    </w:r>
    <w:r>
      <w:rPr>
        <w:rStyle w:val="11"/>
      </w:rPr>
      <w:instrText xml:space="preserve"> PAGE </w:instrText>
    </w:r>
    <w:r>
      <w:fldChar w:fldCharType="separate"/>
    </w:r>
    <w:r>
      <w:rPr>
        <w:rStyle w:val="11"/>
      </w:rPr>
      <w:t>- 3 -</w:t>
    </w:r>
    <w: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1843"/>
      </w:tabs>
      <w:ind w:right="252" w:rightChars="120"/>
      <w:jc w:val="right"/>
    </w:pPr>
    <w:r>
      <w:rPr>
        <w:rFonts w:hint="eastAsia"/>
      </w:rPr>
      <w:t xml:space="preserve">                                                                            </w:t>
    </w:r>
    <w:r>
      <w:drawing>
        <wp:inline distT="0" distB="0" distL="114300" distR="114300">
          <wp:extent cx="1344930" cy="466725"/>
          <wp:effectExtent l="0" t="0" r="11430" b="5715"/>
          <wp:docPr id="23" name="图片 28" descr="150312_GLP_main_logo_b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图片 28" descr="150312_GLP_main_logo_bi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4493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</w:p>
  <w:p>
    <w:pPr>
      <w:pStyle w:val="7"/>
      <w:ind w:left="-141" w:leftChars="-67"/>
      <w:jc w:val="both"/>
    </w:pPr>
    <w:r>
      <w:rPr>
        <w:rFonts w:hint="eastAsia"/>
      </w:rPr>
      <w:t xml:space="preserve">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31933"/>
    <w:rsid w:val="00042C57"/>
    <w:rsid w:val="0006763B"/>
    <w:rsid w:val="000B06E5"/>
    <w:rsid w:val="000F3305"/>
    <w:rsid w:val="000F55B0"/>
    <w:rsid w:val="00105D08"/>
    <w:rsid w:val="00107781"/>
    <w:rsid w:val="00143F96"/>
    <w:rsid w:val="00172A27"/>
    <w:rsid w:val="00183EEF"/>
    <w:rsid w:val="001A2E05"/>
    <w:rsid w:val="001D4718"/>
    <w:rsid w:val="001D6170"/>
    <w:rsid w:val="001E3CBE"/>
    <w:rsid w:val="001E5430"/>
    <w:rsid w:val="0023052C"/>
    <w:rsid w:val="002321E0"/>
    <w:rsid w:val="00256BA9"/>
    <w:rsid w:val="00257A0B"/>
    <w:rsid w:val="002809E4"/>
    <w:rsid w:val="00284783"/>
    <w:rsid w:val="002A4002"/>
    <w:rsid w:val="002B3C9C"/>
    <w:rsid w:val="002E37FE"/>
    <w:rsid w:val="002F6894"/>
    <w:rsid w:val="00303100"/>
    <w:rsid w:val="003151B9"/>
    <w:rsid w:val="0033745B"/>
    <w:rsid w:val="00384F02"/>
    <w:rsid w:val="003A147F"/>
    <w:rsid w:val="003B1A6D"/>
    <w:rsid w:val="003C0596"/>
    <w:rsid w:val="003E6FAE"/>
    <w:rsid w:val="003F2F9F"/>
    <w:rsid w:val="00426F76"/>
    <w:rsid w:val="00430203"/>
    <w:rsid w:val="00471C7F"/>
    <w:rsid w:val="00472E68"/>
    <w:rsid w:val="004956DC"/>
    <w:rsid w:val="004B1DBC"/>
    <w:rsid w:val="004B218F"/>
    <w:rsid w:val="004C3A69"/>
    <w:rsid w:val="004D0C44"/>
    <w:rsid w:val="004F219A"/>
    <w:rsid w:val="00503993"/>
    <w:rsid w:val="00545047"/>
    <w:rsid w:val="0054793D"/>
    <w:rsid w:val="00564FAE"/>
    <w:rsid w:val="005B7EA7"/>
    <w:rsid w:val="005F2D4A"/>
    <w:rsid w:val="00626B71"/>
    <w:rsid w:val="00634962"/>
    <w:rsid w:val="00637918"/>
    <w:rsid w:val="006616E2"/>
    <w:rsid w:val="00685C00"/>
    <w:rsid w:val="006B06B1"/>
    <w:rsid w:val="006D4457"/>
    <w:rsid w:val="006F03AC"/>
    <w:rsid w:val="007174BC"/>
    <w:rsid w:val="00735DBE"/>
    <w:rsid w:val="007650BD"/>
    <w:rsid w:val="007A69A9"/>
    <w:rsid w:val="007D18CD"/>
    <w:rsid w:val="007D4AA9"/>
    <w:rsid w:val="007E5E69"/>
    <w:rsid w:val="007F67C3"/>
    <w:rsid w:val="0080495D"/>
    <w:rsid w:val="00825319"/>
    <w:rsid w:val="00834453"/>
    <w:rsid w:val="00836ACF"/>
    <w:rsid w:val="00842324"/>
    <w:rsid w:val="00851C74"/>
    <w:rsid w:val="00863F3A"/>
    <w:rsid w:val="00890AD3"/>
    <w:rsid w:val="008B54EA"/>
    <w:rsid w:val="008C2A4E"/>
    <w:rsid w:val="008E340D"/>
    <w:rsid w:val="00937E5C"/>
    <w:rsid w:val="00947FB5"/>
    <w:rsid w:val="00951134"/>
    <w:rsid w:val="009516A4"/>
    <w:rsid w:val="009562B4"/>
    <w:rsid w:val="00961EDB"/>
    <w:rsid w:val="00997261"/>
    <w:rsid w:val="009B7F8A"/>
    <w:rsid w:val="009C02A1"/>
    <w:rsid w:val="009C6692"/>
    <w:rsid w:val="009E4A04"/>
    <w:rsid w:val="009E73E4"/>
    <w:rsid w:val="009F5A70"/>
    <w:rsid w:val="00A3249F"/>
    <w:rsid w:val="00AC21AD"/>
    <w:rsid w:val="00AD1301"/>
    <w:rsid w:val="00AD7192"/>
    <w:rsid w:val="00AD77E1"/>
    <w:rsid w:val="00AD7BDA"/>
    <w:rsid w:val="00AE315C"/>
    <w:rsid w:val="00B04561"/>
    <w:rsid w:val="00B82ABC"/>
    <w:rsid w:val="00BC594B"/>
    <w:rsid w:val="00BD211A"/>
    <w:rsid w:val="00BF3091"/>
    <w:rsid w:val="00C0404F"/>
    <w:rsid w:val="00C35A50"/>
    <w:rsid w:val="00C44A1E"/>
    <w:rsid w:val="00C80BB0"/>
    <w:rsid w:val="00C85BFA"/>
    <w:rsid w:val="00C97B70"/>
    <w:rsid w:val="00CA13DC"/>
    <w:rsid w:val="00CA3DAF"/>
    <w:rsid w:val="00CF0DFE"/>
    <w:rsid w:val="00D00469"/>
    <w:rsid w:val="00D02A44"/>
    <w:rsid w:val="00D04E36"/>
    <w:rsid w:val="00D25993"/>
    <w:rsid w:val="00D3646E"/>
    <w:rsid w:val="00D37DBA"/>
    <w:rsid w:val="00D53D3D"/>
    <w:rsid w:val="00D772A4"/>
    <w:rsid w:val="00D80A80"/>
    <w:rsid w:val="00D869B4"/>
    <w:rsid w:val="00DB63DD"/>
    <w:rsid w:val="00DD02B5"/>
    <w:rsid w:val="00DE2755"/>
    <w:rsid w:val="00DF5118"/>
    <w:rsid w:val="00E72497"/>
    <w:rsid w:val="00EC655D"/>
    <w:rsid w:val="00EE466A"/>
    <w:rsid w:val="00EE6A66"/>
    <w:rsid w:val="00F01295"/>
    <w:rsid w:val="00F103C7"/>
    <w:rsid w:val="00F60925"/>
    <w:rsid w:val="00F62C3E"/>
    <w:rsid w:val="00F70E1E"/>
    <w:rsid w:val="00F92DEC"/>
    <w:rsid w:val="00FA04E4"/>
    <w:rsid w:val="00FA292B"/>
    <w:rsid w:val="00FB1EDF"/>
    <w:rsid w:val="00FC0868"/>
    <w:rsid w:val="00FD0AC6"/>
    <w:rsid w:val="00FD0AC7"/>
    <w:rsid w:val="039B4CA9"/>
    <w:rsid w:val="04750083"/>
    <w:rsid w:val="09B660E2"/>
    <w:rsid w:val="0A9A6106"/>
    <w:rsid w:val="0DB23A51"/>
    <w:rsid w:val="11D27836"/>
    <w:rsid w:val="134D6F37"/>
    <w:rsid w:val="181E6709"/>
    <w:rsid w:val="1FAA2320"/>
    <w:rsid w:val="207055C1"/>
    <w:rsid w:val="254B4DE0"/>
    <w:rsid w:val="2D986467"/>
    <w:rsid w:val="2D9A22AF"/>
    <w:rsid w:val="2FC303FB"/>
    <w:rsid w:val="31601C2A"/>
    <w:rsid w:val="34034CF8"/>
    <w:rsid w:val="35030901"/>
    <w:rsid w:val="36302212"/>
    <w:rsid w:val="386413A3"/>
    <w:rsid w:val="38A0780B"/>
    <w:rsid w:val="3EA708A8"/>
    <w:rsid w:val="3ECC64DF"/>
    <w:rsid w:val="40D300AE"/>
    <w:rsid w:val="4206531B"/>
    <w:rsid w:val="423036E0"/>
    <w:rsid w:val="441351B4"/>
    <w:rsid w:val="457C4885"/>
    <w:rsid w:val="4BA01A75"/>
    <w:rsid w:val="52FA2975"/>
    <w:rsid w:val="553A0990"/>
    <w:rsid w:val="565C6223"/>
    <w:rsid w:val="588D2B02"/>
    <w:rsid w:val="59B22A97"/>
    <w:rsid w:val="5EDD1AC0"/>
    <w:rsid w:val="61B47279"/>
    <w:rsid w:val="63063C99"/>
    <w:rsid w:val="66252B4B"/>
    <w:rsid w:val="671F781C"/>
    <w:rsid w:val="69B05339"/>
    <w:rsid w:val="6ABF6C13"/>
    <w:rsid w:val="6D9B6215"/>
    <w:rsid w:val="6D9D209B"/>
    <w:rsid w:val="6DAC1010"/>
    <w:rsid w:val="6F011AD7"/>
    <w:rsid w:val="75497511"/>
    <w:rsid w:val="763B69D6"/>
    <w:rsid w:val="77220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50" w:beforeLines="50" w:line="360" w:lineRule="auto"/>
      <w:jc w:val="center"/>
      <w:outlineLvl w:val="0"/>
    </w:pPr>
    <w:rPr>
      <w:rFonts w:ascii="黑体" w:hAnsi="黑体" w:eastAsia="黑体"/>
      <w:kern w:val="44"/>
      <w:sz w:val="36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spacing w:before="50" w:beforeLines="50" w:after="50" w:afterLines="50"/>
      <w:outlineLvl w:val="1"/>
    </w:pPr>
    <w:rPr>
      <w:rFonts w:ascii="黑体" w:hAnsi="黑体" w:eastAsia="黑体"/>
      <w:bCs/>
      <w:sz w:val="30"/>
      <w:szCs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spacing w:before="50" w:beforeLines="50" w:after="50" w:afterLines="50" w:line="360" w:lineRule="auto"/>
      <w:outlineLvl w:val="2"/>
    </w:pPr>
    <w:rPr>
      <w:rFonts w:ascii="黑体" w:hAnsi="黑体" w:eastAsia="黑体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alloon Text"/>
    <w:basedOn w:val="1"/>
    <w:link w:val="12"/>
    <w:qFormat/>
    <w:uiPriority w:val="0"/>
    <w:rPr>
      <w:sz w:val="18"/>
      <w:szCs w:val="18"/>
    </w:rPr>
  </w:style>
  <w:style w:type="paragraph" w:styleId="6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批注框文本 字符"/>
    <w:basedOn w:val="10"/>
    <w:link w:val="5"/>
    <w:qFormat/>
    <w:uiPriority w:val="0"/>
    <w:rPr>
      <w:kern w:val="2"/>
      <w:sz w:val="18"/>
      <w:szCs w:val="18"/>
    </w:rPr>
  </w:style>
  <w:style w:type="character" w:customStyle="1" w:styleId="13">
    <w:name w:val="页脚 字符"/>
    <w:link w:val="6"/>
    <w:qFormat/>
    <w:locked/>
    <w:uiPriority w:val="0"/>
    <w:rPr>
      <w:kern w:val="2"/>
      <w:sz w:val="18"/>
      <w:szCs w:val="18"/>
    </w:rPr>
  </w:style>
  <w:style w:type="paragraph" w:styleId="14">
    <w:name w:val="List Paragraph"/>
    <w:basedOn w:val="1"/>
    <w:qFormat/>
    <w:uiPriority w:val="99"/>
    <w:pPr>
      <w:ind w:firstLine="420" w:firstLineChars="200"/>
    </w:pPr>
    <w:rPr>
      <w:color w:val="00008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4D33A42-67E9-4A10-9602-D26906F94B9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Kingsoft</Company>
  <Pages>3</Pages>
  <Words>128</Words>
  <Characters>734</Characters>
  <Lines>6</Lines>
  <Paragraphs>1</Paragraphs>
  <TotalTime>2</TotalTime>
  <ScaleCrop>false</ScaleCrop>
  <LinksUpToDate>false</LinksUpToDate>
  <CharactersWithSpaces>861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2019-03-05T04:30:00Z</dcterms:created>
  <dc:creator>遗忘。</dc:creator>
  <cp:lastModifiedBy>Administrator</cp:lastModifiedBy>
  <dcterms:modified xsi:type="dcterms:W3CDTF">2020-05-01T10:54:25Z</dcterms:modified>
  <cp:revision>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