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cs="仿宋" w:asciiTheme="minorEastAsia" w:hAnsiTheme="minorEastAsia" w:eastAsiaTheme="minorEastAsia"/>
          <w:b/>
          <w:sz w:val="32"/>
          <w:szCs w:val="32"/>
        </w:rPr>
      </w:pPr>
      <w:r>
        <w:rPr>
          <w:rFonts w:hint="eastAsia" w:cs="仿宋" w:asciiTheme="minorEastAsia" w:hAnsiTheme="minorEastAsia" w:eastAsiaTheme="minorEastAsia"/>
          <w:b/>
          <w:sz w:val="32"/>
          <w:szCs w:val="32"/>
        </w:rPr>
        <w:t>普枫建设项目监理周报</w:t>
      </w:r>
    </w:p>
    <w:p>
      <w:pPr>
        <w:tabs>
          <w:tab w:val="left" w:pos="420"/>
          <w:tab w:val="left" w:pos="540"/>
        </w:tabs>
        <w:rPr>
          <w:rFonts w:cs="仿宋" w:asciiTheme="minorEastAsia" w:hAnsiTheme="minorEastAsia" w:eastAsiaTheme="minorEastAsia"/>
          <w:b/>
          <w:szCs w:val="21"/>
        </w:rPr>
      </w:pPr>
      <w:r>
        <w:rPr>
          <w:rFonts w:hint="eastAsia" w:cs="仿宋" w:asciiTheme="minorEastAsia" w:hAnsiTheme="minorEastAsia" w:eastAsiaTheme="minorEastAsia"/>
          <w:b/>
          <w:szCs w:val="21"/>
        </w:rPr>
        <w:t>一、项目基本信息：</w:t>
      </w:r>
    </w:p>
    <w:tbl>
      <w:tblPr>
        <w:tblStyle w:val="9"/>
        <w:tblW w:w="102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5670"/>
        <w:gridCol w:w="24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7" w:type="dxa"/>
          </w:tcPr>
          <w:p>
            <w:pPr>
              <w:tabs>
                <w:tab w:val="left" w:pos="540"/>
              </w:tabs>
              <w:jc w:val="center"/>
              <w:rPr>
                <w:rFonts w:cs="仿宋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</w:rPr>
              <w:t>区域</w:t>
            </w:r>
          </w:p>
        </w:tc>
        <w:tc>
          <w:tcPr>
            <w:tcW w:w="5670" w:type="dxa"/>
          </w:tcPr>
          <w:p>
            <w:pPr>
              <w:tabs>
                <w:tab w:val="left" w:pos="540"/>
              </w:tabs>
              <w:jc w:val="center"/>
              <w:rPr>
                <w:rFonts w:cs="仿宋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</w:rPr>
              <w:t>项目及容量</w:t>
            </w:r>
          </w:p>
        </w:tc>
        <w:tc>
          <w:tcPr>
            <w:tcW w:w="2404" w:type="dxa"/>
          </w:tcPr>
          <w:p>
            <w:pPr>
              <w:tabs>
                <w:tab w:val="left" w:pos="540"/>
              </w:tabs>
              <w:jc w:val="center"/>
              <w:rPr>
                <w:rFonts w:cs="仿宋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</w:rPr>
              <w:t>状态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2127" w:type="dxa"/>
            <w:vMerge w:val="restart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  <w:t>杭州</w:t>
            </w:r>
          </w:p>
        </w:tc>
        <w:tc>
          <w:tcPr>
            <w:tcW w:w="5670" w:type="dxa"/>
            <w:vAlign w:val="center"/>
          </w:tcPr>
          <w:p>
            <w:pPr>
              <w:rPr>
                <w:rFonts w:cs="仿宋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杭州普枫新能源杭州物流园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1.5MWp分布式光伏发电项目</w:t>
            </w:r>
          </w:p>
        </w:tc>
        <w:tc>
          <w:tcPr>
            <w:tcW w:w="2404" w:type="dxa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hint="default" w:cs="仿宋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  <w:t>暂停施工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2127" w:type="dxa"/>
            <w:vMerge w:val="continue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cs="仿宋" w:asciiTheme="minorEastAsia" w:hAnsiTheme="minorEastAsia" w:eastAsiaTheme="minorEastAsia"/>
                <w:b/>
                <w:szCs w:val="21"/>
              </w:rPr>
            </w:pPr>
          </w:p>
        </w:tc>
        <w:tc>
          <w:tcPr>
            <w:tcW w:w="5670" w:type="dxa"/>
            <w:vAlign w:val="center"/>
          </w:tcPr>
          <w:p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杭州普枫新能源临江物流园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1MWp分布式光伏发电项目</w:t>
            </w:r>
          </w:p>
        </w:tc>
        <w:tc>
          <w:tcPr>
            <w:tcW w:w="2404" w:type="dxa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cs="仿宋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  <w:t>正常施工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2127" w:type="dxa"/>
            <w:vMerge w:val="continue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cs="仿宋" w:asciiTheme="minorEastAsia" w:hAnsiTheme="minorEastAsia" w:eastAsiaTheme="minorEastAsia"/>
                <w:b/>
                <w:szCs w:val="21"/>
              </w:rPr>
            </w:pPr>
          </w:p>
        </w:tc>
        <w:tc>
          <w:tcPr>
            <w:tcW w:w="5670" w:type="dxa"/>
            <w:vAlign w:val="center"/>
          </w:tcPr>
          <w:p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杭州普枫新能源临江南物流园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0.85MWp分布式光伏发电项目</w:t>
            </w:r>
          </w:p>
        </w:tc>
        <w:tc>
          <w:tcPr>
            <w:tcW w:w="2404" w:type="dxa"/>
            <w:vAlign w:val="center"/>
          </w:tcPr>
          <w:p>
            <w:pPr>
              <w:tabs>
                <w:tab w:val="left" w:pos="312"/>
              </w:tabs>
              <w:jc w:val="center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  <w:t>正常施工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2127" w:type="dxa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hint="eastAsia" w:cs="仿宋" w:asciiTheme="minorEastAsia" w:hAnsiTheme="minorEastAsia" w:eastAsiaTheme="minorEastAsia"/>
                <w:b/>
                <w:szCs w:val="21"/>
                <w:lang w:eastAsia="zh-CN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  <w:lang w:eastAsia="zh-CN"/>
              </w:rPr>
              <w:t>嘉兴</w:t>
            </w:r>
          </w:p>
        </w:tc>
        <w:tc>
          <w:tcPr>
            <w:tcW w:w="5670" w:type="dxa"/>
            <w:vAlign w:val="center"/>
          </w:tcPr>
          <w:p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嘉兴市普枫新能源有限责任公司1.6MWp（平嘉仓储）分布式发电项目</w:t>
            </w:r>
          </w:p>
        </w:tc>
        <w:tc>
          <w:tcPr>
            <w:tcW w:w="2404" w:type="dxa"/>
            <w:vAlign w:val="center"/>
          </w:tcPr>
          <w:p>
            <w:pPr>
              <w:tabs>
                <w:tab w:val="left" w:pos="312"/>
              </w:tabs>
              <w:jc w:val="center"/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  <w:t>未施工</w:t>
            </w:r>
          </w:p>
        </w:tc>
      </w:tr>
    </w:tbl>
    <w:p>
      <w:pPr>
        <w:tabs>
          <w:tab w:val="left" w:pos="540"/>
        </w:tabs>
        <w:rPr>
          <w:rFonts w:cs="仿宋" w:asciiTheme="minorEastAsia" w:hAnsiTheme="minorEastAsia" w:eastAsiaTheme="minorEastAsia"/>
          <w:b/>
          <w:szCs w:val="21"/>
        </w:rPr>
      </w:pPr>
    </w:p>
    <w:p>
      <w:pPr>
        <w:tabs>
          <w:tab w:val="left" w:pos="420"/>
          <w:tab w:val="left" w:pos="540"/>
        </w:tabs>
        <w:rPr>
          <w:rFonts w:asciiTheme="minorEastAsia" w:hAnsiTheme="minorEastAsia" w:eastAsiaTheme="minorEastAsia"/>
          <w:b/>
          <w:szCs w:val="21"/>
        </w:rPr>
      </w:pPr>
      <w:r>
        <w:rPr>
          <w:rFonts w:hint="eastAsia" w:asciiTheme="minorEastAsia" w:hAnsiTheme="minorEastAsia" w:eastAsiaTheme="minorEastAsia"/>
          <w:b/>
          <w:szCs w:val="21"/>
        </w:rPr>
        <w:t>二、现场安全、进度质量等状况</w:t>
      </w:r>
    </w:p>
    <w:tbl>
      <w:tblPr>
        <w:tblStyle w:val="8"/>
        <w:tblW w:w="101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8"/>
        <w:gridCol w:w="1331"/>
        <w:gridCol w:w="1316"/>
        <w:gridCol w:w="383"/>
        <w:gridCol w:w="986"/>
        <w:gridCol w:w="451"/>
        <w:gridCol w:w="851"/>
        <w:gridCol w:w="378"/>
        <w:gridCol w:w="859"/>
        <w:gridCol w:w="1237"/>
        <w:gridCol w:w="11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1228" w:type="dxa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报告项目</w:t>
            </w:r>
          </w:p>
        </w:tc>
        <w:tc>
          <w:tcPr>
            <w:tcW w:w="8955" w:type="dxa"/>
            <w:gridSpan w:val="10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情况概括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  <w:jc w:val="center"/>
        </w:trPr>
        <w:tc>
          <w:tcPr>
            <w:tcW w:w="1228" w:type="dxa"/>
            <w:vMerge w:val="restart"/>
            <w:vAlign w:val="center"/>
          </w:tcPr>
          <w:p>
            <w:pPr>
              <w:ind w:right="252" w:rightChars="120"/>
              <w:jc w:val="center"/>
              <w:rPr>
                <w:rFonts w:cs="仿宋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</w:rPr>
              <w:t>上周天气</w:t>
            </w:r>
          </w:p>
        </w:tc>
        <w:tc>
          <w:tcPr>
            <w:tcW w:w="1331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05/08</w:t>
            </w:r>
          </w:p>
        </w:tc>
        <w:tc>
          <w:tcPr>
            <w:tcW w:w="1316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05/09</w:t>
            </w:r>
          </w:p>
        </w:tc>
        <w:tc>
          <w:tcPr>
            <w:tcW w:w="1369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05/10</w:t>
            </w:r>
          </w:p>
        </w:tc>
        <w:tc>
          <w:tcPr>
            <w:tcW w:w="1302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05/11</w:t>
            </w:r>
          </w:p>
        </w:tc>
        <w:tc>
          <w:tcPr>
            <w:tcW w:w="1237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05/12</w:t>
            </w:r>
          </w:p>
        </w:tc>
        <w:tc>
          <w:tcPr>
            <w:tcW w:w="1237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05/13</w:t>
            </w:r>
          </w:p>
        </w:tc>
        <w:tc>
          <w:tcPr>
            <w:tcW w:w="1163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05/14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ind w:right="252" w:rightChars="120"/>
              <w:jc w:val="center"/>
              <w:rPr>
                <w:rFonts w:cs="仿宋" w:asciiTheme="minorEastAsia" w:hAnsiTheme="minorEastAsia" w:eastAsiaTheme="minorEastAsia"/>
                <w:color w:val="000000"/>
                <w:szCs w:val="21"/>
              </w:rPr>
            </w:pPr>
          </w:p>
        </w:tc>
        <w:tc>
          <w:tcPr>
            <w:tcW w:w="1331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23-33℃</w:t>
            </w:r>
          </w:p>
        </w:tc>
        <w:tc>
          <w:tcPr>
            <w:tcW w:w="1316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19-27℃</w:t>
            </w:r>
          </w:p>
        </w:tc>
        <w:tc>
          <w:tcPr>
            <w:tcW w:w="1369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17-23℃</w:t>
            </w:r>
          </w:p>
        </w:tc>
        <w:tc>
          <w:tcPr>
            <w:tcW w:w="1302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17-29℃</w:t>
            </w:r>
          </w:p>
        </w:tc>
        <w:tc>
          <w:tcPr>
            <w:tcW w:w="1237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17-29℃</w:t>
            </w:r>
          </w:p>
        </w:tc>
        <w:tc>
          <w:tcPr>
            <w:tcW w:w="1237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19-29℃</w:t>
            </w:r>
          </w:p>
        </w:tc>
        <w:tc>
          <w:tcPr>
            <w:tcW w:w="1163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22-29℃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ind w:right="252" w:rightChars="120"/>
              <w:jc w:val="center"/>
              <w:rPr>
                <w:rFonts w:cs="仿宋" w:asciiTheme="minorEastAsia" w:hAnsiTheme="minorEastAsia" w:eastAsiaTheme="minorEastAsia"/>
                <w:color w:val="000000"/>
                <w:szCs w:val="21"/>
              </w:rPr>
            </w:pPr>
          </w:p>
        </w:tc>
        <w:tc>
          <w:tcPr>
            <w:tcW w:w="1331" w:type="dxa"/>
            <w:vAlign w:val="center"/>
          </w:tcPr>
          <w:p>
            <w:pPr>
              <w:ind w:right="252" w:rightChars="120"/>
              <w:jc w:val="center"/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阴转小雨</w:t>
            </w:r>
          </w:p>
        </w:tc>
        <w:tc>
          <w:tcPr>
            <w:tcW w:w="1316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阴转小雨</w:t>
            </w:r>
          </w:p>
        </w:tc>
        <w:tc>
          <w:tcPr>
            <w:tcW w:w="1369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小雨转阴</w:t>
            </w:r>
          </w:p>
        </w:tc>
        <w:tc>
          <w:tcPr>
            <w:tcW w:w="1302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阴转多云</w:t>
            </w:r>
          </w:p>
        </w:tc>
        <w:tc>
          <w:tcPr>
            <w:tcW w:w="1237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多云</w:t>
            </w:r>
          </w:p>
        </w:tc>
        <w:tc>
          <w:tcPr>
            <w:tcW w:w="1237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多云</w:t>
            </w:r>
          </w:p>
        </w:tc>
        <w:tc>
          <w:tcPr>
            <w:tcW w:w="1163" w:type="dxa"/>
            <w:vAlign w:val="center"/>
          </w:tcPr>
          <w:p>
            <w:pPr>
              <w:ind w:right="252" w:rightChars="120"/>
              <w:jc w:val="center"/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多云</w:t>
            </w:r>
          </w:p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转阴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  <w:jc w:val="center"/>
        </w:trPr>
        <w:tc>
          <w:tcPr>
            <w:tcW w:w="1228" w:type="dxa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cs="仿宋" w:asciiTheme="minorEastAsia" w:hAnsiTheme="minorEastAsia" w:eastAsiaTheme="minorEastAsia"/>
                <w:szCs w:val="21"/>
              </w:rPr>
              <w:t>原材料进场</w:t>
            </w:r>
          </w:p>
        </w:tc>
        <w:tc>
          <w:tcPr>
            <w:tcW w:w="8955" w:type="dxa"/>
            <w:gridSpan w:val="10"/>
            <w:vAlign w:val="center"/>
          </w:tcPr>
          <w:p>
            <w:pPr>
              <w:rPr>
                <w:rFonts w:hint="eastAsia" w:cs="仿宋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eastAsia="zh-CN"/>
              </w:rPr>
              <w:t>夹具</w:t>
            </w: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及支架已进场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1228" w:type="dxa"/>
            <w:vMerge w:val="restart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工程进度</w:t>
            </w:r>
          </w:p>
        </w:tc>
        <w:tc>
          <w:tcPr>
            <w:tcW w:w="5696" w:type="dxa"/>
            <w:gridSpan w:val="7"/>
            <w:vAlign w:val="center"/>
          </w:tcPr>
          <w:p>
            <w:pPr>
              <w:tabs>
                <w:tab w:val="left" w:pos="360"/>
                <w:tab w:val="left" w:pos="425"/>
              </w:tabs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计划</w:t>
            </w:r>
          </w:p>
        </w:tc>
        <w:tc>
          <w:tcPr>
            <w:tcW w:w="3259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实际完成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8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3030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left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杭州普枫新能源杭州物流园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1.5MWp分布式光伏发电项目</w:t>
            </w:r>
          </w:p>
        </w:tc>
        <w:tc>
          <w:tcPr>
            <w:tcW w:w="2666" w:type="dxa"/>
            <w:gridSpan w:val="4"/>
            <w:vAlign w:val="center"/>
          </w:tcPr>
          <w:p>
            <w:pPr>
              <w:numPr>
                <w:ilvl w:val="0"/>
                <w:numId w:val="0"/>
              </w:numPr>
              <w:tabs>
                <w:tab w:val="left" w:pos="312"/>
              </w:tabs>
              <w:ind w:left="0" w:leftChars="0" w:firstLine="0" w:firstLineChars="0"/>
              <w:jc w:val="center"/>
              <w:rPr>
                <w:rFonts w:hint="default" w:cs="仿宋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/</w:t>
            </w:r>
          </w:p>
        </w:tc>
        <w:tc>
          <w:tcPr>
            <w:tcW w:w="3259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center"/>
              <w:rPr>
                <w:rFonts w:hint="default" w:cs="仿宋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3030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left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杭州普枫新能源临江物流园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1MWp分布式光伏发电项目</w:t>
            </w:r>
          </w:p>
        </w:tc>
        <w:tc>
          <w:tcPr>
            <w:tcW w:w="2666" w:type="dxa"/>
            <w:gridSpan w:val="4"/>
            <w:vAlign w:val="center"/>
          </w:tcPr>
          <w:p>
            <w:pPr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B2屋顶加固安装。</w:t>
            </w:r>
          </w:p>
        </w:tc>
        <w:tc>
          <w:tcPr>
            <w:tcW w:w="3259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B2屋顶加固安装累计完成89%。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3030" w:type="dxa"/>
            <w:gridSpan w:val="3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杭州普枫新能源临江南物流园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0.85MWp分布式光伏发电项目</w:t>
            </w:r>
          </w:p>
        </w:tc>
        <w:tc>
          <w:tcPr>
            <w:tcW w:w="2666" w:type="dxa"/>
            <w:gridSpan w:val="4"/>
            <w:vAlign w:val="center"/>
          </w:tcPr>
          <w:p>
            <w:pPr>
              <w:numPr>
                <w:ilvl w:val="0"/>
                <w:numId w:val="0"/>
              </w:numPr>
              <w:tabs>
                <w:tab w:val="left" w:pos="312"/>
              </w:tabs>
              <w:ind w:left="0" w:leftChars="0" w:firstLine="0" w:firstLineChars="0"/>
              <w:jc w:val="left"/>
              <w:rPr>
                <w:rFonts w:hint="default" w:cs="仿宋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A3屋顶面支架安装。</w:t>
            </w:r>
          </w:p>
        </w:tc>
        <w:tc>
          <w:tcPr>
            <w:tcW w:w="3259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A3屋顶面支架安装完成100%。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3030" w:type="dxa"/>
            <w:gridSpan w:val="3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嘉兴市普枫新能源有限责任公司1.6MWp（平嘉仓储）分布式发电项目</w:t>
            </w:r>
          </w:p>
        </w:tc>
        <w:tc>
          <w:tcPr>
            <w:tcW w:w="2666" w:type="dxa"/>
            <w:gridSpan w:val="4"/>
            <w:vAlign w:val="center"/>
          </w:tcPr>
          <w:p>
            <w:pPr>
              <w:numPr>
                <w:ilvl w:val="0"/>
                <w:numId w:val="0"/>
              </w:numPr>
              <w:tabs>
                <w:tab w:val="left" w:pos="312"/>
              </w:tabs>
              <w:jc w:val="center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/</w:t>
            </w:r>
          </w:p>
        </w:tc>
        <w:tc>
          <w:tcPr>
            <w:tcW w:w="3259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center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质量监督</w:t>
            </w:r>
          </w:p>
        </w:tc>
        <w:tc>
          <w:tcPr>
            <w:tcW w:w="8955" w:type="dxa"/>
            <w:gridSpan w:val="10"/>
          </w:tcPr>
          <w:p>
            <w:pPr>
              <w:jc w:val="left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1监理日常监督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  <w:jc w:val="center"/>
        </w:trPr>
        <w:tc>
          <w:tcPr>
            <w:tcW w:w="1228" w:type="dxa"/>
            <w:vMerge w:val="restart"/>
            <w:vAlign w:val="center"/>
          </w:tcPr>
          <w:p>
            <w:pPr>
              <w:jc w:val="center"/>
              <w:rPr>
                <w:rFonts w:hint="eastAsia"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下周重点</w:t>
            </w:r>
          </w:p>
          <w:p>
            <w:pPr>
              <w:jc w:val="center"/>
              <w:rPr>
                <w:rFonts w:cs="Arial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工作</w:t>
            </w:r>
          </w:p>
        </w:tc>
        <w:tc>
          <w:tcPr>
            <w:tcW w:w="4467" w:type="dxa"/>
            <w:gridSpan w:val="5"/>
            <w:vAlign w:val="center"/>
          </w:tcPr>
          <w:p>
            <w:pPr>
              <w:tabs>
                <w:tab w:val="left" w:pos="360"/>
                <w:tab w:val="left" w:pos="425"/>
              </w:tabs>
              <w:jc w:val="left"/>
              <w:rPr>
                <w:rFonts w:cs="仿宋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杭州普枫新能源杭州物流园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1.5MWp分布式光伏发电项目</w:t>
            </w:r>
          </w:p>
        </w:tc>
        <w:tc>
          <w:tcPr>
            <w:tcW w:w="4488" w:type="dxa"/>
            <w:gridSpan w:val="5"/>
            <w:vAlign w:val="center"/>
          </w:tcPr>
          <w:p>
            <w:pPr>
              <w:tabs>
                <w:tab w:val="left" w:pos="312"/>
              </w:tabs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南区B1B2等组件到货安装；北区A2屋顶结构需加固。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4467" w:type="dxa"/>
            <w:gridSpan w:val="5"/>
            <w:vAlign w:val="center"/>
          </w:tcPr>
          <w:p>
            <w:pPr>
              <w:tabs>
                <w:tab w:val="left" w:pos="360"/>
                <w:tab w:val="left" w:pos="425"/>
              </w:tabs>
              <w:jc w:val="left"/>
              <w:rPr>
                <w:rFonts w:cs="仿宋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杭州普枫新能源临江物流园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1MWp分布式光伏发电项目</w:t>
            </w:r>
          </w:p>
        </w:tc>
        <w:tc>
          <w:tcPr>
            <w:tcW w:w="4488" w:type="dxa"/>
            <w:gridSpan w:val="5"/>
            <w:vAlign w:val="center"/>
          </w:tcPr>
          <w:p>
            <w:pPr>
              <w:tabs>
                <w:tab w:val="left" w:pos="312"/>
              </w:tabs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屋顶加固安装旁站，开展巡视及工序检查工作。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4467" w:type="dxa"/>
            <w:gridSpan w:val="5"/>
            <w:vAlign w:val="center"/>
          </w:tcPr>
          <w:p>
            <w:pPr>
              <w:jc w:val="left"/>
              <w:rPr>
                <w:rFonts w:cs="Times New Roman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杭州普枫新能源临江南物流园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0.85MWp分布式光伏发电项目</w:t>
            </w:r>
          </w:p>
        </w:tc>
        <w:tc>
          <w:tcPr>
            <w:tcW w:w="4488" w:type="dxa"/>
            <w:gridSpan w:val="5"/>
            <w:vAlign w:val="center"/>
          </w:tcPr>
          <w:p>
            <w:pPr>
              <w:tabs>
                <w:tab w:val="left" w:pos="312"/>
              </w:tabs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A2A3屋面等组件到货安装。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4467" w:type="dxa"/>
            <w:gridSpan w:val="5"/>
            <w:vAlign w:val="center"/>
          </w:tcPr>
          <w:p>
            <w:pPr>
              <w:jc w:val="left"/>
              <w:rPr>
                <w:rFonts w:cs="Times New Roman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嘉兴市普枫新能源有限责任公司1.6MWp（平嘉仓储）分布式发电项目</w:t>
            </w:r>
          </w:p>
        </w:tc>
        <w:tc>
          <w:tcPr>
            <w:tcW w:w="4488" w:type="dxa"/>
            <w:gridSpan w:val="5"/>
            <w:vAlign w:val="center"/>
          </w:tcPr>
          <w:p>
            <w:pPr>
              <w:tabs>
                <w:tab w:val="left" w:pos="312"/>
              </w:tabs>
              <w:jc w:val="center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屋顶加固安装旁站，开展巡视及工序检查工作。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228" w:type="dxa"/>
            <w:vAlign w:val="center"/>
          </w:tcPr>
          <w:p>
            <w:pPr>
              <w:jc w:val="center"/>
              <w:rPr>
                <w:rFonts w:hint="eastAsia"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急需协调</w:t>
            </w:r>
          </w:p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事宜</w:t>
            </w:r>
          </w:p>
        </w:tc>
        <w:tc>
          <w:tcPr>
            <w:tcW w:w="8955" w:type="dxa"/>
            <w:gridSpan w:val="10"/>
            <w:vAlign w:val="center"/>
          </w:tcPr>
          <w:p>
            <w:pPr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施工进度缓慢皆因组件等材料未到货，望业主与总包沟通协调。</w:t>
            </w:r>
            <w:bookmarkStart w:id="0" w:name="_GoBack"/>
            <w:bookmarkEnd w:id="0"/>
          </w:p>
        </w:tc>
      </w:tr>
    </w:tbl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3183255" cy="2802255"/>
            <wp:effectExtent l="0" t="0" r="17145" b="17145"/>
            <wp:docPr id="1" name="图片 1" descr="18ec4a9a75115dc76dfb3367fbc72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8ec4a9a75115dc76dfb3367fbc729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3255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3340735" cy="2794000"/>
            <wp:effectExtent l="0" t="0" r="12065" b="6350"/>
            <wp:docPr id="2" name="图片 2" descr="289c02837b93d51ebe28e8fea432b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89c02837b93d51ebe28e8fea432b6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3168650" cy="2621915"/>
            <wp:effectExtent l="0" t="0" r="12700" b="6985"/>
            <wp:docPr id="5" name="图片 5" descr="20200513-133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00513-1335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3312795" cy="2602230"/>
            <wp:effectExtent l="0" t="0" r="1905" b="7620"/>
            <wp:docPr id="6" name="图片 6" descr="20200513-133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00513-1333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sectPr>
      <w:headerReference r:id="rId3" w:type="default"/>
      <w:footerReference r:id="rId4" w:type="default"/>
      <w:pgSz w:w="11906" w:h="16838"/>
      <w:pgMar w:top="720" w:right="720" w:bottom="720" w:left="720" w:header="568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359" w:leftChars="171"/>
      <w:jc w:val="center"/>
    </w:pPr>
    <w:r>
      <w:fldChar w:fldCharType="begin"/>
    </w:r>
    <w:r>
      <w:rPr>
        <w:rStyle w:val="11"/>
      </w:rPr>
      <w:instrText xml:space="preserve"> PAGE </w:instrText>
    </w:r>
    <w:r>
      <w:fldChar w:fldCharType="separate"/>
    </w:r>
    <w:r>
      <w:rPr>
        <w:rStyle w:val="11"/>
      </w:rPr>
      <w:t>- 3 -</w:t>
    </w:r>
    <w: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1843"/>
      </w:tabs>
      <w:ind w:right="252" w:rightChars="120"/>
      <w:jc w:val="right"/>
    </w:pPr>
    <w:r>
      <w:rPr>
        <w:rFonts w:hint="eastAsia"/>
      </w:rPr>
      <w:t xml:space="preserve">                                                                            </w:t>
    </w:r>
    <w:r>
      <w:drawing>
        <wp:inline distT="0" distB="0" distL="114300" distR="114300">
          <wp:extent cx="1344930" cy="466725"/>
          <wp:effectExtent l="0" t="0" r="11430" b="5715"/>
          <wp:docPr id="23" name="图片 28" descr="150312_GLP_main_logo_b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28" descr="150312_GLP_main_logo_bi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493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</w:p>
  <w:p>
    <w:pPr>
      <w:pStyle w:val="7"/>
      <w:ind w:left="-141" w:leftChars="-67"/>
      <w:jc w:val="both"/>
    </w:pPr>
    <w:r>
      <w:rPr>
        <w:rFonts w:hint="eastAsia"/>
      </w:rPr>
      <w:t xml:space="preserve">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31933"/>
    <w:rsid w:val="00042C57"/>
    <w:rsid w:val="0006763B"/>
    <w:rsid w:val="000B06E5"/>
    <w:rsid w:val="000F3305"/>
    <w:rsid w:val="000F55B0"/>
    <w:rsid w:val="00105D08"/>
    <w:rsid w:val="00107781"/>
    <w:rsid w:val="00143F96"/>
    <w:rsid w:val="00172A27"/>
    <w:rsid w:val="00183EEF"/>
    <w:rsid w:val="001A2E05"/>
    <w:rsid w:val="001D4718"/>
    <w:rsid w:val="001D6170"/>
    <w:rsid w:val="001E3CBE"/>
    <w:rsid w:val="001E5430"/>
    <w:rsid w:val="0023052C"/>
    <w:rsid w:val="002321E0"/>
    <w:rsid w:val="00256BA9"/>
    <w:rsid w:val="00257A0B"/>
    <w:rsid w:val="002809E4"/>
    <w:rsid w:val="00284783"/>
    <w:rsid w:val="002A4002"/>
    <w:rsid w:val="002B3C9C"/>
    <w:rsid w:val="002E37FE"/>
    <w:rsid w:val="002F6894"/>
    <w:rsid w:val="00303100"/>
    <w:rsid w:val="003151B9"/>
    <w:rsid w:val="0033745B"/>
    <w:rsid w:val="00384F02"/>
    <w:rsid w:val="003A147F"/>
    <w:rsid w:val="003B1A6D"/>
    <w:rsid w:val="003C0596"/>
    <w:rsid w:val="003E6FAE"/>
    <w:rsid w:val="003F2F9F"/>
    <w:rsid w:val="00426F76"/>
    <w:rsid w:val="00430203"/>
    <w:rsid w:val="00471C7F"/>
    <w:rsid w:val="00472E68"/>
    <w:rsid w:val="004956DC"/>
    <w:rsid w:val="004B1DBC"/>
    <w:rsid w:val="004B218F"/>
    <w:rsid w:val="004C3A69"/>
    <w:rsid w:val="004D0C44"/>
    <w:rsid w:val="004F219A"/>
    <w:rsid w:val="00503993"/>
    <w:rsid w:val="00545047"/>
    <w:rsid w:val="0054793D"/>
    <w:rsid w:val="00564FAE"/>
    <w:rsid w:val="005B7EA7"/>
    <w:rsid w:val="005F2D4A"/>
    <w:rsid w:val="00626B71"/>
    <w:rsid w:val="00634962"/>
    <w:rsid w:val="00637918"/>
    <w:rsid w:val="006616E2"/>
    <w:rsid w:val="00685C00"/>
    <w:rsid w:val="006B06B1"/>
    <w:rsid w:val="006D4457"/>
    <w:rsid w:val="006F03AC"/>
    <w:rsid w:val="007174BC"/>
    <w:rsid w:val="00735DBE"/>
    <w:rsid w:val="007650BD"/>
    <w:rsid w:val="007A69A9"/>
    <w:rsid w:val="007D18CD"/>
    <w:rsid w:val="007D4AA9"/>
    <w:rsid w:val="007E5E69"/>
    <w:rsid w:val="007F67C3"/>
    <w:rsid w:val="0080495D"/>
    <w:rsid w:val="00825319"/>
    <w:rsid w:val="00834453"/>
    <w:rsid w:val="00836ACF"/>
    <w:rsid w:val="00842324"/>
    <w:rsid w:val="00851C74"/>
    <w:rsid w:val="00863F3A"/>
    <w:rsid w:val="00890AD3"/>
    <w:rsid w:val="008B54EA"/>
    <w:rsid w:val="008C2A4E"/>
    <w:rsid w:val="008E340D"/>
    <w:rsid w:val="00937E5C"/>
    <w:rsid w:val="00947FB5"/>
    <w:rsid w:val="00951134"/>
    <w:rsid w:val="009516A4"/>
    <w:rsid w:val="009562B4"/>
    <w:rsid w:val="00961EDB"/>
    <w:rsid w:val="00997261"/>
    <w:rsid w:val="009B7F8A"/>
    <w:rsid w:val="009C02A1"/>
    <w:rsid w:val="009C6692"/>
    <w:rsid w:val="009E4A04"/>
    <w:rsid w:val="009E73E4"/>
    <w:rsid w:val="009F5A70"/>
    <w:rsid w:val="00A3249F"/>
    <w:rsid w:val="00AC21AD"/>
    <w:rsid w:val="00AD1301"/>
    <w:rsid w:val="00AD7192"/>
    <w:rsid w:val="00AD77E1"/>
    <w:rsid w:val="00AD7BDA"/>
    <w:rsid w:val="00AE315C"/>
    <w:rsid w:val="00B04561"/>
    <w:rsid w:val="00B82ABC"/>
    <w:rsid w:val="00BC594B"/>
    <w:rsid w:val="00BD211A"/>
    <w:rsid w:val="00BF3091"/>
    <w:rsid w:val="00C0404F"/>
    <w:rsid w:val="00C35A50"/>
    <w:rsid w:val="00C44A1E"/>
    <w:rsid w:val="00C80BB0"/>
    <w:rsid w:val="00C85BFA"/>
    <w:rsid w:val="00C97B70"/>
    <w:rsid w:val="00CA13DC"/>
    <w:rsid w:val="00CA3DAF"/>
    <w:rsid w:val="00CF0DFE"/>
    <w:rsid w:val="00D00469"/>
    <w:rsid w:val="00D02A44"/>
    <w:rsid w:val="00D04E36"/>
    <w:rsid w:val="00D25993"/>
    <w:rsid w:val="00D3646E"/>
    <w:rsid w:val="00D37DBA"/>
    <w:rsid w:val="00D53D3D"/>
    <w:rsid w:val="00D772A4"/>
    <w:rsid w:val="00D80A80"/>
    <w:rsid w:val="00D869B4"/>
    <w:rsid w:val="00DB63DD"/>
    <w:rsid w:val="00DD02B5"/>
    <w:rsid w:val="00DE2755"/>
    <w:rsid w:val="00DF5118"/>
    <w:rsid w:val="00E72497"/>
    <w:rsid w:val="00EC655D"/>
    <w:rsid w:val="00EE466A"/>
    <w:rsid w:val="00EE6A66"/>
    <w:rsid w:val="00F01295"/>
    <w:rsid w:val="00F103C7"/>
    <w:rsid w:val="00F60925"/>
    <w:rsid w:val="00F62C3E"/>
    <w:rsid w:val="00F70E1E"/>
    <w:rsid w:val="00F92DEC"/>
    <w:rsid w:val="00FA04E4"/>
    <w:rsid w:val="00FA292B"/>
    <w:rsid w:val="00FB1EDF"/>
    <w:rsid w:val="00FC0868"/>
    <w:rsid w:val="00FD0AC6"/>
    <w:rsid w:val="00FD0AC7"/>
    <w:rsid w:val="039B4CA9"/>
    <w:rsid w:val="04750083"/>
    <w:rsid w:val="09B660E2"/>
    <w:rsid w:val="0A9A6106"/>
    <w:rsid w:val="0DB23A51"/>
    <w:rsid w:val="11D27836"/>
    <w:rsid w:val="134D6F37"/>
    <w:rsid w:val="181E6709"/>
    <w:rsid w:val="1CC23821"/>
    <w:rsid w:val="1FAA2320"/>
    <w:rsid w:val="207055C1"/>
    <w:rsid w:val="254B4DE0"/>
    <w:rsid w:val="2D986467"/>
    <w:rsid w:val="2D9A22AF"/>
    <w:rsid w:val="2FC303FB"/>
    <w:rsid w:val="31601C2A"/>
    <w:rsid w:val="34034CF8"/>
    <w:rsid w:val="35030901"/>
    <w:rsid w:val="36302212"/>
    <w:rsid w:val="386413A3"/>
    <w:rsid w:val="38A0780B"/>
    <w:rsid w:val="3EA708A8"/>
    <w:rsid w:val="3ECC64DF"/>
    <w:rsid w:val="40D127E0"/>
    <w:rsid w:val="40D300AE"/>
    <w:rsid w:val="4206531B"/>
    <w:rsid w:val="423036E0"/>
    <w:rsid w:val="441351B4"/>
    <w:rsid w:val="457C4885"/>
    <w:rsid w:val="4BA01A75"/>
    <w:rsid w:val="52FA2975"/>
    <w:rsid w:val="553A0990"/>
    <w:rsid w:val="565C6223"/>
    <w:rsid w:val="588D2B02"/>
    <w:rsid w:val="59B22A97"/>
    <w:rsid w:val="5EDD1AC0"/>
    <w:rsid w:val="61B47279"/>
    <w:rsid w:val="63063C99"/>
    <w:rsid w:val="66252B4B"/>
    <w:rsid w:val="66E208D3"/>
    <w:rsid w:val="671F781C"/>
    <w:rsid w:val="69B05339"/>
    <w:rsid w:val="6ABF6C13"/>
    <w:rsid w:val="6D9B6215"/>
    <w:rsid w:val="6D9D209B"/>
    <w:rsid w:val="6DAC1010"/>
    <w:rsid w:val="6F011AD7"/>
    <w:rsid w:val="75497511"/>
    <w:rsid w:val="763B69D6"/>
    <w:rsid w:val="77220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50" w:beforeLines="50" w:line="360" w:lineRule="auto"/>
      <w:jc w:val="center"/>
      <w:outlineLvl w:val="0"/>
    </w:pPr>
    <w:rPr>
      <w:rFonts w:ascii="黑体" w:hAnsi="黑体" w:eastAsia="黑体"/>
      <w:kern w:val="44"/>
      <w:sz w:val="36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50" w:beforeLines="50" w:after="50" w:afterLines="50"/>
      <w:outlineLvl w:val="1"/>
    </w:pPr>
    <w:rPr>
      <w:rFonts w:ascii="黑体" w:hAnsi="黑体" w:eastAsia="黑体"/>
      <w:bCs/>
      <w:sz w:val="30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2"/>
    </w:pPr>
    <w:rPr>
      <w:rFonts w:ascii="黑体" w:hAnsi="黑体" w:eastAsia="黑体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2"/>
    <w:qFormat/>
    <w:uiPriority w:val="0"/>
    <w:rPr>
      <w:sz w:val="18"/>
      <w:szCs w:val="18"/>
    </w:rPr>
  </w:style>
  <w:style w:type="paragraph" w:styleId="6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customStyle="1" w:styleId="12">
    <w:name w:val="批注框文本 字符"/>
    <w:basedOn w:val="10"/>
    <w:link w:val="5"/>
    <w:qFormat/>
    <w:uiPriority w:val="0"/>
    <w:rPr>
      <w:kern w:val="2"/>
      <w:sz w:val="18"/>
      <w:szCs w:val="18"/>
    </w:rPr>
  </w:style>
  <w:style w:type="character" w:customStyle="1" w:styleId="13">
    <w:name w:val="页脚 字符"/>
    <w:link w:val="6"/>
    <w:qFormat/>
    <w:locked/>
    <w:uiPriority w:val="0"/>
    <w:rPr>
      <w:kern w:val="2"/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  <w:rPr>
      <w:color w:val="00008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D33A42-67E9-4A10-9602-D26906F94B9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3</Pages>
  <Words>128</Words>
  <Characters>734</Characters>
  <Lines>6</Lines>
  <Paragraphs>1</Paragraphs>
  <TotalTime>5</TotalTime>
  <ScaleCrop>false</ScaleCrop>
  <LinksUpToDate>false</LinksUpToDate>
  <CharactersWithSpaces>861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2019-03-05T04:30:00Z</dcterms:created>
  <dc:creator>遗忘。</dc:creator>
  <cp:lastModifiedBy>Administrator</cp:lastModifiedBy>
  <dcterms:modified xsi:type="dcterms:W3CDTF">2020-05-15T10:53:41Z</dcterms:modified>
  <cp:revision>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