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项目名称：肇源县通威100MW渔光一体光伏发电项目</w:t>
      </w:r>
    </w:p>
    <w:p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 xml:space="preserve">天气：晴 </w:t>
      </w:r>
      <w:r>
        <w:rPr>
          <w:rFonts w:hint="eastAsia" w:ascii="宋体" w:hAnsi="宋体"/>
          <w:b/>
          <w:bCs/>
          <w:szCs w:val="21"/>
          <w:lang w:val="en-US" w:eastAsia="zh-CN"/>
        </w:rPr>
        <w:t>-2</w:t>
      </w:r>
      <w:r>
        <w:rPr>
          <w:rFonts w:hint="eastAsia" w:ascii="宋体" w:hAnsi="宋体"/>
          <w:b/>
          <w:bCs/>
          <w:szCs w:val="21"/>
        </w:rPr>
        <w:t>℃/1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szCs w:val="21"/>
        </w:rPr>
        <w:t>℃ 地点：大庆市肇源县大兴乡青花湖渔场 时间：2021.10.</w:t>
      </w:r>
      <w:r>
        <w:rPr>
          <w:rFonts w:hint="eastAsia" w:ascii="宋体" w:hAnsi="宋体"/>
          <w:b/>
          <w:bCs/>
          <w:szCs w:val="21"/>
          <w:lang w:val="en-US" w:eastAsia="zh-CN"/>
        </w:rPr>
        <w:t>15</w:t>
      </w:r>
    </w:p>
    <w:p>
      <w:pPr>
        <w:pStyle w:val="10"/>
        <w:widowControl/>
        <w:numPr>
          <w:ilvl w:val="0"/>
          <w:numId w:val="1"/>
        </w:numPr>
        <w:adjustRightInd w:val="0"/>
        <w:snapToGrid w:val="0"/>
        <w:spacing w:before="156" w:beforeLines="50" w:after="156" w:afterLines="50"/>
        <w:ind w:left="499" w:hanging="499" w:firstLineChars="0"/>
        <w:rPr>
          <w:rFonts w:ascii="宋体" w:hAnsi="宋体"/>
          <w:b/>
          <w:bCs/>
          <w:sz w:val="22"/>
          <w:highlight w:val="yellow"/>
        </w:rPr>
      </w:pPr>
      <w:r>
        <w:rPr>
          <w:rFonts w:hint="eastAsia" w:ascii="黑体" w:hAnsi="黑体" w:eastAsia="黑体"/>
          <w:b/>
          <w:sz w:val="24"/>
          <w:highlight w:val="yellow"/>
        </w:rPr>
        <w:t>今日工作内容：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94"/>
        <w:gridCol w:w="1140"/>
        <w:gridCol w:w="1264"/>
        <w:gridCol w:w="1202"/>
        <w:gridCol w:w="120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1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b/>
              </w:rPr>
              <w:t>升压站、外线及对侧间隔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管理人员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施工人员</w:t>
            </w:r>
          </w:p>
        </w:tc>
        <w:tc>
          <w:tcPr>
            <w:tcW w:w="487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施工机械配置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0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升压站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外线</w:t>
            </w:r>
          </w:p>
        </w:tc>
        <w:tc>
          <w:tcPr>
            <w:tcW w:w="4870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11人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10人</w:t>
            </w:r>
          </w:p>
        </w:tc>
        <w:tc>
          <w:tcPr>
            <w:tcW w:w="2466" w:type="dxa"/>
            <w:gridSpan w:val="2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升压站：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挖机两台  铲车1辆</w:t>
            </w:r>
          </w:p>
        </w:tc>
        <w:tc>
          <w:tcPr>
            <w:tcW w:w="2404" w:type="dxa"/>
            <w:gridSpan w:val="2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外线：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挖孔机一台  挖机一台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414" w:type="dxa"/>
            <w:gridSpan w:val="7"/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今 日 施 工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升压站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1）综合楼一楼填充墙砌筑70%。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2）配电楼西侧部分屋面板、梁钢筋绑扎60%、穿线管安装60%；水泵房与储物间屋面模板安装100%。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3）消防水池内模板、钢管架拆除60%。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4）事故油池模板拆除已完成，土方回填80%。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5)  SVG设备接地体焊接安装60%。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6）35kV预制舱六氟化硫设备安装已完成；35kV预制舱电缆支架接地安装已完成。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7）电缆支架加工制作。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8）站外乡村道路修复。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线路：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1）线路电缆沟场地清理。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414" w:type="dxa"/>
            <w:gridSpan w:val="7"/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明 日 计 划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升压站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1）综合楼一楼填充墙砌筑100%。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2）配电楼西侧部分主体结构屋面梁板穿线管安装100%、钢筋绑扎80%；水泵房、储物间屋面钢筋绑扎50%。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3）事故油池土方回填100%。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4）完成SVG设备接地体安装焊接；开始SVG区域一次接地体安装焊接。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5) 继续电缆支架制作。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adjustRightInd w:val="0"/>
              <w:spacing w:after="120" w:line="312" w:lineRule="atLeast"/>
              <w:jc w:val="both"/>
              <w:textAlignment w:val="baseline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线路：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1）线路电缆沟开挖。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材料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/设备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设计总量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累计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到货量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今日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施工量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明日计划量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累计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施工量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升压站综合楼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控制楼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设备基础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事故油池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电缆沟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围墙及大门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0.68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站区给排水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站内道路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场坪、景观绿化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一次设备安装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二次盘柜安装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电缆敷设（米）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26995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28420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电气调试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消防报警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备用电源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外线</w:t>
            </w:r>
            <w:r>
              <w:rPr>
                <w:rFonts w:hint="eastAsia" w:ascii="宋体" w:hAnsi="宋体"/>
                <w:sz w:val="18"/>
                <w:szCs w:val="18"/>
              </w:rPr>
              <w:t>基础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外线</w:t>
            </w:r>
            <w:r>
              <w:rPr>
                <w:rFonts w:hint="eastAsia" w:ascii="宋体" w:hAnsi="宋体"/>
                <w:sz w:val="18"/>
                <w:szCs w:val="18"/>
              </w:rPr>
              <w:t>杆塔组立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外线导线施工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外线附件安装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外线接地施工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对侧间隔</w:t>
            </w:r>
            <w:r>
              <w:rPr>
                <w:rFonts w:hint="eastAsia" w:ascii="宋体" w:hAnsi="宋体"/>
                <w:sz w:val="18"/>
                <w:szCs w:val="18"/>
              </w:rPr>
              <w:t>土建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0" w:lineRule="atLeast"/>
              <w:ind w:firstLine="0"/>
              <w:jc w:val="both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3"/>
                <w:szCs w:val="13"/>
              </w:rPr>
              <w:t>对侧间隔</w:t>
            </w:r>
            <w:r>
              <w:rPr>
                <w:rFonts w:hint="eastAsia" w:ascii="宋体" w:hAnsi="宋体"/>
                <w:sz w:val="13"/>
                <w:szCs w:val="13"/>
              </w:rPr>
              <w:t>设备安装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对侧间隔调试</w:t>
            </w:r>
          </w:p>
        </w:tc>
        <w:tc>
          <w:tcPr>
            <w:tcW w:w="99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2"/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2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</w:rPr>
        <w:t>、安全管理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1）每日开展班前例会，对当天施工作业进行安全培训，存在安全隐患及时处理，加强疫情防控管理，对新到施工人员要求做好行走轨迹登记，同时要求对新到人员做好隔离观察。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2）加强对施工作业人员的安全培训教育、安全隐患排查处理。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3）现场基坑护坡稳定性、生活区域酒精消毒、施工现场用电设备使用安全、设备吊装符合安全规范。</w:t>
      </w:r>
    </w:p>
    <w:p>
      <w:pPr>
        <w:pStyle w:val="2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</w:rPr>
        <w:t>、质量管理</w:t>
      </w:r>
    </w:p>
    <w:p>
      <w:pPr>
        <w:tabs>
          <w:tab w:val="left" w:pos="426"/>
        </w:tabs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）严格执行现场质量管理措施，对施工区域进行质量检查。</w:t>
      </w:r>
    </w:p>
    <w:p>
      <w:pPr>
        <w:tabs>
          <w:tab w:val="left" w:pos="426"/>
        </w:tabs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bCs/>
          <w:szCs w:val="21"/>
        </w:rPr>
        <w:t>、手续</w:t>
      </w: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办理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0" w:leftChars="0" w:firstLine="639" w:firstLineChars="355"/>
        <w:textAlignment w:val="baseline"/>
        <w:rPr>
          <w:rFonts w:hint="eastAsia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1、</w:t>
      </w: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和大庆供电公司提供的信通施工单位沟通通信手续以及合作方向；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0" w:leftChars="0" w:firstLine="639" w:firstLineChars="355"/>
        <w:textAlignment w:val="baseline"/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2、和普华合作关系已建立（升压站、线路本体初设文件均已完成）；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0" w:leftChars="0" w:firstLine="639" w:firstLineChars="355"/>
        <w:textAlignment w:val="baseline"/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3、初设图纸审查已通过；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0" w:leftChars="0" w:firstLine="639" w:firstLineChars="355"/>
        <w:textAlignment w:val="baseline"/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4、间隔扩建施工合同已签订；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0" w:leftChars="0" w:firstLine="639" w:firstLineChars="355"/>
        <w:textAlignment w:val="baseline"/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5、</w:t>
      </w: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调度命名</w:t>
      </w:r>
      <w:r>
        <w:rPr>
          <w:rFonts w:hint="eastAsia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申请已完成；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420" w:leftChars="0"/>
        <w:textAlignment w:val="baseline"/>
        <w:rPr>
          <w:rFonts w:hint="eastAsia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 xml:space="preserve">  正在开展的工作: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840" w:leftChars="0"/>
        <w:textAlignment w:val="baseline"/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a.</w:t>
      </w: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线路本体项目核准；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180" w:lineRule="atLeast"/>
        <w:ind w:left="840" w:leftChars="0"/>
        <w:textAlignment w:val="baseline"/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18"/>
          <w:szCs w:val="18"/>
          <w:lang w:val="en-US" w:eastAsia="zh-CN"/>
        </w:rPr>
        <w:t>b.线路本体的环水保等专项报告（资料在编制中，缺少线路本体的立项文件无法批复）；</w:t>
      </w:r>
    </w:p>
    <w:p>
      <w:pPr>
        <w:rPr>
          <w:rFonts w:hint="eastAsia" w:ascii="黑体" w:hAnsi="黑体" w:eastAsia="黑体"/>
          <w:b/>
          <w:sz w:val="24"/>
          <w:highlight w:val="yellow"/>
        </w:rPr>
      </w:pPr>
      <w:r>
        <w:rPr>
          <w:rFonts w:hint="eastAsia" w:ascii="黑体" w:hAnsi="黑体" w:eastAsia="黑体"/>
          <w:b/>
          <w:sz w:val="24"/>
          <w:highlight w:val="yellow"/>
        </w:rPr>
        <w:br w:type="page"/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highlight w:val="yellow"/>
        </w:rPr>
        <w:t>二、今日现场照片：</w:t>
      </w:r>
    </w:p>
    <w:tbl>
      <w:tblPr>
        <w:tblStyle w:val="7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2818" w:type="dxa"/>
            <w:vAlign w:val="center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552700" cy="1439545"/>
                  <wp:effectExtent l="0" t="0" r="0" b="8255"/>
                  <wp:docPr id="1" name="图片 1" descr="0b671e367052f9a1a837ee1c95cb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671e367052f9a1a837ee1c95cb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Bradley Hand ITC" w:hAnsi="Bradley Hand ITC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Bradley Hand ITC" w:hAnsi="Bradley Hand ITC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552700" cy="1439545"/>
                  <wp:effectExtent l="0" t="0" r="0" b="8255"/>
                  <wp:docPr id="2" name="图片 2" descr="2cb8fa1885e16d59b2d203086da1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cb8fa1885e16d59b2d203086da1f0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综合楼填充墙体砌筑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事故油池土方回填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552700" cy="1439545"/>
                  <wp:effectExtent l="0" t="0" r="0" b="8255"/>
                  <wp:docPr id="3" name="图片 3" descr="ceec64bc0f17d2b1ddabaccbb7bd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eec64bc0f17d2b1ddabaccbb7bd5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552700" cy="1439545"/>
                  <wp:effectExtent l="0" t="0" r="0" b="8255"/>
                  <wp:docPr id="4" name="图片 4" descr="96ca091a46da1eae8485696091d6d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6ca091a46da1eae8485696091d6d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SVG设备接地体焊接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配电楼西侧部分屋面钢筋绑扎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552700" cy="1439545"/>
                  <wp:effectExtent l="0" t="0" r="0" b="8255"/>
                  <wp:docPr id="5" name="图片 5" descr="7b5c7a25148b34a33b8e65550578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b5c7a25148b34a33b8e655505784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2552700" cy="1439545"/>
                  <wp:effectExtent l="0" t="0" r="0" b="8255"/>
                  <wp:docPr id="6" name="图片 6" descr="ddcaa72c077367c450edd75082be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dcaa72c077367c450edd75082bec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消防水泵房-储物间模板安装</w:t>
            </w: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消防水池模板拆除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4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lang w:val="en-US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highlight w:val="yellow"/>
          <w:lang w:val="en-US" w:eastAsia="zh-CN"/>
        </w:rPr>
        <w:t>三</w:t>
      </w:r>
      <w:r>
        <w:rPr>
          <w:rFonts w:hint="eastAsia" w:ascii="黑体" w:hAnsi="黑体" w:eastAsia="黑体"/>
          <w:b/>
          <w:sz w:val="24"/>
          <w:highlight w:val="yellow"/>
        </w:rPr>
        <w:t>、关键</w:t>
      </w:r>
      <w:r>
        <w:rPr>
          <w:rFonts w:ascii="黑体" w:hAnsi="黑体" w:eastAsia="黑体"/>
          <w:b/>
          <w:sz w:val="24"/>
          <w:highlight w:val="yellow"/>
        </w:rPr>
        <w:t>手续办理</w:t>
      </w:r>
      <w:r>
        <w:rPr>
          <w:rFonts w:hint="eastAsia" w:ascii="黑体" w:hAnsi="黑体" w:eastAsia="黑体"/>
          <w:b/>
          <w:sz w:val="24"/>
          <w:highlight w:val="yellow"/>
        </w:rPr>
        <w:t>更新表</w:t>
      </w:r>
    </w:p>
    <w:p>
      <w:pPr>
        <w:widowControl/>
        <w:jc w:val="left"/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黑体" w:hAnsi="黑体" w:eastAsia="黑体"/>
          <w:b/>
          <w:sz w:val="24"/>
          <w:highlight w:val="yellow"/>
        </w:rPr>
      </w:pPr>
      <w:r>
        <w:rPr>
          <w:rFonts w:hint="eastAsia" w:ascii="黑体" w:hAnsi="黑体" w:eastAsia="黑体"/>
          <w:b/>
          <w:sz w:val="24"/>
          <w:highlight w:val="yellow"/>
          <w:lang w:val="en-US" w:eastAsia="zh-CN"/>
        </w:rPr>
        <w:t>四、</w:t>
      </w:r>
      <w:r>
        <w:rPr>
          <w:rFonts w:hint="eastAsia" w:ascii="黑体" w:hAnsi="黑体" w:eastAsia="黑体"/>
          <w:b/>
          <w:sz w:val="24"/>
          <w:highlight w:val="yellow"/>
        </w:rPr>
        <w:t>当前主要困难及解决方案：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黑体" w:hAnsi="黑体" w:eastAsia="黑体"/>
          <w:b/>
          <w:sz w:val="24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textAlignment w:val="baseline"/>
        <w:rPr>
          <w:rFonts w:hint="eastAsia" w:ascii="黑体" w:hAnsi="黑体" w:eastAsia="黑体"/>
          <w:b/>
          <w:sz w:val="24"/>
          <w:highlight w:val="yellow"/>
        </w:rPr>
      </w:pPr>
      <w:r>
        <w:rPr>
          <w:rFonts w:hint="eastAsia" w:ascii="黑体" w:hAnsi="黑体" w:eastAsia="黑体"/>
          <w:b/>
          <w:sz w:val="24"/>
          <w:highlight w:val="yellow"/>
          <w:lang w:val="en-US" w:eastAsia="zh-CN"/>
        </w:rPr>
        <w:t>五、</w:t>
      </w:r>
      <w:r>
        <w:rPr>
          <w:rFonts w:hint="eastAsia" w:ascii="黑体" w:hAnsi="黑体" w:eastAsia="黑体"/>
          <w:b/>
          <w:sz w:val="24"/>
          <w:highlight w:val="yellow"/>
        </w:rPr>
        <w:t>项目瓶颈问题：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40" w:lineRule="auto"/>
        <w:textAlignment w:val="baseline"/>
        <w:rPr>
          <w:rFonts w:hint="eastAsia" w:ascii="黑体" w:hAnsi="黑体" w:eastAsia="黑体"/>
          <w:b/>
          <w:sz w:val="24"/>
          <w:highlight w:val="yellow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/>
          <w:b/>
          <w:sz w:val="24"/>
          <w:highlight w:val="yellow"/>
        </w:rPr>
      </w:pPr>
      <w:r>
        <w:rPr>
          <w:rFonts w:hint="eastAsia" w:ascii="黑体" w:hAnsi="黑体" w:eastAsia="黑体"/>
          <w:b/>
          <w:sz w:val="24"/>
          <w:highlight w:val="yellow"/>
          <w:lang w:val="en-US" w:eastAsia="zh-CN"/>
        </w:rPr>
        <w:t>六、安全巡查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2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  <w:drawing>
                <wp:inline distT="0" distB="0" distL="114300" distR="114300">
                  <wp:extent cx="1968500" cy="2625725"/>
                  <wp:effectExtent l="0" t="0" r="3175" b="12700"/>
                  <wp:docPr id="7" name="图片 7" descr="f169fd8f31f036be60c02d32e009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169fd8f31f036be60c02d32e0093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68500" cy="262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  <w:drawing>
                <wp:inline distT="0" distB="0" distL="114300" distR="114300">
                  <wp:extent cx="2487295" cy="1398905"/>
                  <wp:effectExtent l="0" t="0" r="8255" b="10795"/>
                  <wp:docPr id="8" name="图片 8" descr="810d323c62fbe79c4b37420ab317e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10d323c62fbe79c4b37420ab317eb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42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  <w:drawing>
                <wp:inline distT="0" distB="0" distL="114300" distR="114300">
                  <wp:extent cx="2560320" cy="1440180"/>
                  <wp:effectExtent l="0" t="0" r="11430" b="7620"/>
                  <wp:docPr id="11" name="图片 11" descr="04113863d278b84c067a36e6df35c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4113863d278b84c067a36e6df35cf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highlight w:val="none"/>
                <w:vertAlign w:val="baseline"/>
                <w:lang w:eastAsia="zh-CN"/>
              </w:rPr>
              <w:drawing>
                <wp:inline distT="0" distB="0" distL="114300" distR="114300">
                  <wp:extent cx="2609215" cy="1467485"/>
                  <wp:effectExtent l="0" t="0" r="635" b="18415"/>
                  <wp:docPr id="10" name="图片 10" descr="980ce2e8ec5a36cd79ec2eb0a192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80ce2e8ec5a36cd79ec2eb0a192c1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/>
          <w:b/>
          <w:sz w:val="24"/>
          <w:highlight w:val="yellow"/>
        </w:rPr>
      </w:pPr>
    </w:p>
    <w:p>
      <w:pPr>
        <w:pStyle w:val="2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radley Hand ITC">
    <w:panose1 w:val="03070402050302030203"/>
    <w:charset w:val="00"/>
    <w:family w:val="script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D3B10"/>
    <w:multiLevelType w:val="multilevel"/>
    <w:tmpl w:val="06AD3B10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 w:ascii="黑体" w:hAnsi="黑体" w:eastAsia="黑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4A"/>
    <w:rsid w:val="000203C7"/>
    <w:rsid w:val="00041366"/>
    <w:rsid w:val="000611FF"/>
    <w:rsid w:val="00063ADE"/>
    <w:rsid w:val="0006469F"/>
    <w:rsid w:val="0007767E"/>
    <w:rsid w:val="00083657"/>
    <w:rsid w:val="00087CC2"/>
    <w:rsid w:val="00093056"/>
    <w:rsid w:val="000969B1"/>
    <w:rsid w:val="0009768A"/>
    <w:rsid w:val="000A392B"/>
    <w:rsid w:val="000A64BE"/>
    <w:rsid w:val="000B769E"/>
    <w:rsid w:val="000C3CF8"/>
    <w:rsid w:val="000E5ED3"/>
    <w:rsid w:val="001040C1"/>
    <w:rsid w:val="00114D19"/>
    <w:rsid w:val="001170F8"/>
    <w:rsid w:val="00123D76"/>
    <w:rsid w:val="00134D70"/>
    <w:rsid w:val="00157814"/>
    <w:rsid w:val="0016202D"/>
    <w:rsid w:val="00165957"/>
    <w:rsid w:val="0016630E"/>
    <w:rsid w:val="00170A94"/>
    <w:rsid w:val="00172E6E"/>
    <w:rsid w:val="00182C7B"/>
    <w:rsid w:val="00185640"/>
    <w:rsid w:val="00195297"/>
    <w:rsid w:val="00197287"/>
    <w:rsid w:val="00197AE0"/>
    <w:rsid w:val="001B7D20"/>
    <w:rsid w:val="001C7AEB"/>
    <w:rsid w:val="001D001A"/>
    <w:rsid w:val="001D0D90"/>
    <w:rsid w:val="001D3B1F"/>
    <w:rsid w:val="00207B56"/>
    <w:rsid w:val="002155F6"/>
    <w:rsid w:val="00227749"/>
    <w:rsid w:val="00231183"/>
    <w:rsid w:val="002350EB"/>
    <w:rsid w:val="00235BAD"/>
    <w:rsid w:val="00247237"/>
    <w:rsid w:val="00253123"/>
    <w:rsid w:val="00264288"/>
    <w:rsid w:val="00264430"/>
    <w:rsid w:val="00276AAF"/>
    <w:rsid w:val="00281E40"/>
    <w:rsid w:val="0028274F"/>
    <w:rsid w:val="0028714E"/>
    <w:rsid w:val="00295BB5"/>
    <w:rsid w:val="002A1509"/>
    <w:rsid w:val="002A4121"/>
    <w:rsid w:val="002A788F"/>
    <w:rsid w:val="002C315A"/>
    <w:rsid w:val="002C634C"/>
    <w:rsid w:val="002D18B5"/>
    <w:rsid w:val="002D4140"/>
    <w:rsid w:val="002D614D"/>
    <w:rsid w:val="002E0A42"/>
    <w:rsid w:val="002E200A"/>
    <w:rsid w:val="002E2430"/>
    <w:rsid w:val="002E30A9"/>
    <w:rsid w:val="002F2E4D"/>
    <w:rsid w:val="00316EA4"/>
    <w:rsid w:val="00334311"/>
    <w:rsid w:val="00351921"/>
    <w:rsid w:val="00356993"/>
    <w:rsid w:val="00367186"/>
    <w:rsid w:val="00386E8F"/>
    <w:rsid w:val="003C4DDD"/>
    <w:rsid w:val="003C684C"/>
    <w:rsid w:val="003D2A5E"/>
    <w:rsid w:val="003E1FF6"/>
    <w:rsid w:val="003E5311"/>
    <w:rsid w:val="003E6D90"/>
    <w:rsid w:val="00411D15"/>
    <w:rsid w:val="0041437B"/>
    <w:rsid w:val="00416DFC"/>
    <w:rsid w:val="0042121F"/>
    <w:rsid w:val="004328C8"/>
    <w:rsid w:val="00437E77"/>
    <w:rsid w:val="00457228"/>
    <w:rsid w:val="004633C5"/>
    <w:rsid w:val="004721A7"/>
    <w:rsid w:val="00474EF5"/>
    <w:rsid w:val="004755A3"/>
    <w:rsid w:val="00490FE1"/>
    <w:rsid w:val="0049142F"/>
    <w:rsid w:val="00494049"/>
    <w:rsid w:val="004A74F5"/>
    <w:rsid w:val="004B7756"/>
    <w:rsid w:val="004C6EA6"/>
    <w:rsid w:val="004C7256"/>
    <w:rsid w:val="004D0E71"/>
    <w:rsid w:val="004E747E"/>
    <w:rsid w:val="004F075B"/>
    <w:rsid w:val="004F5E4E"/>
    <w:rsid w:val="004F79A4"/>
    <w:rsid w:val="005004CF"/>
    <w:rsid w:val="00507727"/>
    <w:rsid w:val="00515607"/>
    <w:rsid w:val="0052143B"/>
    <w:rsid w:val="00531240"/>
    <w:rsid w:val="0054403C"/>
    <w:rsid w:val="005629E9"/>
    <w:rsid w:val="005651D8"/>
    <w:rsid w:val="005654F2"/>
    <w:rsid w:val="005801BE"/>
    <w:rsid w:val="005868C8"/>
    <w:rsid w:val="0059444B"/>
    <w:rsid w:val="00596365"/>
    <w:rsid w:val="005A0A96"/>
    <w:rsid w:val="005A1F10"/>
    <w:rsid w:val="005B14AE"/>
    <w:rsid w:val="005B72DE"/>
    <w:rsid w:val="005D38F1"/>
    <w:rsid w:val="005D40B5"/>
    <w:rsid w:val="005D73A6"/>
    <w:rsid w:val="005E6932"/>
    <w:rsid w:val="005E6FCD"/>
    <w:rsid w:val="005F2DDF"/>
    <w:rsid w:val="0060767B"/>
    <w:rsid w:val="0062507F"/>
    <w:rsid w:val="00632367"/>
    <w:rsid w:val="00632BAA"/>
    <w:rsid w:val="00635364"/>
    <w:rsid w:val="006403C6"/>
    <w:rsid w:val="00641AD3"/>
    <w:rsid w:val="00642B30"/>
    <w:rsid w:val="00643FBD"/>
    <w:rsid w:val="006443E8"/>
    <w:rsid w:val="00653463"/>
    <w:rsid w:val="00654C81"/>
    <w:rsid w:val="00661914"/>
    <w:rsid w:val="00670321"/>
    <w:rsid w:val="00673164"/>
    <w:rsid w:val="006A01D5"/>
    <w:rsid w:val="006A4DCD"/>
    <w:rsid w:val="006A5C0F"/>
    <w:rsid w:val="006B3D59"/>
    <w:rsid w:val="006C55F6"/>
    <w:rsid w:val="006C775E"/>
    <w:rsid w:val="006C78AE"/>
    <w:rsid w:val="006D7AA6"/>
    <w:rsid w:val="006E112B"/>
    <w:rsid w:val="006F1663"/>
    <w:rsid w:val="006F2FFC"/>
    <w:rsid w:val="00711D07"/>
    <w:rsid w:val="0075587A"/>
    <w:rsid w:val="007763E1"/>
    <w:rsid w:val="00780AF8"/>
    <w:rsid w:val="00781460"/>
    <w:rsid w:val="007A036A"/>
    <w:rsid w:val="007B4447"/>
    <w:rsid w:val="007B6B9F"/>
    <w:rsid w:val="007E09D7"/>
    <w:rsid w:val="007E4EB8"/>
    <w:rsid w:val="007E64F5"/>
    <w:rsid w:val="007F0A14"/>
    <w:rsid w:val="007F6C18"/>
    <w:rsid w:val="00812677"/>
    <w:rsid w:val="00812C5A"/>
    <w:rsid w:val="00815A03"/>
    <w:rsid w:val="0082044A"/>
    <w:rsid w:val="00821C40"/>
    <w:rsid w:val="00833C37"/>
    <w:rsid w:val="0084272E"/>
    <w:rsid w:val="008510F9"/>
    <w:rsid w:val="00860476"/>
    <w:rsid w:val="0087266F"/>
    <w:rsid w:val="00880756"/>
    <w:rsid w:val="00882DAD"/>
    <w:rsid w:val="00893FF3"/>
    <w:rsid w:val="00894FD9"/>
    <w:rsid w:val="008A69DC"/>
    <w:rsid w:val="008B4599"/>
    <w:rsid w:val="008B7303"/>
    <w:rsid w:val="008C01E6"/>
    <w:rsid w:val="008C33B4"/>
    <w:rsid w:val="008E2ECF"/>
    <w:rsid w:val="009007AD"/>
    <w:rsid w:val="009044BF"/>
    <w:rsid w:val="00905D0D"/>
    <w:rsid w:val="00951BF0"/>
    <w:rsid w:val="00974254"/>
    <w:rsid w:val="00975C4B"/>
    <w:rsid w:val="009830F7"/>
    <w:rsid w:val="00984297"/>
    <w:rsid w:val="0099361C"/>
    <w:rsid w:val="00993C5C"/>
    <w:rsid w:val="009B3B5A"/>
    <w:rsid w:val="009B486B"/>
    <w:rsid w:val="009B5AAF"/>
    <w:rsid w:val="009C0562"/>
    <w:rsid w:val="009D6969"/>
    <w:rsid w:val="009E4FD5"/>
    <w:rsid w:val="00A12B66"/>
    <w:rsid w:val="00A17245"/>
    <w:rsid w:val="00A37EB7"/>
    <w:rsid w:val="00A43B7C"/>
    <w:rsid w:val="00A568B9"/>
    <w:rsid w:val="00A652D0"/>
    <w:rsid w:val="00A7146E"/>
    <w:rsid w:val="00A722C1"/>
    <w:rsid w:val="00A90529"/>
    <w:rsid w:val="00A97302"/>
    <w:rsid w:val="00AB19FA"/>
    <w:rsid w:val="00AB1AAF"/>
    <w:rsid w:val="00AB425A"/>
    <w:rsid w:val="00AB72FD"/>
    <w:rsid w:val="00AC211A"/>
    <w:rsid w:val="00AC5F4A"/>
    <w:rsid w:val="00AC715C"/>
    <w:rsid w:val="00AD2328"/>
    <w:rsid w:val="00AF529B"/>
    <w:rsid w:val="00AF6E17"/>
    <w:rsid w:val="00B02861"/>
    <w:rsid w:val="00B063B3"/>
    <w:rsid w:val="00B112F7"/>
    <w:rsid w:val="00B14A81"/>
    <w:rsid w:val="00B32CE5"/>
    <w:rsid w:val="00B35662"/>
    <w:rsid w:val="00B405B9"/>
    <w:rsid w:val="00B5796E"/>
    <w:rsid w:val="00B64BF3"/>
    <w:rsid w:val="00B81814"/>
    <w:rsid w:val="00B8332C"/>
    <w:rsid w:val="00B84F1C"/>
    <w:rsid w:val="00BA360D"/>
    <w:rsid w:val="00BA5A5E"/>
    <w:rsid w:val="00BC63B0"/>
    <w:rsid w:val="00BC65BA"/>
    <w:rsid w:val="00BC7F6C"/>
    <w:rsid w:val="00BD34E5"/>
    <w:rsid w:val="00BD6D26"/>
    <w:rsid w:val="00BE11E4"/>
    <w:rsid w:val="00BF58FF"/>
    <w:rsid w:val="00C02742"/>
    <w:rsid w:val="00C05F82"/>
    <w:rsid w:val="00C1165D"/>
    <w:rsid w:val="00C139C9"/>
    <w:rsid w:val="00C23262"/>
    <w:rsid w:val="00C23C39"/>
    <w:rsid w:val="00C269A6"/>
    <w:rsid w:val="00C31643"/>
    <w:rsid w:val="00C34249"/>
    <w:rsid w:val="00C40806"/>
    <w:rsid w:val="00C45B3D"/>
    <w:rsid w:val="00C5611F"/>
    <w:rsid w:val="00C612B1"/>
    <w:rsid w:val="00C86663"/>
    <w:rsid w:val="00C94416"/>
    <w:rsid w:val="00C96BEC"/>
    <w:rsid w:val="00CA0AFE"/>
    <w:rsid w:val="00CA48F6"/>
    <w:rsid w:val="00CC21E0"/>
    <w:rsid w:val="00CC60CD"/>
    <w:rsid w:val="00CF3A9B"/>
    <w:rsid w:val="00CF6402"/>
    <w:rsid w:val="00D136D7"/>
    <w:rsid w:val="00D15C3E"/>
    <w:rsid w:val="00D22E3F"/>
    <w:rsid w:val="00D330D4"/>
    <w:rsid w:val="00D46A31"/>
    <w:rsid w:val="00D56147"/>
    <w:rsid w:val="00D72662"/>
    <w:rsid w:val="00D967F0"/>
    <w:rsid w:val="00DA582F"/>
    <w:rsid w:val="00DA59E0"/>
    <w:rsid w:val="00DB39BE"/>
    <w:rsid w:val="00DB6835"/>
    <w:rsid w:val="00DC1DB6"/>
    <w:rsid w:val="00DC2162"/>
    <w:rsid w:val="00DC48EA"/>
    <w:rsid w:val="00DE5D81"/>
    <w:rsid w:val="00DE6981"/>
    <w:rsid w:val="00DF1B17"/>
    <w:rsid w:val="00E012D4"/>
    <w:rsid w:val="00E0283E"/>
    <w:rsid w:val="00E04B49"/>
    <w:rsid w:val="00E10285"/>
    <w:rsid w:val="00E124B8"/>
    <w:rsid w:val="00E135CF"/>
    <w:rsid w:val="00E2158F"/>
    <w:rsid w:val="00E238A6"/>
    <w:rsid w:val="00E31A80"/>
    <w:rsid w:val="00E4083A"/>
    <w:rsid w:val="00E46593"/>
    <w:rsid w:val="00E6149D"/>
    <w:rsid w:val="00E739FA"/>
    <w:rsid w:val="00E75326"/>
    <w:rsid w:val="00E85316"/>
    <w:rsid w:val="00EA3A38"/>
    <w:rsid w:val="00EB05D2"/>
    <w:rsid w:val="00EB090D"/>
    <w:rsid w:val="00EB2D77"/>
    <w:rsid w:val="00EB767F"/>
    <w:rsid w:val="00EC0521"/>
    <w:rsid w:val="00EC573F"/>
    <w:rsid w:val="00EF2B23"/>
    <w:rsid w:val="00F16F99"/>
    <w:rsid w:val="00F2540A"/>
    <w:rsid w:val="00F25B00"/>
    <w:rsid w:val="00F6682B"/>
    <w:rsid w:val="00F87266"/>
    <w:rsid w:val="00F879D2"/>
    <w:rsid w:val="00F934EC"/>
    <w:rsid w:val="00FA73C4"/>
    <w:rsid w:val="00FB0C4A"/>
    <w:rsid w:val="00FB7448"/>
    <w:rsid w:val="00FC74CF"/>
    <w:rsid w:val="00FD7FA7"/>
    <w:rsid w:val="00FE112B"/>
    <w:rsid w:val="00FE7D89"/>
    <w:rsid w:val="03570C0D"/>
    <w:rsid w:val="04F7497F"/>
    <w:rsid w:val="07DC624B"/>
    <w:rsid w:val="0B6B26F6"/>
    <w:rsid w:val="0BA11548"/>
    <w:rsid w:val="0C2F2FD6"/>
    <w:rsid w:val="0C586722"/>
    <w:rsid w:val="0E4B6DC9"/>
    <w:rsid w:val="119415DE"/>
    <w:rsid w:val="189D4CB6"/>
    <w:rsid w:val="1D0B7B10"/>
    <w:rsid w:val="1D70484E"/>
    <w:rsid w:val="24033665"/>
    <w:rsid w:val="257772BB"/>
    <w:rsid w:val="2A081315"/>
    <w:rsid w:val="2ABF1465"/>
    <w:rsid w:val="2ED81321"/>
    <w:rsid w:val="30500ACF"/>
    <w:rsid w:val="317540EF"/>
    <w:rsid w:val="32C24CD7"/>
    <w:rsid w:val="34D6569B"/>
    <w:rsid w:val="356308A9"/>
    <w:rsid w:val="358A7EC6"/>
    <w:rsid w:val="3633295B"/>
    <w:rsid w:val="381B143D"/>
    <w:rsid w:val="3934029A"/>
    <w:rsid w:val="3C3B065D"/>
    <w:rsid w:val="3C465B9C"/>
    <w:rsid w:val="3C6D465A"/>
    <w:rsid w:val="3D4575F7"/>
    <w:rsid w:val="3E1F14EA"/>
    <w:rsid w:val="400A47D0"/>
    <w:rsid w:val="42942BD0"/>
    <w:rsid w:val="42DC3BB6"/>
    <w:rsid w:val="44010F20"/>
    <w:rsid w:val="455C2F0E"/>
    <w:rsid w:val="475A2EC1"/>
    <w:rsid w:val="47CB5630"/>
    <w:rsid w:val="489A23DC"/>
    <w:rsid w:val="48E87BB4"/>
    <w:rsid w:val="4A6D7E48"/>
    <w:rsid w:val="4AF747D7"/>
    <w:rsid w:val="4BEE049A"/>
    <w:rsid w:val="4C2F1614"/>
    <w:rsid w:val="4D84095B"/>
    <w:rsid w:val="4E0724DC"/>
    <w:rsid w:val="4EF57CF9"/>
    <w:rsid w:val="4F0F09E4"/>
    <w:rsid w:val="4F9F5101"/>
    <w:rsid w:val="515147E9"/>
    <w:rsid w:val="52115B21"/>
    <w:rsid w:val="53E743B7"/>
    <w:rsid w:val="56A95E84"/>
    <w:rsid w:val="58A02D62"/>
    <w:rsid w:val="596E6BE0"/>
    <w:rsid w:val="59C23A7A"/>
    <w:rsid w:val="64180BAA"/>
    <w:rsid w:val="650E422E"/>
    <w:rsid w:val="65DF6612"/>
    <w:rsid w:val="6755060E"/>
    <w:rsid w:val="688D3DE2"/>
    <w:rsid w:val="68E878AD"/>
    <w:rsid w:val="6B4A6FD0"/>
    <w:rsid w:val="6B7C0F73"/>
    <w:rsid w:val="6B960AFB"/>
    <w:rsid w:val="6EF86365"/>
    <w:rsid w:val="6F603074"/>
    <w:rsid w:val="71FD5489"/>
    <w:rsid w:val="74D305A7"/>
    <w:rsid w:val="75DA61D5"/>
    <w:rsid w:val="78610AA9"/>
    <w:rsid w:val="795357AD"/>
    <w:rsid w:val="7A773D20"/>
    <w:rsid w:val="7D4D2340"/>
    <w:rsid w:val="7E9B0054"/>
    <w:rsid w:val="7FC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qFormat/>
    <w:uiPriority w:val="0"/>
    <w:pPr>
      <w:adjustRightInd w:val="0"/>
      <w:spacing w:line="312" w:lineRule="atLeast"/>
      <w:ind w:left="0" w:leftChars="0" w:firstLine="420"/>
      <w:textAlignment w:val="baseline"/>
    </w:pPr>
    <w:rPr>
      <w:rFonts w:ascii="Times New Roman" w:hAnsi="Times New Roman"/>
      <w:kern w:val="0"/>
      <w:szCs w:val="21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脚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basedOn w:val="9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正文文本缩进 Char"/>
    <w:basedOn w:val="9"/>
    <w:link w:val="3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15">
    <w:name w:val="正文首行缩进 2 Char"/>
    <w:basedOn w:val="14"/>
    <w:link w:val="2"/>
    <w:qFormat/>
    <w:uiPriority w:val="0"/>
    <w:rPr>
      <w:rFonts w:ascii="Times New Roman" w:hAnsi="Times New Roman" w:eastAsia="宋体" w:cs="宋体"/>
      <w:kern w:val="0"/>
      <w:szCs w:val="21"/>
    </w:rPr>
  </w:style>
  <w:style w:type="character" w:customStyle="1" w:styleId="16">
    <w:name w:val="页眉 Char"/>
    <w:basedOn w:val="9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A42D6-746D-4FE3-88A5-21502147CA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873</Words>
  <Characters>4981</Characters>
  <Lines>41</Lines>
  <Paragraphs>11</Paragraphs>
  <TotalTime>10</TotalTime>
  <ScaleCrop>false</ScaleCrop>
  <LinksUpToDate>false</LinksUpToDate>
  <CharactersWithSpaces>5843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2021-10-10T01:45:00Z</dcterms:created>
  <dc:creator>Lenovo</dc:creator>
  <cp:lastModifiedBy>南一道街【】</cp:lastModifiedBy>
  <cp:lastPrinted>2021-10-12T10:51:00Z</cp:lastPrinted>
  <dcterms:modified xsi:type="dcterms:W3CDTF">2021-10-15T13:15:19Z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C76D97B26C424F0BBEF2A304E4B8304A</vt:lpwstr>
  </property>
</Properties>
</file>