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0" w:firstLineChars="400"/>
        <w:jc w:val="both"/>
        <w:rPr>
          <w:rFonts w:hint="default"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eastAsia="zh-CN"/>
        </w:rPr>
        <w:t>永靖县“十四五"盐锅峡光伏发电项目</w:t>
      </w:r>
    </w:p>
    <w:p>
      <w:pPr>
        <w:rPr>
          <w:rFonts w:hint="default" w:ascii="仿宋_GB2312" w:hAnsi="仿宋_GB2312" w:eastAsia="仿宋_GB2312" w:cs="仿宋_GB2312"/>
          <w:lang w:val="en-US" w:eastAsia="zh-CN"/>
        </w:rPr>
      </w:pPr>
    </w:p>
    <w:p>
      <w:pPr>
        <w:rPr>
          <w:rFonts w:hint="default" w:ascii="仿宋_GB2312" w:hAnsi="仿宋_GB2312" w:eastAsia="仿宋_GB2312" w:cs="仿宋_GB2312"/>
          <w:lang w:val="en-US" w:eastAsia="zh-CN"/>
        </w:rPr>
      </w:pPr>
    </w:p>
    <w:p>
      <w:pPr>
        <w:ind w:firstLine="2940" w:firstLineChars="1050"/>
        <w:jc w:val="both"/>
        <w:rPr>
          <w:rFonts w:hint="eastAsia" w:ascii="仿宋_GB2312" w:hAnsi="仿宋_GB2312" w:eastAsia="仿宋_GB2312" w:cs="仿宋_GB2312"/>
          <w:sz w:val="28"/>
          <w:szCs w:val="24"/>
          <w:lang w:val="en-US"/>
        </w:rPr>
      </w:pPr>
      <w:r>
        <w:rPr>
          <w:rFonts w:hint="eastAsia" w:ascii="仿宋_GB2312" w:hAnsi="仿宋_GB2312" w:eastAsia="仿宋_GB2312" w:cs="仿宋_GB2312"/>
          <w:sz w:val="28"/>
          <w:szCs w:val="24"/>
          <w:lang w:val="en-US"/>
        </w:rPr>
        <w:t>(202</w:t>
      </w:r>
      <w:r>
        <w:rPr>
          <w:rFonts w:hint="default" w:ascii="仿宋_GB2312" w:hAnsi="仿宋_GB2312" w:eastAsia="仿宋_GB2312" w:cs="仿宋_GB2312"/>
          <w:sz w:val="28"/>
          <w:szCs w:val="24"/>
          <w:lang w:val="en-US"/>
        </w:rPr>
        <w:t>4</w:t>
      </w:r>
      <w:r>
        <w:rPr>
          <w:rFonts w:hint="eastAsia" w:ascii="仿宋_GB2312" w:hAnsi="仿宋_GB2312" w:eastAsia="仿宋_GB2312" w:cs="仿宋_GB2312"/>
          <w:sz w:val="28"/>
          <w:szCs w:val="24"/>
          <w:lang w:val="en-US"/>
        </w:rPr>
        <w:t>年</w:t>
      </w:r>
      <w:r>
        <w:rPr>
          <w:rFonts w:hint="eastAsia" w:ascii="仿宋_GB2312" w:hAnsi="仿宋_GB2312" w:eastAsia="仿宋_GB2312" w:cs="仿宋_GB2312"/>
          <w:sz w:val="28"/>
          <w:szCs w:val="24"/>
        </w:rPr>
        <w:t>第</w:t>
      </w:r>
      <w:r>
        <w:rPr>
          <w:rFonts w:hint="eastAsia" w:ascii="仿宋_GB2312" w:hAnsi="仿宋_GB2312" w:eastAsia="仿宋_GB2312" w:cs="仿宋_GB2312"/>
          <w:sz w:val="28"/>
          <w:szCs w:val="24"/>
          <w:lang w:val="en-US" w:eastAsia="zh-CN"/>
        </w:rPr>
        <w:t>9</w:t>
      </w:r>
      <w:r>
        <w:rPr>
          <w:rFonts w:hint="eastAsia" w:ascii="仿宋_GB2312" w:hAnsi="仿宋_GB2312" w:eastAsia="仿宋_GB2312" w:cs="仿宋_GB2312"/>
          <w:sz w:val="28"/>
          <w:szCs w:val="24"/>
        </w:rPr>
        <w:t>期</w:t>
      </w:r>
      <w:r>
        <w:rPr>
          <w:rFonts w:hint="eastAsia" w:ascii="仿宋_GB2312" w:hAnsi="仿宋_GB2312" w:eastAsia="仿宋_GB2312" w:cs="仿宋_GB2312"/>
          <w:sz w:val="28"/>
          <w:szCs w:val="24"/>
          <w:lang w:val="en-US"/>
        </w:rPr>
        <w:t>(总</w:t>
      </w:r>
      <w:r>
        <w:rPr>
          <w:rFonts w:hint="default" w:ascii="仿宋_GB2312" w:hAnsi="仿宋_GB2312" w:eastAsia="仿宋_GB2312" w:cs="仿宋_GB2312"/>
          <w:sz w:val="28"/>
          <w:szCs w:val="24"/>
          <w:lang w:val="en-US"/>
        </w:rPr>
        <w:t>1</w:t>
      </w:r>
      <w:r>
        <w:rPr>
          <w:rFonts w:hint="eastAsia" w:ascii="仿宋_GB2312" w:hAnsi="仿宋_GB2312" w:eastAsia="仿宋_GB2312" w:cs="仿宋_GB2312"/>
          <w:sz w:val="28"/>
          <w:szCs w:val="24"/>
          <w:lang w:val="en-US" w:eastAsia="zh-CN"/>
        </w:rPr>
        <w:t>6</w:t>
      </w:r>
      <w:r>
        <w:rPr>
          <w:rFonts w:hint="eastAsia" w:ascii="仿宋_GB2312" w:hAnsi="仿宋_GB2312" w:eastAsia="仿宋_GB2312" w:cs="仿宋_GB2312"/>
          <w:sz w:val="28"/>
          <w:szCs w:val="24"/>
          <w:lang w:val="en-US"/>
        </w:rPr>
        <w:t>期)</w:t>
      </w:r>
    </w:p>
    <w:p>
      <w:pPr>
        <w:ind w:firstLine="480" w:firstLineChars="200"/>
        <w:jc w:val="left"/>
        <w:rPr>
          <w:rFonts w:hint="eastAsia" w:ascii="仿宋_GB2312" w:hAnsi="仿宋_GB2312" w:eastAsia="仿宋_GB2312" w:cs="仿宋_GB2312"/>
          <w:sz w:val="24"/>
          <w:lang w:val="en-US"/>
        </w:rPr>
      </w:pPr>
      <w:r>
        <w:rPr>
          <w:rFonts w:hint="eastAsia" w:ascii="仿宋_GB2312" w:hAnsi="仿宋_GB2312" w:eastAsia="仿宋_GB2312" w:cs="仿宋_GB2312"/>
          <w:sz w:val="24"/>
          <w:lang w:val="en-US"/>
        </w:rPr>
        <w:t xml:space="preserve">                  </w:t>
      </w:r>
    </w:p>
    <w:p>
      <w:pPr>
        <w:ind w:firstLine="2160" w:firstLineChars="900"/>
        <w:jc w:val="left"/>
        <w:rPr>
          <w:rFonts w:hint="eastAsia" w:ascii="仿宋_GB2312" w:hAnsi="仿宋_GB2312" w:eastAsia="仿宋_GB2312" w:cs="仿宋_GB2312"/>
          <w:b/>
          <w:bCs/>
          <w:sz w:val="48"/>
          <w:szCs w:val="44"/>
          <w:lang w:val="en-US"/>
        </w:rPr>
      </w:pPr>
      <w:r>
        <w:rPr>
          <w:rFonts w:hint="eastAsia" w:ascii="仿宋_GB2312" w:hAnsi="仿宋_GB2312" w:eastAsia="仿宋_GB2312" w:cs="仿宋_GB2312"/>
          <w:sz w:val="24"/>
          <w:lang w:val="en-US"/>
        </w:rPr>
        <w:t xml:space="preserve"> </w:t>
      </w:r>
      <w:r>
        <w:rPr>
          <w:rFonts w:hint="eastAsia" w:ascii="仿宋_GB2312" w:hAnsi="仿宋_GB2312" w:eastAsia="仿宋_GB2312" w:cs="仿宋_GB2312"/>
          <w:b/>
          <w:bCs/>
          <w:sz w:val="28"/>
          <w:szCs w:val="24"/>
          <w:lang w:val="en-US"/>
        </w:rPr>
        <w:t>(202</w:t>
      </w:r>
      <w:r>
        <w:rPr>
          <w:rFonts w:hint="default" w:ascii="仿宋_GB2312" w:hAnsi="仿宋_GB2312" w:eastAsia="仿宋_GB2312" w:cs="仿宋_GB2312"/>
          <w:b/>
          <w:bCs/>
          <w:sz w:val="28"/>
          <w:szCs w:val="24"/>
          <w:lang w:val="en-US"/>
        </w:rPr>
        <w:t>4</w:t>
      </w:r>
      <w:r>
        <w:rPr>
          <w:rFonts w:hint="eastAsia" w:ascii="仿宋_GB2312" w:hAnsi="仿宋_GB2312" w:eastAsia="仿宋_GB2312" w:cs="仿宋_GB2312"/>
          <w:b/>
          <w:bCs/>
          <w:sz w:val="28"/>
          <w:szCs w:val="24"/>
          <w:lang w:val="en-US"/>
        </w:rPr>
        <w:t>年</w:t>
      </w:r>
      <w:r>
        <w:rPr>
          <w:rFonts w:hint="default" w:ascii="仿宋_GB2312" w:hAnsi="仿宋_GB2312" w:eastAsia="仿宋_GB2312" w:cs="仿宋_GB2312"/>
          <w:b/>
          <w:bCs/>
          <w:sz w:val="28"/>
          <w:szCs w:val="24"/>
          <w:lang w:val="en-US"/>
        </w:rPr>
        <w:t>0</w:t>
      </w:r>
      <w:r>
        <w:rPr>
          <w:rFonts w:hint="eastAsia" w:ascii="仿宋_GB2312" w:hAnsi="仿宋_GB2312" w:eastAsia="仿宋_GB2312" w:cs="仿宋_GB2312"/>
          <w:b/>
          <w:bCs/>
          <w:sz w:val="28"/>
          <w:szCs w:val="24"/>
          <w:lang w:val="en-US" w:eastAsia="zh-CN"/>
        </w:rPr>
        <w:t>7</w:t>
      </w:r>
      <w:r>
        <w:rPr>
          <w:rFonts w:hint="eastAsia" w:ascii="仿宋_GB2312" w:hAnsi="仿宋_GB2312" w:eastAsia="仿宋_GB2312" w:cs="仿宋_GB2312"/>
          <w:b/>
          <w:bCs/>
          <w:sz w:val="28"/>
          <w:szCs w:val="24"/>
          <w:lang w:val="en-US"/>
        </w:rPr>
        <w:t>月</w:t>
      </w:r>
      <w:r>
        <w:rPr>
          <w:rFonts w:hint="eastAsia" w:ascii="仿宋_GB2312" w:hAnsi="仿宋_GB2312" w:eastAsia="仿宋_GB2312" w:cs="仿宋_GB2312"/>
          <w:b/>
          <w:bCs/>
          <w:sz w:val="28"/>
          <w:szCs w:val="24"/>
          <w:lang w:val="en-US" w:eastAsia="zh-CN"/>
        </w:rPr>
        <w:t>3</w:t>
      </w:r>
      <w:r>
        <w:rPr>
          <w:rFonts w:hint="eastAsia" w:ascii="仿宋_GB2312" w:hAnsi="仿宋_GB2312" w:eastAsia="仿宋_GB2312" w:cs="仿宋_GB2312"/>
          <w:b/>
          <w:bCs/>
          <w:sz w:val="28"/>
          <w:szCs w:val="24"/>
          <w:lang w:val="en-US"/>
        </w:rPr>
        <w:t>日202</w:t>
      </w:r>
      <w:r>
        <w:rPr>
          <w:rFonts w:hint="default" w:ascii="仿宋_GB2312" w:hAnsi="仿宋_GB2312" w:eastAsia="仿宋_GB2312" w:cs="仿宋_GB2312"/>
          <w:b/>
          <w:bCs/>
          <w:sz w:val="28"/>
          <w:szCs w:val="24"/>
          <w:lang w:val="en-US"/>
        </w:rPr>
        <w:t>4</w:t>
      </w:r>
      <w:r>
        <w:rPr>
          <w:rFonts w:hint="eastAsia" w:ascii="仿宋_GB2312" w:hAnsi="仿宋_GB2312" w:eastAsia="仿宋_GB2312" w:cs="仿宋_GB2312"/>
          <w:b/>
          <w:bCs/>
          <w:sz w:val="28"/>
          <w:szCs w:val="24"/>
          <w:lang w:val="en-US"/>
        </w:rPr>
        <w:t>年</w:t>
      </w:r>
      <w:r>
        <w:rPr>
          <w:rFonts w:hint="default" w:ascii="仿宋_GB2312" w:hAnsi="仿宋_GB2312" w:eastAsia="仿宋_GB2312" w:cs="仿宋_GB2312"/>
          <w:b/>
          <w:bCs/>
          <w:sz w:val="28"/>
          <w:szCs w:val="24"/>
          <w:lang w:val="en-US"/>
        </w:rPr>
        <w:t>0</w:t>
      </w:r>
      <w:r>
        <w:rPr>
          <w:rFonts w:hint="eastAsia" w:ascii="仿宋_GB2312" w:hAnsi="仿宋_GB2312" w:eastAsia="仿宋_GB2312" w:cs="仿宋_GB2312"/>
          <w:b/>
          <w:bCs/>
          <w:sz w:val="28"/>
          <w:szCs w:val="24"/>
          <w:lang w:val="en-US" w:eastAsia="zh-CN"/>
        </w:rPr>
        <w:t>7</w:t>
      </w:r>
      <w:r>
        <w:rPr>
          <w:rFonts w:hint="eastAsia" w:ascii="仿宋_GB2312" w:hAnsi="仿宋_GB2312" w:eastAsia="仿宋_GB2312" w:cs="仿宋_GB2312"/>
          <w:b/>
          <w:bCs/>
          <w:sz w:val="28"/>
          <w:szCs w:val="24"/>
          <w:lang w:val="en-US"/>
        </w:rPr>
        <w:t>月</w:t>
      </w:r>
      <w:r>
        <w:rPr>
          <w:rFonts w:hint="eastAsia" w:ascii="仿宋_GB2312" w:hAnsi="仿宋_GB2312" w:eastAsia="仿宋_GB2312" w:cs="仿宋_GB2312"/>
          <w:b/>
          <w:bCs/>
          <w:sz w:val="28"/>
          <w:szCs w:val="24"/>
          <w:lang w:val="en-US" w:eastAsia="zh-CN"/>
        </w:rPr>
        <w:t>9</w:t>
      </w:r>
      <w:r>
        <w:rPr>
          <w:rFonts w:hint="eastAsia" w:ascii="仿宋_GB2312" w:hAnsi="仿宋_GB2312" w:eastAsia="仿宋_GB2312" w:cs="仿宋_GB2312"/>
          <w:b/>
          <w:bCs/>
          <w:sz w:val="28"/>
          <w:szCs w:val="24"/>
          <w:lang w:val="en-US"/>
        </w:rPr>
        <w:t>日)</w:t>
      </w:r>
    </w:p>
    <w:p>
      <w:pPr>
        <w:spacing w:line="360" w:lineRule="auto"/>
        <w:ind w:firstLine="480" w:firstLineChars="200"/>
        <w:jc w:val="left"/>
        <w:rPr>
          <w:rFonts w:hint="eastAsia" w:ascii="仿宋_GB2312" w:hAnsi="仿宋_GB2312" w:eastAsia="仿宋_GB2312" w:cs="仿宋_GB2312"/>
          <w:sz w:val="24"/>
          <w:lang w:val="en-US"/>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rPr>
        <w:t xml:space="preserve">                             </w:t>
      </w:r>
    </w:p>
    <w:p>
      <w:pPr>
        <w:spacing w:line="360" w:lineRule="auto"/>
        <w:jc w:val="left"/>
        <w:rPr>
          <w:rFonts w:hint="default" w:ascii="仿宋_GB2312" w:hAnsi="仿宋_GB2312" w:eastAsia="仿宋_GB2312" w:cs="仿宋_GB2312"/>
          <w:sz w:val="24"/>
          <w:lang w:val="en-US"/>
        </w:rPr>
      </w:pPr>
      <w:r>
        <w:rPr>
          <w:rFonts w:hint="default" w:ascii="仿宋_GB2312" w:hAnsi="仿宋_GB2312" w:eastAsia="仿宋_GB2312" w:cs="仿宋_GB2312"/>
          <w:sz w:val="24"/>
          <w:lang w:val="en-US"/>
        </w:rPr>
        <w:t xml:space="preserve">                               </w:t>
      </w:r>
    </w:p>
    <w:p>
      <w:pPr>
        <w:spacing w:line="360" w:lineRule="auto"/>
        <w:ind w:firstLine="3570" w:firstLineChars="1700"/>
        <w:jc w:val="left"/>
        <w:rPr>
          <w:rFonts w:hint="default"/>
          <w:b/>
          <w:bCs/>
          <w:sz w:val="160"/>
          <w:szCs w:val="56"/>
          <w:lang w:val="en-US"/>
        </w:rPr>
      </w:pPr>
      <w:r>
        <w:rPr>
          <w:rFonts w:hint="default"/>
          <w:lang w:val="en-US"/>
        </w:rPr>
        <w:t xml:space="preserve">  </w:t>
      </w:r>
      <w:r>
        <w:rPr>
          <w:rFonts w:hint="default"/>
          <w:b/>
          <w:bCs/>
          <w:sz w:val="96"/>
          <w:szCs w:val="48"/>
          <w:lang w:val="en-US"/>
        </w:rPr>
        <w:t>安</w:t>
      </w:r>
    </w:p>
    <w:p>
      <w:pPr>
        <w:spacing w:line="360" w:lineRule="auto"/>
        <w:jc w:val="center"/>
        <w:rPr>
          <w:rFonts w:hint="eastAsia" w:ascii="宋体" w:hAnsi="宋体" w:cs="宋体"/>
          <w:b/>
          <w:sz w:val="96"/>
          <w:szCs w:val="96"/>
        </w:rPr>
      </w:pPr>
      <w:r>
        <w:rPr>
          <w:rFonts w:hint="default" w:ascii="宋体" w:hAnsi="宋体" w:cs="宋体"/>
          <w:b/>
          <w:sz w:val="96"/>
          <w:szCs w:val="96"/>
          <w:lang w:val="en-US"/>
        </w:rPr>
        <w:t xml:space="preserve"> 全  </w:t>
      </w:r>
    </w:p>
    <w:p>
      <w:pPr>
        <w:pStyle w:val="10"/>
        <w:ind w:left="0" w:leftChars="0" w:firstLine="3855" w:firstLineChars="400"/>
        <w:rPr>
          <w:rFonts w:ascii="宋体" w:hAnsi="宋体" w:cs="宋体"/>
          <w:b/>
          <w:sz w:val="96"/>
          <w:szCs w:val="96"/>
        </w:rPr>
      </w:pPr>
      <w:r>
        <w:rPr>
          <w:rFonts w:hint="eastAsia" w:ascii="宋体" w:hAnsi="宋体" w:cs="宋体"/>
          <w:b/>
          <w:sz w:val="96"/>
          <w:szCs w:val="96"/>
        </w:rPr>
        <w:t>周</w:t>
      </w:r>
    </w:p>
    <w:p>
      <w:pPr>
        <w:tabs>
          <w:tab w:val="left" w:pos="5821"/>
        </w:tabs>
        <w:spacing w:line="360" w:lineRule="auto"/>
        <w:ind w:firstLine="3855" w:firstLineChars="400"/>
        <w:jc w:val="left"/>
        <w:rPr>
          <w:rFonts w:ascii="宋体" w:hAnsi="宋体" w:cs="宋体"/>
          <w:b/>
          <w:sz w:val="96"/>
          <w:szCs w:val="96"/>
        </w:rPr>
      </w:pPr>
      <w:r>
        <w:rPr>
          <w:rFonts w:hint="eastAsia" w:ascii="宋体" w:hAnsi="宋体" w:cs="宋体"/>
          <w:b/>
          <w:sz w:val="96"/>
          <w:szCs w:val="96"/>
        </w:rPr>
        <w:t>报</w:t>
      </w:r>
    </w:p>
    <w:p>
      <w:pPr>
        <w:spacing w:line="360" w:lineRule="auto"/>
        <w:jc w:val="center"/>
        <w:rPr>
          <w:rFonts w:ascii="宋体" w:hAnsi="宋体" w:cs="宋体"/>
          <w:b/>
          <w:sz w:val="32"/>
          <w:szCs w:val="32"/>
        </w:rPr>
      </w:pPr>
    </w:p>
    <w:p>
      <w:pPr>
        <w:pStyle w:val="16"/>
        <w:spacing w:line="360" w:lineRule="auto"/>
        <w:ind w:left="0" w:leftChars="0" w:firstLine="2650" w:firstLineChars="1100"/>
        <w:rPr>
          <w:rFonts w:hint="eastAsia" w:ascii="宋体" w:hAnsi="宋体" w:cs="宋体"/>
          <w:b/>
          <w:sz w:val="24"/>
          <w:szCs w:val="24"/>
        </w:rPr>
      </w:pPr>
    </w:p>
    <w:p>
      <w:pPr>
        <w:pStyle w:val="16"/>
        <w:spacing w:line="360" w:lineRule="auto"/>
        <w:ind w:left="0" w:leftChars="0" w:firstLine="2650" w:firstLineChars="1100"/>
        <w:rPr>
          <w:rFonts w:hint="eastAsia" w:ascii="仿宋_GB2312" w:hAnsi="仿宋_GB2312" w:eastAsia="仿宋_GB2312" w:cs="仿宋_GB2312"/>
          <w:b/>
          <w:sz w:val="24"/>
          <w:szCs w:val="24"/>
        </w:rPr>
      </w:pPr>
    </w:p>
    <w:p>
      <w:pPr>
        <w:pStyle w:val="16"/>
        <w:spacing w:line="360" w:lineRule="auto"/>
        <w:ind w:left="0" w:leftChars="0" w:firstLine="2650" w:firstLineChars="1100"/>
        <w:rPr>
          <w:rFonts w:hint="eastAsia" w:ascii="仿宋_GB2312" w:hAnsi="仿宋_GB2312" w:eastAsia="仿宋_GB2312" w:cs="仿宋_GB2312"/>
          <w:b/>
          <w:sz w:val="24"/>
          <w:szCs w:val="24"/>
        </w:rPr>
      </w:pPr>
    </w:p>
    <w:p>
      <w:pPr>
        <w:pStyle w:val="16"/>
        <w:spacing w:line="360" w:lineRule="auto"/>
        <w:ind w:left="0" w:leftChars="0" w:firstLine="2650" w:firstLineChars="1100"/>
        <w:rPr>
          <w:rFonts w:hint="eastAsia" w:ascii="仿宋_GB2312" w:hAnsi="仿宋_GB2312" w:eastAsia="仿宋_GB2312" w:cs="仿宋_GB2312"/>
          <w:b/>
          <w:sz w:val="24"/>
          <w:szCs w:val="24"/>
        </w:rPr>
      </w:pPr>
    </w:p>
    <w:p>
      <w:pPr>
        <w:pStyle w:val="16"/>
        <w:spacing w:line="360" w:lineRule="auto"/>
        <w:ind w:left="0" w:leftChars="0" w:firstLine="2771" w:firstLineChars="1150"/>
        <w:rPr>
          <w:rFonts w:hint="default" w:ascii="仿宋_GB2312" w:hAnsi="仿宋_GB2312" w:eastAsia="仿宋_GB2312" w:cs="仿宋_GB2312"/>
          <w:b/>
          <w:sz w:val="24"/>
          <w:szCs w:val="24"/>
          <w:lang w:val="en-US"/>
        </w:rPr>
      </w:pPr>
      <w:r>
        <w:rPr>
          <w:rFonts w:hint="eastAsia" w:ascii="仿宋_GB2312" w:hAnsi="仿宋_GB2312" w:eastAsia="仿宋_GB2312" w:cs="仿宋_GB2312"/>
          <w:b/>
          <w:sz w:val="24"/>
          <w:szCs w:val="24"/>
        </w:rPr>
        <w:t>总监理工程师</w:t>
      </w:r>
      <w:r>
        <w:rPr>
          <w:rFonts w:hint="default" w:ascii="仿宋_GB2312" w:hAnsi="仿宋_GB2312" w:eastAsia="仿宋_GB2312" w:cs="仿宋_GB2312"/>
          <w:b/>
          <w:sz w:val="24"/>
          <w:szCs w:val="24"/>
          <w:lang w:val="en-US"/>
        </w:rPr>
        <w:t>:</w:t>
      </w:r>
    </w:p>
    <w:p>
      <w:pPr>
        <w:pStyle w:val="16"/>
        <w:spacing w:line="360" w:lineRule="auto"/>
        <w:ind w:left="0" w:leftChars="0" w:firstLine="2650" w:firstLineChars="11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常州正衡电力工程监理有限公司</w:t>
      </w:r>
    </w:p>
    <w:p>
      <w:pPr>
        <w:spacing w:line="360" w:lineRule="auto"/>
        <w:ind w:firstLine="2280" w:firstLineChars="950"/>
        <w:jc w:val="both"/>
        <w:rPr>
          <w:rFonts w:hint="eastAsia" w:ascii="仿宋_GB2312" w:hAnsi="仿宋_GB2312" w:eastAsia="仿宋_GB2312" w:cs="仿宋_GB2312"/>
          <w:b/>
          <w:sz w:val="22"/>
          <w:szCs w:val="22"/>
        </w:rPr>
      </w:pPr>
      <w:r>
        <w:rPr>
          <w:rFonts w:hint="eastAsia" w:ascii="仿宋_GB2312" w:hAnsi="仿宋_GB2312" w:eastAsia="仿宋_GB2312" w:cs="仿宋_GB2312"/>
          <w:b w:val="0"/>
          <w:bCs/>
          <w:sz w:val="24"/>
          <w:szCs w:val="24"/>
          <w:lang w:eastAsia="zh-CN"/>
        </w:rPr>
        <w:t>永靖县“十四五"盐锅峡光伏发电项目</w:t>
      </w:r>
      <w:r>
        <w:rPr>
          <w:rFonts w:hint="eastAsia" w:ascii="仿宋_GB2312" w:hAnsi="仿宋_GB2312" w:eastAsia="仿宋_GB2312" w:cs="仿宋_GB2312"/>
          <w:b/>
          <w:sz w:val="22"/>
          <w:szCs w:val="22"/>
        </w:rPr>
        <w:t>监理部</w:t>
      </w:r>
    </w:p>
    <w:p>
      <w:pPr>
        <w:spacing w:line="360" w:lineRule="auto"/>
        <w:jc w:val="center"/>
        <w:rPr>
          <w:rFonts w:hint="eastAsia" w:ascii="仿宋_GB2312" w:hAnsi="仿宋_GB2312" w:eastAsia="仿宋_GB2312" w:cs="仿宋_GB2312"/>
          <w:b/>
          <w:sz w:val="28"/>
          <w:szCs w:val="28"/>
          <w:lang w:val="en-US"/>
        </w:rPr>
      </w:pPr>
      <w:r>
        <w:rPr>
          <w:rFonts w:hint="eastAsia" w:ascii="仿宋_GB2312" w:hAnsi="仿宋_GB2312" w:eastAsia="仿宋_GB2312" w:cs="仿宋_GB2312"/>
          <w:b/>
          <w:sz w:val="28"/>
          <w:szCs w:val="28"/>
          <w:lang w:val="en-US"/>
        </w:rPr>
        <w:t xml:space="preserve">  </w:t>
      </w:r>
      <w:r>
        <w:rPr>
          <w:rFonts w:hint="eastAsia" w:ascii="仿宋_GB2312" w:hAnsi="仿宋_GB2312" w:eastAsia="仿宋_GB2312" w:cs="仿宋_GB2312"/>
          <w:b/>
          <w:sz w:val="24"/>
          <w:szCs w:val="24"/>
        </w:rPr>
        <w:t>日期</w:t>
      </w:r>
      <w:r>
        <w:rPr>
          <w:rFonts w:hint="eastAsia" w:ascii="仿宋_GB2312" w:hAnsi="仿宋_GB2312" w:eastAsia="仿宋_GB2312" w:cs="仿宋_GB2312"/>
          <w:b/>
          <w:sz w:val="24"/>
          <w:szCs w:val="24"/>
          <w:lang w:val="en-US"/>
        </w:rPr>
        <w:t>:202</w:t>
      </w:r>
      <w:r>
        <w:rPr>
          <w:rFonts w:hint="default" w:ascii="仿宋_GB2312" w:hAnsi="仿宋_GB2312" w:eastAsia="仿宋_GB2312" w:cs="仿宋_GB2312"/>
          <w:b/>
          <w:sz w:val="24"/>
          <w:szCs w:val="24"/>
          <w:lang w:val="en-US"/>
        </w:rPr>
        <w:t>4</w:t>
      </w:r>
      <w:r>
        <w:rPr>
          <w:rFonts w:hint="eastAsia" w:ascii="仿宋_GB2312" w:hAnsi="仿宋_GB2312" w:eastAsia="仿宋_GB2312" w:cs="仿宋_GB2312"/>
          <w:b/>
          <w:sz w:val="24"/>
          <w:szCs w:val="24"/>
          <w:lang w:val="en-US"/>
        </w:rPr>
        <w:t>年</w:t>
      </w:r>
      <w:r>
        <w:rPr>
          <w:rFonts w:hint="default" w:ascii="仿宋_GB2312" w:hAnsi="仿宋_GB2312" w:eastAsia="仿宋_GB2312" w:cs="仿宋_GB2312"/>
          <w:b/>
          <w:sz w:val="24"/>
          <w:szCs w:val="24"/>
          <w:lang w:val="en-US"/>
        </w:rPr>
        <w:t>0</w:t>
      </w:r>
      <w:r>
        <w:rPr>
          <w:rFonts w:hint="eastAsia" w:ascii="仿宋_GB2312" w:hAnsi="仿宋_GB2312" w:eastAsia="仿宋_GB2312" w:cs="仿宋_GB2312"/>
          <w:b/>
          <w:sz w:val="24"/>
          <w:szCs w:val="24"/>
          <w:lang w:val="en-US" w:eastAsia="zh-CN"/>
        </w:rPr>
        <w:t>7</w:t>
      </w:r>
      <w:r>
        <w:rPr>
          <w:rFonts w:hint="eastAsia" w:ascii="仿宋_GB2312" w:hAnsi="仿宋_GB2312" w:eastAsia="仿宋_GB2312" w:cs="仿宋_GB2312"/>
          <w:b/>
          <w:sz w:val="24"/>
          <w:szCs w:val="24"/>
          <w:lang w:val="en-US"/>
        </w:rPr>
        <w:t>月</w:t>
      </w:r>
      <w:r>
        <w:rPr>
          <w:rFonts w:hint="eastAsia" w:ascii="仿宋_GB2312" w:hAnsi="仿宋_GB2312" w:eastAsia="仿宋_GB2312" w:cs="仿宋_GB2312"/>
          <w:b/>
          <w:sz w:val="24"/>
          <w:szCs w:val="24"/>
          <w:lang w:val="en-US" w:eastAsia="zh-CN"/>
        </w:rPr>
        <w:t>9</w:t>
      </w:r>
      <w:r>
        <w:rPr>
          <w:rFonts w:hint="eastAsia" w:ascii="仿宋_GB2312" w:hAnsi="仿宋_GB2312" w:eastAsia="仿宋_GB2312" w:cs="仿宋_GB2312"/>
          <w:b/>
          <w:sz w:val="24"/>
          <w:szCs w:val="24"/>
          <w:lang w:val="en-US"/>
        </w:rPr>
        <w:t>日</w:t>
      </w:r>
    </w:p>
    <w:p>
      <w:pPr>
        <w:pStyle w:val="2"/>
        <w:bidi w:val="0"/>
        <w:ind w:firstLine="1988" w:firstLineChars="550"/>
        <w:rPr>
          <w:rFonts w:hint="eastAsia" w:ascii="仿宋_GB2312" w:hAnsi="仿宋_GB2312" w:eastAsia="仿宋_GB2312" w:cs="仿宋_GB2312"/>
          <w:sz w:val="36"/>
          <w:szCs w:val="21"/>
        </w:rPr>
      </w:pPr>
      <w:r>
        <w:rPr>
          <w:rFonts w:hint="eastAsia" w:ascii="仿宋_GB2312" w:hAnsi="仿宋_GB2312" w:eastAsia="仿宋_GB2312" w:cs="仿宋_GB2312"/>
          <w:sz w:val="36"/>
          <w:szCs w:val="21"/>
        </w:rPr>
        <w:t>安</w:t>
      </w:r>
      <w:r>
        <w:rPr>
          <w:rFonts w:hint="default" w:ascii="仿宋_GB2312" w:hAnsi="仿宋_GB2312" w:eastAsia="仿宋_GB2312" w:cs="仿宋_GB2312"/>
          <w:sz w:val="36"/>
          <w:szCs w:val="21"/>
          <w:lang w:val="en-US"/>
        </w:rPr>
        <w:t xml:space="preserve">  </w:t>
      </w:r>
      <w:r>
        <w:rPr>
          <w:rFonts w:hint="eastAsia" w:ascii="仿宋_GB2312" w:hAnsi="仿宋_GB2312" w:eastAsia="仿宋_GB2312" w:cs="仿宋_GB2312"/>
          <w:sz w:val="36"/>
          <w:szCs w:val="21"/>
        </w:rPr>
        <w:t>全</w:t>
      </w:r>
      <w:r>
        <w:rPr>
          <w:rFonts w:hint="default" w:ascii="仿宋_GB2312" w:hAnsi="仿宋_GB2312" w:eastAsia="仿宋_GB2312" w:cs="仿宋_GB2312"/>
          <w:sz w:val="36"/>
          <w:szCs w:val="21"/>
          <w:lang w:val="en-US"/>
        </w:rPr>
        <w:t xml:space="preserve">  </w:t>
      </w:r>
      <w:r>
        <w:rPr>
          <w:rFonts w:hint="eastAsia" w:ascii="仿宋_GB2312" w:hAnsi="仿宋_GB2312" w:eastAsia="仿宋_GB2312" w:cs="仿宋_GB2312"/>
          <w:sz w:val="36"/>
          <w:szCs w:val="21"/>
        </w:rPr>
        <w:t>监   理   周</w:t>
      </w:r>
      <w:r>
        <w:rPr>
          <w:rFonts w:hint="default" w:ascii="仿宋_GB2312" w:hAnsi="仿宋_GB2312" w:eastAsia="仿宋_GB2312" w:cs="仿宋_GB2312"/>
          <w:sz w:val="36"/>
          <w:szCs w:val="21"/>
          <w:lang w:val="en-US"/>
        </w:rPr>
        <w:t xml:space="preserve">  </w:t>
      </w:r>
      <w:r>
        <w:rPr>
          <w:rFonts w:hint="eastAsia" w:ascii="仿宋_GB2312" w:hAnsi="仿宋_GB2312" w:eastAsia="仿宋_GB2312" w:cs="仿宋_GB2312"/>
          <w:sz w:val="36"/>
          <w:szCs w:val="21"/>
        </w:rPr>
        <w:t>报</w:t>
      </w:r>
    </w:p>
    <w:p>
      <w:pPr>
        <w:pStyle w:val="2"/>
        <w:bidi w:val="0"/>
        <w:rPr>
          <w:rFonts w:hint="eastAsia" w:ascii="仿宋_GB2312" w:hAnsi="仿宋_GB2312" w:eastAsia="仿宋_GB2312" w:cs="仿宋_GB2312"/>
          <w:b/>
          <w:bCs w:val="0"/>
          <w:sz w:val="22"/>
          <w:szCs w:val="22"/>
          <w:lang w:val="en-US" w:eastAsia="zh-CN"/>
        </w:rPr>
      </w:pPr>
      <w:r>
        <w:rPr>
          <w:rFonts w:hint="eastAsia" w:ascii="仿宋_GB2312" w:hAnsi="仿宋_GB2312" w:eastAsia="仿宋_GB2312" w:cs="仿宋_GB2312"/>
          <w:sz w:val="22"/>
          <w:szCs w:val="22"/>
        </w:rPr>
        <w:t>工程名称：</w:t>
      </w:r>
      <w:r>
        <w:rPr>
          <w:rFonts w:hint="eastAsia" w:ascii="仿宋_GB2312" w:hAnsi="仿宋_GB2312" w:eastAsia="仿宋_GB2312" w:cs="仿宋_GB2312"/>
          <w:b/>
          <w:bCs w:val="0"/>
          <w:sz w:val="24"/>
          <w:szCs w:val="24"/>
          <w:lang w:eastAsia="zh-CN"/>
        </w:rPr>
        <w:t>永靖县“十四五"盐锅峡光伏发电项目</w:t>
      </w:r>
    </w:p>
    <w:p>
      <w:pPr>
        <w:rPr>
          <w:rFonts w:hint="eastAsia"/>
          <w:lang w:val="en-US" w:eastAsia="zh-CN"/>
        </w:rPr>
      </w:pPr>
    </w:p>
    <w:tbl>
      <w:tblPr>
        <w:tblStyle w:val="12"/>
        <w:tblW w:w="8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765"/>
        <w:gridCol w:w="3017"/>
        <w:gridCol w:w="1344"/>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jc w:val="center"/>
        </w:trPr>
        <w:tc>
          <w:tcPr>
            <w:tcW w:w="1462" w:type="dxa"/>
            <w:vAlign w:val="center"/>
          </w:tcPr>
          <w:p>
            <w:pPr>
              <w:pStyle w:val="18"/>
              <w:spacing w:line="300" w:lineRule="exact"/>
              <w:jc w:val="both"/>
              <w:rPr>
                <w:rFonts w:hint="eastAsia" w:ascii="仿宋_GB2312" w:hAnsi="仿宋_GB2312" w:eastAsia="仿宋_GB2312" w:cs="仿宋_GB2312"/>
              </w:rPr>
            </w:pPr>
            <w:r>
              <w:rPr>
                <w:rFonts w:hint="eastAsia" w:ascii="仿宋_GB2312" w:hAnsi="仿宋_GB2312" w:eastAsia="仿宋_GB2312" w:cs="仿宋_GB2312"/>
                <w:sz w:val="24"/>
                <w:szCs w:val="24"/>
              </w:rPr>
              <w:t>本周施工现场进度情况</w:t>
            </w:r>
          </w:p>
        </w:tc>
        <w:tc>
          <w:tcPr>
            <w:tcW w:w="7389" w:type="dxa"/>
            <w:gridSpan w:val="4"/>
            <w:vAlign w:val="center"/>
          </w:tcPr>
          <w:p>
            <w:pPr>
              <w:pStyle w:val="17"/>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1、主控通信楼、主变及330kV二次小室基础、35kV1#配电室基础完成100%、事故油池、生活蓄水池浇筑完成100%.    </w:t>
            </w:r>
          </w:p>
          <w:p>
            <w:pPr>
              <w:pStyle w:val="17"/>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2、主变基础及系统构筑物的设备基础、330kV构架基础完成100%；</w:t>
            </w:r>
          </w:p>
          <w:p>
            <w:pPr>
              <w:pStyle w:val="17"/>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3、消防水泵房及消防水池完成50%。</w:t>
            </w:r>
          </w:p>
          <w:p>
            <w:pPr>
              <w:pStyle w:val="17"/>
              <w:ind w:left="0" w:leftChars="0" w:firstLine="0" w:firstLineChars="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jc w:val="center"/>
        </w:trPr>
        <w:tc>
          <w:tcPr>
            <w:tcW w:w="1462" w:type="dxa"/>
            <w:vAlign w:val="center"/>
          </w:tcPr>
          <w:p>
            <w:pPr>
              <w:pStyle w:val="18"/>
              <w:spacing w:line="3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本周施工</w:t>
            </w:r>
            <w:r>
              <w:rPr>
                <w:rFonts w:hint="eastAsia" w:ascii="仿宋_GB2312" w:hAnsi="仿宋_GB2312" w:eastAsia="仿宋_GB2312" w:cs="仿宋_GB2312"/>
                <w:sz w:val="24"/>
                <w:szCs w:val="24"/>
                <w:lang w:val="en-US" w:eastAsia="zh-CN"/>
              </w:rPr>
              <w:t>单位安全管理体系及职责执行情况</w:t>
            </w:r>
          </w:p>
        </w:tc>
        <w:tc>
          <w:tcPr>
            <w:tcW w:w="7389" w:type="dxa"/>
            <w:gridSpan w:val="4"/>
            <w:vAlign w:val="center"/>
          </w:tcPr>
          <w:p>
            <w:pPr>
              <w:pStyle w:val="17"/>
              <w:ind w:left="0" w:leftChars="0" w:firstLine="0" w:firstLineChars="0"/>
              <w:rPr>
                <w:rFonts w:hint="default"/>
                <w:lang w:val="en-US" w:eastAsia="zh-CN"/>
              </w:rPr>
            </w:pPr>
            <w:r>
              <w:rPr>
                <w:rFonts w:hint="default" w:ascii="仿宋_GB2312" w:hAnsi="仿宋_GB2312" w:eastAsia="仿宋_GB2312" w:cs="仿宋_GB2312"/>
                <w:sz w:val="24"/>
                <w:szCs w:val="24"/>
                <w:lang w:val="en-US" w:eastAsia="zh-CN"/>
              </w:rPr>
              <w:t>(1)施工企业营业执照和资质证书齐全.(2)检查施工单位项目经理及专职安全管理人员均持证上岗,资格证书否与投标书中人员相符,人证合一,数量是满足合同要求,</w:t>
            </w:r>
            <w:r>
              <w:rPr>
                <w:rFonts w:hint="eastAsia" w:ascii="仿宋_GB2312" w:hAnsi="仿宋_GB2312" w:eastAsia="仿宋_GB2312" w:cs="仿宋_GB2312"/>
                <w:sz w:val="24"/>
                <w:szCs w:val="24"/>
              </w:rPr>
              <w:t>施工</w:t>
            </w:r>
            <w:r>
              <w:rPr>
                <w:rFonts w:hint="eastAsia" w:ascii="仿宋_GB2312" w:hAnsi="仿宋_GB2312" w:eastAsia="仿宋_GB2312" w:cs="仿宋_GB2312"/>
                <w:sz w:val="24"/>
                <w:szCs w:val="24"/>
                <w:lang w:val="en-US" w:eastAsia="zh-CN"/>
              </w:rPr>
              <w:t>单位安全管理体系运转正常</w:t>
            </w:r>
            <w:r>
              <w:rPr>
                <w:rFonts w:hint="default" w:ascii="仿宋_GB2312" w:hAnsi="仿宋_GB2312" w:eastAsia="仿宋_GB2312" w:cs="仿宋_GB2312"/>
                <w:sz w:val="24"/>
                <w:szCs w:val="24"/>
                <w:lang w:val="en-US" w:eastAsia="zh-CN"/>
              </w:rPr>
              <w:t>.安全管理人员在岗</w:t>
            </w:r>
            <w:r>
              <w:rPr>
                <w:rFonts w:hint="eastAsia" w:ascii="仿宋_GB2312" w:hAnsi="仿宋_GB2312" w:eastAsia="仿宋_GB2312" w:cs="仿宋_GB2312"/>
                <w:sz w:val="24"/>
                <w:szCs w:val="18"/>
              </w:rPr>
              <w:t>。</w:t>
            </w:r>
            <w:r>
              <w:rPr>
                <w:rFonts w:hint="default" w:ascii="仿宋_GB2312" w:hAnsi="仿宋_GB2312" w:eastAsia="仿宋_GB2312" w:cs="仿宋_GB2312"/>
                <w:sz w:val="24"/>
                <w:szCs w:val="24"/>
                <w:lang w:val="en-US"/>
              </w:rPr>
              <w:t>未发生安全事故</w:t>
            </w:r>
            <w:r>
              <w:rPr>
                <w:rFonts w:hint="eastAsia" w:ascii="仿宋_GB2312" w:hAnsi="仿宋_GB2312" w:eastAsia="仿宋_GB2312" w:cs="仿宋_GB2312"/>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jc w:val="center"/>
        </w:trPr>
        <w:tc>
          <w:tcPr>
            <w:tcW w:w="1462" w:type="dxa"/>
            <w:vAlign w:val="center"/>
          </w:tcPr>
          <w:p>
            <w:pPr>
              <w:pStyle w:val="18"/>
              <w:spacing w:line="300" w:lineRule="exact"/>
              <w:jc w:val="both"/>
              <w:rPr>
                <w:rFonts w:hint="eastAsia" w:ascii="仿宋_GB2312" w:hAnsi="仿宋_GB2312" w:eastAsia="仿宋_GB2312" w:cs="仿宋_GB2312"/>
              </w:rPr>
            </w:pPr>
            <w:r>
              <w:rPr>
                <w:rFonts w:hint="eastAsia" w:ascii="仿宋_GB2312" w:hAnsi="仿宋_GB2312" w:eastAsia="仿宋_GB2312" w:cs="仿宋_GB2312"/>
                <w:sz w:val="24"/>
                <w:szCs w:val="24"/>
              </w:rPr>
              <w:t>本周施工</w:t>
            </w:r>
            <w:r>
              <w:rPr>
                <w:rFonts w:hint="eastAsia" w:ascii="仿宋_GB2312" w:hAnsi="仿宋_GB2312" w:eastAsia="仿宋_GB2312" w:cs="仿宋_GB2312"/>
                <w:sz w:val="24"/>
                <w:szCs w:val="24"/>
                <w:lang w:val="en-US" w:eastAsia="zh-CN"/>
              </w:rPr>
              <w:t>单位</w:t>
            </w:r>
            <w:r>
              <w:rPr>
                <w:rFonts w:hint="eastAsia" w:ascii="仿宋_GB2312" w:hAnsi="仿宋_GB2312" w:eastAsia="仿宋_GB2312" w:cs="仿宋_GB2312"/>
                <w:sz w:val="24"/>
                <w:szCs w:val="24"/>
              </w:rPr>
              <w:t>安全管理</w:t>
            </w:r>
            <w:r>
              <w:rPr>
                <w:rFonts w:hint="default" w:ascii="仿宋_GB2312" w:hAnsi="仿宋_GB2312" w:eastAsia="仿宋_GB2312" w:cs="仿宋_GB2312"/>
                <w:sz w:val="24"/>
                <w:szCs w:val="24"/>
                <w:lang w:val="en-US"/>
              </w:rPr>
              <w:t>.</w:t>
            </w:r>
            <w:r>
              <w:rPr>
                <w:rFonts w:hint="eastAsia" w:ascii="仿宋_GB2312" w:hAnsi="仿宋_GB2312" w:eastAsia="仿宋_GB2312" w:cs="仿宋_GB2312"/>
                <w:sz w:val="24"/>
                <w:szCs w:val="24"/>
              </w:rPr>
              <w:t>安全方案丶应急预案丶执行情况</w:t>
            </w:r>
          </w:p>
        </w:tc>
        <w:tc>
          <w:tcPr>
            <w:tcW w:w="7389" w:type="dxa"/>
            <w:gridSpan w:val="4"/>
            <w:vAlign w:val="center"/>
          </w:tcPr>
          <w:p>
            <w:pPr>
              <w:pStyle w:val="17"/>
              <w:ind w:left="0" w:leftChars="0" w:firstLine="0" w:firstLineChars="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施工</w:t>
            </w:r>
            <w:r>
              <w:rPr>
                <w:rFonts w:hint="eastAsia" w:ascii="仿宋_GB2312" w:hAnsi="仿宋_GB2312" w:eastAsia="仿宋_GB2312" w:cs="仿宋_GB2312"/>
                <w:sz w:val="24"/>
                <w:szCs w:val="24"/>
                <w:lang w:val="en-US" w:eastAsia="zh-CN"/>
              </w:rPr>
              <w:t>单位</w:t>
            </w:r>
            <w:r>
              <w:rPr>
                <w:rFonts w:hint="eastAsia" w:ascii="仿宋_GB2312" w:hAnsi="仿宋_GB2312" w:eastAsia="仿宋_GB2312" w:cs="仿宋_GB2312"/>
                <w:sz w:val="24"/>
                <w:szCs w:val="24"/>
              </w:rPr>
              <w:t>安全管理丶安全方案丶应急预案丶危险性较大方案均己编制并按监理审查意见完善</w:t>
            </w:r>
            <w:r>
              <w:rPr>
                <w:rFonts w:hint="default" w:ascii="仿宋_GB2312" w:hAnsi="仿宋_GB2312" w:eastAsia="仿宋_GB2312" w:cs="仿宋_GB2312"/>
                <w:sz w:val="24"/>
                <w:szCs w:val="24"/>
                <w:lang w:val="en-US"/>
              </w:rPr>
              <w:t>,总监己审批,施工单位已按审批方案施工</w:t>
            </w:r>
            <w:r>
              <w:rPr>
                <w:rFonts w:hint="eastAsia" w:ascii="仿宋_GB2312" w:hAnsi="仿宋_GB2312" w:eastAsia="仿宋_GB2312" w:cs="仿宋_GB2312"/>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1" w:hRule="atLeast"/>
          <w:jc w:val="center"/>
        </w:trPr>
        <w:tc>
          <w:tcPr>
            <w:tcW w:w="1462" w:type="dxa"/>
            <w:vAlign w:val="center"/>
          </w:tcPr>
          <w:p>
            <w:pPr>
              <w:pStyle w:val="18"/>
              <w:spacing w:line="3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本周施工</w:t>
            </w:r>
            <w:r>
              <w:rPr>
                <w:rFonts w:hint="eastAsia" w:ascii="仿宋_GB2312" w:hAnsi="仿宋_GB2312" w:eastAsia="仿宋_GB2312" w:cs="仿宋_GB2312"/>
                <w:sz w:val="24"/>
                <w:szCs w:val="24"/>
                <w:lang w:val="en-US" w:eastAsia="zh-CN"/>
              </w:rPr>
              <w:t>单位</w:t>
            </w:r>
            <w:r>
              <w:rPr>
                <w:rFonts w:hint="eastAsia" w:ascii="仿宋_GB2312" w:hAnsi="仿宋_GB2312" w:eastAsia="仿宋_GB2312" w:cs="仿宋_GB2312"/>
                <w:sz w:val="24"/>
                <w:szCs w:val="24"/>
              </w:rPr>
              <w:t>进场人员培训丶安全教育及安全交底执行情况</w:t>
            </w:r>
          </w:p>
        </w:tc>
        <w:tc>
          <w:tcPr>
            <w:tcW w:w="7389" w:type="dxa"/>
            <w:gridSpan w:val="4"/>
            <w:vAlign w:val="center"/>
          </w:tcPr>
          <w:p>
            <w:pPr>
              <w:pStyle w:val="17"/>
              <w:widowControl/>
              <w:numPr>
                <w:ilvl w:val="0"/>
                <w:numId w:val="0"/>
              </w:numPr>
              <w:spacing w:line="360" w:lineRule="auto"/>
              <w:jc w:val="both"/>
              <w:rPr>
                <w:rFonts w:hint="eastAsia"/>
                <w:lang w:val="en-US" w:eastAsia="zh-CN"/>
              </w:rPr>
            </w:pPr>
            <w:r>
              <w:rPr>
                <w:rFonts w:hint="eastAsia" w:ascii="仿宋_GB2312" w:hAnsi="仿宋_GB2312" w:eastAsia="仿宋_GB2312" w:cs="仿宋_GB2312"/>
                <w:sz w:val="24"/>
                <w:szCs w:val="24"/>
              </w:rPr>
              <w:t>施工</w:t>
            </w:r>
            <w:r>
              <w:rPr>
                <w:rFonts w:hint="eastAsia" w:ascii="仿宋_GB2312" w:hAnsi="仿宋_GB2312" w:eastAsia="仿宋_GB2312" w:cs="仿宋_GB2312"/>
                <w:sz w:val="24"/>
                <w:szCs w:val="24"/>
                <w:lang w:val="en-US" w:eastAsia="zh-CN"/>
              </w:rPr>
              <w:t>单位对新</w:t>
            </w:r>
            <w:r>
              <w:rPr>
                <w:rFonts w:hint="eastAsia" w:ascii="仿宋_GB2312" w:hAnsi="仿宋_GB2312" w:eastAsia="仿宋_GB2312" w:cs="仿宋_GB2312"/>
                <w:sz w:val="24"/>
                <w:szCs w:val="24"/>
              </w:rPr>
              <w:t>进场人员培训丶三级安全教育及安全交底均落实</w:t>
            </w:r>
            <w:r>
              <w:rPr>
                <w:rFonts w:hint="default" w:ascii="仿宋_GB2312" w:hAnsi="仿宋_GB2312" w:eastAsia="仿宋_GB2312" w:cs="仿宋_GB2312"/>
                <w:sz w:val="24"/>
                <w:szCs w:val="24"/>
                <w:lang w:val="en-US"/>
              </w:rPr>
              <w:t>,均有记录</w:t>
            </w:r>
            <w:r>
              <w:rPr>
                <w:rFonts w:hint="eastAsia" w:ascii="仿宋_GB2312" w:hAnsi="仿宋_GB2312" w:eastAsia="仿宋_GB2312" w:cs="仿宋_GB2312"/>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62" w:type="dxa"/>
            <w:vAlign w:val="center"/>
          </w:tcPr>
          <w:p>
            <w:pPr>
              <w:pStyle w:val="18"/>
              <w:spacing w:line="3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24"/>
                <w:szCs w:val="24"/>
              </w:rPr>
              <w:t>本周</w:t>
            </w:r>
            <w:r>
              <w:rPr>
                <w:rFonts w:hint="eastAsia" w:ascii="仿宋_GB2312" w:hAnsi="仿宋_GB2312" w:eastAsia="仿宋_GB2312" w:cs="仿宋_GB2312"/>
                <w:b w:val="0"/>
                <w:bCs w:val="0"/>
                <w:sz w:val="24"/>
                <w:szCs w:val="24"/>
                <w:vertAlign w:val="baseline"/>
                <w:lang w:val="en-US" w:eastAsia="zh-CN"/>
              </w:rPr>
              <w:t>三宝四囗及临边防护情况</w:t>
            </w:r>
          </w:p>
        </w:tc>
        <w:tc>
          <w:tcPr>
            <w:tcW w:w="7389" w:type="dxa"/>
            <w:gridSpan w:val="4"/>
            <w:vAlign w:val="center"/>
          </w:tcPr>
          <w:p>
            <w:pPr>
              <w:spacing w:line="360" w:lineRule="auto"/>
              <w:ind w:firstLine="360" w:firstLineChars="15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2"/>
              </w:rPr>
              <w:t>临边、洞口、临时设施等安全防护设施齐全，四周有明显标识</w:t>
            </w:r>
            <w:r>
              <w:rPr>
                <w:rFonts w:hint="eastAsia" w:ascii="仿宋_GB2312" w:hAnsi="仿宋_GB2312" w:eastAsia="仿宋_GB2312" w:cs="仿宋_GB2312"/>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jc w:val="center"/>
        </w:trPr>
        <w:tc>
          <w:tcPr>
            <w:tcW w:w="1462" w:type="dxa"/>
            <w:vAlign w:val="center"/>
          </w:tcPr>
          <w:p>
            <w:pPr>
              <w:pStyle w:val="18"/>
              <w:spacing w:line="300" w:lineRule="exact"/>
              <w:jc w:val="both"/>
              <w:rPr>
                <w:rFonts w:hint="eastAsia" w:ascii="仿宋_GB2312" w:hAnsi="仿宋_GB2312" w:eastAsia="仿宋_GB2312" w:cs="仿宋_GB2312"/>
                <w:sz w:val="24"/>
                <w:szCs w:val="28"/>
              </w:rPr>
            </w:pPr>
            <w:r>
              <w:rPr>
                <w:rFonts w:hint="eastAsia" w:ascii="仿宋_GB2312" w:hAnsi="仿宋_GB2312" w:eastAsia="仿宋_GB2312" w:cs="仿宋_GB2312"/>
                <w:sz w:val="24"/>
                <w:szCs w:val="24"/>
              </w:rPr>
              <w:t>本周</w:t>
            </w:r>
            <w:r>
              <w:rPr>
                <w:rFonts w:hint="eastAsia" w:ascii="仿宋_GB2312" w:hAnsi="仿宋_GB2312" w:eastAsia="仿宋_GB2312" w:cs="仿宋_GB2312"/>
                <w:b w:val="0"/>
                <w:bCs w:val="0"/>
                <w:sz w:val="24"/>
                <w:szCs w:val="24"/>
                <w:vertAlign w:val="baseline"/>
                <w:lang w:val="en-US" w:eastAsia="zh-CN"/>
              </w:rPr>
              <w:t>临时用电系统安全情况</w:t>
            </w:r>
          </w:p>
        </w:tc>
        <w:tc>
          <w:tcPr>
            <w:tcW w:w="7389" w:type="dxa"/>
            <w:gridSpan w:val="4"/>
            <w:vAlign w:val="center"/>
          </w:tcPr>
          <w:p>
            <w:pPr>
              <w:pStyle w:val="17"/>
              <w:ind w:left="0" w:leftChars="0" w:firstLine="0" w:firstLineChars="0"/>
              <w:rPr>
                <w:rFonts w:hint="default" w:ascii="仿宋_GB2312" w:hAnsi="仿宋_GB2312" w:eastAsia="仿宋_GB2312" w:cs="仿宋_GB2312"/>
                <w:sz w:val="24"/>
                <w:szCs w:val="18"/>
                <w:lang w:val="en-US" w:eastAsia="zh-CN"/>
              </w:rPr>
            </w:pPr>
            <w:r>
              <w:rPr>
                <w:rFonts w:hint="eastAsia" w:ascii="仿宋_GB2312" w:hAnsi="仿宋_GB2312" w:eastAsia="仿宋_GB2312" w:cs="仿宋_GB2312"/>
                <w:sz w:val="24"/>
                <w:szCs w:val="18"/>
              </w:rPr>
              <w:t>临时用电线路无老化，破损现象，接头包扎良好，无漏电、敷设不规范问题。接地保护和漏 电保护器安全灵敏可靠</w:t>
            </w:r>
            <w:r>
              <w:rPr>
                <w:sz w:val="24"/>
                <w:szCs w:val="18"/>
              </w:rPr>
              <w:t>。</w:t>
            </w:r>
            <w:r>
              <w:rPr>
                <w:rFonts w:hint="eastAsia" w:ascii="仿宋_GB2312" w:hAnsi="仿宋_GB2312" w:eastAsia="仿宋_GB2312" w:cs="仿宋_GB2312"/>
                <w:sz w:val="24"/>
                <w:szCs w:val="18"/>
              </w:rPr>
              <w:t>配电箱和开关的配电标志清晰，符合</w:t>
            </w:r>
            <w:r>
              <w:rPr>
                <w:rFonts w:hint="eastAsia" w:ascii="仿宋_GB2312" w:hAnsi="仿宋_GB2312" w:eastAsia="仿宋_GB2312" w:cs="仿宋_GB2312"/>
                <w:sz w:val="24"/>
                <w:szCs w:val="18"/>
                <w:lang w:val="zh-CN" w:bidi="zh-CN"/>
              </w:rPr>
              <w:t>一</w:t>
            </w:r>
            <w:r>
              <w:rPr>
                <w:rFonts w:hint="eastAsia" w:ascii="仿宋_GB2312" w:hAnsi="仿宋_GB2312" w:eastAsia="仿宋_GB2312" w:cs="仿宋_GB2312"/>
                <w:sz w:val="24"/>
                <w:szCs w:val="18"/>
              </w:rPr>
              <w:t>机一闸一箱一漏保”要求。配电枑标识清晰</w:t>
            </w:r>
            <w:r>
              <w:rPr>
                <w:rFonts w:hint="default" w:ascii="仿宋_GB2312" w:hAnsi="仿宋_GB2312" w:eastAsia="仿宋_GB2312" w:cs="仿宋_GB2312"/>
                <w:sz w:val="24"/>
                <w:szCs w:val="18"/>
                <w:lang w:val="en-US"/>
              </w:rPr>
              <w:t>,有可靠接地,现场配电无私拉乱接现象</w:t>
            </w:r>
            <w:r>
              <w:rPr>
                <w:rFonts w:hint="eastAsia" w:ascii="仿宋_GB2312" w:hAnsi="仿宋_GB2312" w:eastAsia="仿宋_GB2312" w:cs="仿宋_GB2312"/>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jc w:val="center"/>
        </w:trPr>
        <w:tc>
          <w:tcPr>
            <w:tcW w:w="1462" w:type="dxa"/>
            <w:vAlign w:val="center"/>
          </w:tcPr>
          <w:p>
            <w:pPr>
              <w:pStyle w:val="18"/>
              <w:spacing w:line="3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4"/>
                <w:szCs w:val="24"/>
              </w:rPr>
              <w:t>本周</w:t>
            </w:r>
            <w:r>
              <w:rPr>
                <w:rFonts w:hint="eastAsia" w:ascii="仿宋_GB2312" w:hAnsi="仿宋_GB2312" w:eastAsia="仿宋_GB2312" w:cs="仿宋_GB2312"/>
                <w:b w:val="0"/>
                <w:bCs w:val="0"/>
                <w:sz w:val="24"/>
                <w:szCs w:val="24"/>
                <w:vertAlign w:val="baseline"/>
                <w:lang w:val="en-US" w:eastAsia="zh-CN"/>
              </w:rPr>
              <w:t>脚手架搭设、塔吊、设备安全检查情况</w:t>
            </w:r>
          </w:p>
        </w:tc>
        <w:tc>
          <w:tcPr>
            <w:tcW w:w="7389" w:type="dxa"/>
            <w:gridSpan w:val="4"/>
            <w:vAlign w:val="center"/>
          </w:tcPr>
          <w:p>
            <w:pPr>
              <w:pStyle w:val="17"/>
              <w:ind w:left="0" w:leftChars="0" w:firstLine="0" w:firstLineChars="0"/>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脚手架搭设有安全施工专项方案并通过审批</w:t>
            </w:r>
            <w:r>
              <w:rPr>
                <w:rFonts w:hint="default" w:ascii="仿宋_GB2312" w:hAnsi="仿宋_GB2312" w:eastAsia="仿宋_GB2312" w:cs="仿宋_GB2312"/>
                <w:b w:val="0"/>
                <w:bCs w:val="0"/>
                <w:sz w:val="24"/>
                <w:szCs w:val="24"/>
                <w:vertAlign w:val="baseline"/>
                <w:lang w:val="en-US" w:eastAsia="zh-CN"/>
              </w:rPr>
              <w:t>,架体外侧有密目式安全网进行封闭,悬挑层设挡脚板,通过检测验收,有记录,有检测证书</w:t>
            </w:r>
            <w:r>
              <w:rPr>
                <w:rFonts w:hint="eastAsia" w:ascii="仿宋_GB2312" w:hAnsi="仿宋_GB2312" w:eastAsia="仿宋_GB2312" w:cs="仿宋_GB2312"/>
                <w:sz w:val="24"/>
                <w:szCs w:val="18"/>
              </w:rPr>
              <w:t>。</w:t>
            </w:r>
          </w:p>
          <w:p>
            <w:pPr>
              <w:pStyle w:val="17"/>
              <w:ind w:left="0" w:leftChars="0" w:firstLine="0" w:firstLineChars="0"/>
              <w:rPr>
                <w:rFonts w:hint="default"/>
                <w:lang w:val="en-US" w:eastAsia="zh-CN"/>
              </w:rPr>
            </w:pPr>
            <w:r>
              <w:rPr>
                <w:rFonts w:hint="eastAsia" w:ascii="仿宋_GB2312" w:hAnsi="仿宋_GB2312" w:eastAsia="仿宋_GB2312" w:cs="仿宋_GB2312"/>
                <w:b w:val="0"/>
                <w:bCs w:val="0"/>
                <w:sz w:val="24"/>
                <w:szCs w:val="24"/>
                <w:vertAlign w:val="baseline"/>
                <w:lang w:val="en-US" w:eastAsia="zh-CN"/>
              </w:rPr>
              <w:t>塔吊有安全施工专项方案并通过审批并</w:t>
            </w:r>
            <w:r>
              <w:rPr>
                <w:rFonts w:hint="default" w:ascii="仿宋_GB2312" w:hAnsi="仿宋_GB2312" w:eastAsia="仿宋_GB2312" w:cs="仿宋_GB2312"/>
                <w:b w:val="0"/>
                <w:bCs w:val="0"/>
                <w:sz w:val="24"/>
                <w:szCs w:val="24"/>
                <w:vertAlign w:val="baseline"/>
                <w:lang w:val="en-US" w:eastAsia="zh-CN"/>
              </w:rPr>
              <w:t>检测验收,吊塔己备案使用,安全保护奘置齐全,有明显限载标志,有安全操作规程,使用有专人指挥</w:t>
            </w:r>
            <w:r>
              <w:rPr>
                <w:rFonts w:hint="eastAsia" w:ascii="仿宋_GB2312" w:hAnsi="仿宋_GB2312" w:eastAsia="仿宋_GB2312" w:cs="仿宋_GB2312"/>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7" w:hRule="atLeast"/>
          <w:jc w:val="center"/>
        </w:trPr>
        <w:tc>
          <w:tcPr>
            <w:tcW w:w="1462" w:type="dxa"/>
            <w:vAlign w:val="center"/>
          </w:tcPr>
          <w:p>
            <w:pPr>
              <w:pStyle w:val="18"/>
              <w:spacing w:line="3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24"/>
                <w:szCs w:val="24"/>
              </w:rPr>
              <w:t>本周</w:t>
            </w:r>
            <w:r>
              <w:rPr>
                <w:rFonts w:hint="eastAsia" w:ascii="仿宋_GB2312" w:hAnsi="仿宋_GB2312" w:eastAsia="仿宋_GB2312" w:cs="仿宋_GB2312"/>
                <w:b w:val="0"/>
                <w:bCs w:val="0"/>
                <w:sz w:val="24"/>
                <w:szCs w:val="24"/>
                <w:vertAlign w:val="baseline"/>
                <w:lang w:val="en-US" w:eastAsia="zh-CN"/>
              </w:rPr>
              <w:t>施工机械、设备安全情况</w:t>
            </w:r>
          </w:p>
        </w:tc>
        <w:tc>
          <w:tcPr>
            <w:tcW w:w="7389" w:type="dxa"/>
            <w:gridSpan w:val="4"/>
            <w:vAlign w:val="top"/>
          </w:tcPr>
          <w:p>
            <w:pPr>
              <w:spacing w:line="360" w:lineRule="auto"/>
              <w:rPr>
                <w:rFonts w:hint="eastAsia" w:ascii="Times New Roman" w:hAnsi="Times New Roman" w:eastAsia="宋体" w:cs="Times New Roman"/>
                <w:kern w:val="2"/>
                <w:sz w:val="21"/>
                <w:lang w:val="en-US" w:eastAsia="zh-CN" w:bidi="ar-SA"/>
              </w:rPr>
            </w:pPr>
            <w:r>
              <w:rPr>
                <w:rFonts w:hint="eastAsia" w:ascii="仿宋_GB2312" w:hAnsi="仿宋_GB2312" w:eastAsia="仿宋_GB2312" w:cs="仿宋_GB2312"/>
                <w:sz w:val="24"/>
                <w:szCs w:val="22"/>
              </w:rPr>
              <w:t>大型（特种）设备开展了设备状态检查评估确认，状态良好。其他机械设备保护接地和漏电保护符合要求，线路无老化破损情况。试运行状态良好。问题见整改及措施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1462" w:type="dxa"/>
            <w:vAlign w:val="center"/>
          </w:tcPr>
          <w:p>
            <w:pPr>
              <w:pStyle w:val="18"/>
              <w:spacing w:line="300" w:lineRule="exact"/>
              <w:jc w:val="both"/>
              <w:rPr>
                <w:rFonts w:hint="eastAsia" w:ascii="仿宋_GB2312" w:hAnsi="仿宋_GB2312" w:eastAsia="仿宋_GB2312" w:cs="仿宋_GB2312"/>
                <w:sz w:val="24"/>
                <w:szCs w:val="28"/>
              </w:rPr>
            </w:pPr>
            <w:r>
              <w:rPr>
                <w:rFonts w:hint="eastAsia" w:ascii="仿宋_GB2312" w:hAnsi="仿宋_GB2312" w:eastAsia="仿宋_GB2312" w:cs="仿宋_GB2312"/>
                <w:sz w:val="24"/>
                <w:szCs w:val="24"/>
              </w:rPr>
              <w:t>本周</w:t>
            </w:r>
            <w:r>
              <w:rPr>
                <w:rFonts w:hint="eastAsia" w:ascii="仿宋_GB2312" w:hAnsi="仿宋_GB2312" w:eastAsia="仿宋_GB2312" w:cs="仿宋_GB2312"/>
                <w:b w:val="0"/>
                <w:bCs w:val="0"/>
                <w:sz w:val="24"/>
                <w:szCs w:val="24"/>
                <w:vertAlign w:val="baseline"/>
                <w:lang w:val="en-US" w:eastAsia="zh-CN"/>
              </w:rPr>
              <w:t>现场消防安全情况</w:t>
            </w:r>
          </w:p>
        </w:tc>
        <w:tc>
          <w:tcPr>
            <w:tcW w:w="7389" w:type="dxa"/>
            <w:gridSpan w:val="4"/>
            <w:vAlign w:val="top"/>
          </w:tcPr>
          <w:p>
            <w:pPr>
              <w:spacing w:line="360" w:lineRule="auto"/>
              <w:rPr>
                <w:rFonts w:hint="eastAsia" w:ascii="Times New Roman" w:hAnsi="Times New Roman" w:eastAsia="宋体" w:cs="Times New Roman"/>
                <w:kern w:val="2"/>
                <w:sz w:val="21"/>
                <w:lang w:val="en-US" w:eastAsia="zh-CN" w:bidi="ar-SA"/>
              </w:rPr>
            </w:pPr>
            <w:r>
              <w:rPr>
                <w:rFonts w:hint="eastAsia" w:ascii="仿宋_GB2312" w:hAnsi="仿宋_GB2312" w:eastAsia="仿宋_GB2312" w:cs="仿宋_GB2312"/>
                <w:sz w:val="24"/>
                <w:szCs w:val="22"/>
              </w:rPr>
              <w:t>消防安全制度己建立</w:t>
            </w:r>
            <w:r>
              <w:rPr>
                <w:rFonts w:hint="default" w:ascii="仿宋_GB2312" w:hAnsi="仿宋_GB2312" w:eastAsia="仿宋_GB2312" w:cs="仿宋_GB2312"/>
                <w:sz w:val="24"/>
                <w:szCs w:val="22"/>
                <w:lang w:val="en-US"/>
              </w:rPr>
              <w:t>,消防培训和演练均按计划实施,对施工单位火灾隐患检查</w:t>
            </w:r>
            <w:r>
              <w:rPr>
                <w:rFonts w:hint="eastAsia" w:ascii="仿宋_GB2312" w:hAnsi="仿宋_GB2312" w:eastAsia="仿宋_GB2312" w:cs="仿宋_GB2312"/>
                <w:sz w:val="24"/>
                <w:szCs w:val="22"/>
              </w:rPr>
              <w:t>、对电气设备检</w:t>
            </w:r>
            <w:r>
              <w:rPr>
                <w:rFonts w:hint="default" w:ascii="仿宋_GB2312" w:hAnsi="仿宋_GB2312" w:eastAsia="仿宋_GB2312" w:cs="仿宋_GB2312"/>
                <w:sz w:val="24"/>
                <w:szCs w:val="22"/>
                <w:lang w:val="en-US"/>
              </w:rPr>
              <w:t>查,</w:t>
            </w:r>
            <w:r>
              <w:rPr>
                <w:rFonts w:hint="eastAsia" w:ascii="仿宋_GB2312" w:hAnsi="仿宋_GB2312" w:eastAsia="仿宋_GB2312" w:cs="仿宋_GB2312"/>
                <w:sz w:val="24"/>
                <w:szCs w:val="22"/>
              </w:rPr>
              <w:t>对</w:t>
            </w:r>
            <w:r>
              <w:rPr>
                <w:rFonts w:hint="default" w:ascii="仿宋_GB2312" w:hAnsi="仿宋_GB2312" w:eastAsia="仿宋_GB2312" w:cs="仿宋_GB2312"/>
                <w:sz w:val="24"/>
                <w:szCs w:val="22"/>
                <w:lang w:val="en-US"/>
              </w:rPr>
              <w:t>电线</w:t>
            </w:r>
            <w:r>
              <w:rPr>
                <w:rFonts w:hint="eastAsia" w:ascii="仿宋_GB2312" w:hAnsi="仿宋_GB2312" w:eastAsia="仿宋_GB2312" w:cs="仿宋_GB2312"/>
                <w:sz w:val="24"/>
                <w:szCs w:val="22"/>
              </w:rPr>
              <w:t>检</w:t>
            </w:r>
            <w:r>
              <w:rPr>
                <w:rFonts w:hint="default" w:ascii="仿宋_GB2312" w:hAnsi="仿宋_GB2312" w:eastAsia="仿宋_GB2312" w:cs="仿宋_GB2312"/>
                <w:sz w:val="24"/>
                <w:szCs w:val="22"/>
                <w:lang w:val="en-US"/>
              </w:rPr>
              <w:t>查无老化</w:t>
            </w:r>
            <w:r>
              <w:rPr>
                <w:rFonts w:hint="eastAsia" w:ascii="仿宋_GB2312" w:hAnsi="仿宋_GB2312" w:eastAsia="仿宋_GB2312" w:cs="仿宋_GB2312"/>
                <w:sz w:val="24"/>
                <w:szCs w:val="22"/>
              </w:rPr>
              <w:t>、</w:t>
            </w:r>
            <w:r>
              <w:rPr>
                <w:rFonts w:hint="default" w:ascii="仿宋_GB2312" w:hAnsi="仿宋_GB2312" w:eastAsia="仿宋_GB2312" w:cs="仿宋_GB2312"/>
                <w:sz w:val="24"/>
                <w:szCs w:val="22"/>
                <w:lang w:val="en-US"/>
              </w:rPr>
              <w:t>缺路现象,</w:t>
            </w:r>
            <w:r>
              <w:rPr>
                <w:rFonts w:hint="eastAsia" w:ascii="仿宋_GB2312" w:hAnsi="仿宋_GB2312" w:eastAsia="仿宋_GB2312" w:cs="仿宋_GB2312"/>
                <w:sz w:val="24"/>
                <w:szCs w:val="22"/>
              </w:rPr>
              <w:t>作业场所、加工厂、驻地设备灭火器、消防砂等消防器材配置符合要求。职工生活驻地无乱接线情况，无违规使用大功率电器情况。问题见整改及措施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462" w:type="dxa"/>
            <w:vAlign w:val="center"/>
          </w:tcPr>
          <w:p>
            <w:pPr>
              <w:pStyle w:val="18"/>
              <w:spacing w:line="3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8"/>
              </w:rPr>
              <w:t>安全风险</w:t>
            </w:r>
            <w:r>
              <w:rPr>
                <w:rFonts w:hint="eastAsia" w:ascii="仿宋_GB2312" w:hAnsi="仿宋_GB2312" w:eastAsia="仿宋_GB2312" w:cs="仿宋_GB2312"/>
                <w:b w:val="0"/>
                <w:bCs w:val="0"/>
                <w:sz w:val="24"/>
                <w:szCs w:val="24"/>
                <w:vertAlign w:val="baseline"/>
                <w:lang w:val="en-US" w:eastAsia="zh-CN"/>
              </w:rPr>
              <w:t>、</w:t>
            </w:r>
            <w:r>
              <w:rPr>
                <w:rFonts w:hint="eastAsia" w:ascii="仿宋_GB2312" w:hAnsi="仿宋_GB2312" w:eastAsia="仿宋_GB2312" w:cs="仿宋_GB2312"/>
                <w:sz w:val="24"/>
                <w:szCs w:val="24"/>
              </w:rPr>
              <w:t>安全专项方案编制与专家论证</w:t>
            </w:r>
          </w:p>
        </w:tc>
        <w:tc>
          <w:tcPr>
            <w:tcW w:w="7389" w:type="dxa"/>
            <w:gridSpan w:val="4"/>
            <w:vAlign w:val="top"/>
          </w:tcPr>
          <w:p>
            <w:pPr>
              <w:rPr>
                <w:rFonts w:hint="eastAsia"/>
                <w:sz w:val="22"/>
                <w:szCs w:val="21"/>
              </w:rPr>
            </w:pPr>
          </w:p>
          <w:p>
            <w:pPr>
              <w:rPr>
                <w:rFonts w:hint="eastAsia" w:ascii="仿宋_GB2312" w:hAnsi="仿宋_GB2312" w:eastAsia="仿宋_GB2312" w:cs="仿宋_GB2312"/>
                <w:sz w:val="22"/>
                <w:szCs w:val="21"/>
              </w:rPr>
            </w:pPr>
            <w:r>
              <w:rPr>
                <w:rFonts w:hint="eastAsia" w:ascii="仿宋_GB2312" w:hAnsi="仿宋_GB2312" w:eastAsia="仿宋_GB2312" w:cs="仿宋_GB2312"/>
                <w:sz w:val="24"/>
                <w:szCs w:val="22"/>
              </w:rPr>
              <w:t>对安全风险进行了研判，制定了风险管控措施，建立安全隐患问题库</w:t>
            </w:r>
            <w:r>
              <w:rPr>
                <w:rFonts w:hint="eastAsia" w:ascii="仿宋_GB2312" w:hAnsi="仿宋_GB2312" w:eastAsia="仿宋_GB2312" w:cs="仿宋_GB2312"/>
                <w:sz w:val="22"/>
                <w:szCs w:val="21"/>
              </w:rPr>
              <w:t>。</w:t>
            </w:r>
          </w:p>
          <w:p>
            <w:pPr>
              <w:pStyle w:val="10"/>
              <w:rPr>
                <w:rFonts w:hint="default"/>
                <w:lang w:val="en-US" w:eastAsia="zh-CN"/>
              </w:rPr>
            </w:pPr>
            <w:r>
              <w:rPr>
                <w:rFonts w:hint="eastAsia" w:ascii="仿宋_GB2312" w:hAnsi="仿宋_GB2312" w:eastAsia="仿宋_GB2312" w:cs="仿宋_GB2312"/>
                <w:sz w:val="24"/>
                <w:szCs w:val="24"/>
                <w:lang w:val="en-US" w:eastAsia="zh-CN"/>
              </w:rPr>
              <w:t>危大工程</w:t>
            </w:r>
            <w:r>
              <w:rPr>
                <w:rFonts w:hint="eastAsia" w:ascii="仿宋_GB2312" w:hAnsi="仿宋_GB2312" w:eastAsia="仿宋_GB2312" w:cs="仿宋_GB2312"/>
                <w:sz w:val="24"/>
                <w:szCs w:val="24"/>
              </w:rPr>
              <w:t>方案编制并经专家论证同意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1462" w:type="dxa"/>
            <w:vAlign w:val="center"/>
          </w:tcPr>
          <w:p>
            <w:pPr>
              <w:pStyle w:val="18"/>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本周施工</w:t>
            </w:r>
            <w:r>
              <w:rPr>
                <w:rFonts w:hint="eastAsia" w:ascii="仿宋_GB2312" w:hAnsi="仿宋_GB2312" w:eastAsia="仿宋_GB2312" w:cs="仿宋_GB2312"/>
                <w:sz w:val="24"/>
                <w:szCs w:val="24"/>
                <w:lang w:val="en-US" w:eastAsia="zh-CN"/>
              </w:rPr>
              <w:t>单位</w:t>
            </w:r>
            <w:r>
              <w:rPr>
                <w:rFonts w:hint="eastAsia" w:ascii="仿宋_GB2312" w:hAnsi="仿宋_GB2312" w:eastAsia="仿宋_GB2312" w:cs="仿宋_GB2312"/>
                <w:sz w:val="24"/>
                <w:szCs w:val="24"/>
              </w:rPr>
              <w:t>特种人员作业上岗情况</w:t>
            </w:r>
          </w:p>
        </w:tc>
        <w:tc>
          <w:tcPr>
            <w:tcW w:w="7389" w:type="dxa"/>
            <w:gridSpan w:val="4"/>
            <w:vAlign w:val="center"/>
          </w:tcPr>
          <w:p>
            <w:pPr>
              <w:pStyle w:val="17"/>
              <w:ind w:left="0" w:leftChars="0" w:firstLine="0" w:firstLineChars="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施工单位电工丶电焊工丶架子工丶高空作业证丶吊车司机丶起重司索信号工丶其他工种均人证合－</w:t>
            </w:r>
            <w:r>
              <w:rPr>
                <w:rFonts w:hint="default" w:ascii="仿宋_GB2312" w:hAnsi="仿宋_GB2312" w:eastAsia="仿宋_GB2312" w:cs="仿宋_GB2312"/>
                <w:sz w:val="24"/>
                <w:szCs w:val="24"/>
                <w:lang w:val="en-US" w:eastAsia="zh-CN"/>
              </w:rPr>
              <w:t>,证件齐全有效,</w:t>
            </w:r>
            <w:r>
              <w:rPr>
                <w:rFonts w:hint="eastAsia" w:ascii="仿宋_GB2312" w:hAnsi="仿宋_GB2312" w:eastAsia="仿宋_GB2312" w:cs="仿宋_GB2312"/>
                <w:sz w:val="24"/>
                <w:szCs w:val="24"/>
                <w:lang w:val="en-US" w:eastAsia="zh-CN"/>
              </w:rPr>
              <w:t>持证上岗</w:t>
            </w:r>
            <w:r>
              <w:rPr>
                <w:rFonts w:hint="eastAsia" w:ascii="仿宋_GB2312" w:hAnsi="仿宋_GB2312" w:eastAsia="仿宋_GB2312" w:cs="仿宋_GB2312"/>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jc w:val="center"/>
        </w:trPr>
        <w:tc>
          <w:tcPr>
            <w:tcW w:w="1462" w:type="dxa"/>
            <w:vAlign w:val="center"/>
          </w:tcPr>
          <w:p>
            <w:pPr>
              <w:pStyle w:val="18"/>
              <w:spacing w:line="300" w:lineRule="exact"/>
              <w:jc w:val="both"/>
              <w:rPr>
                <w:rFonts w:hint="eastAsia" w:ascii="仿宋_GB2312" w:hAnsi="仿宋_GB2312" w:eastAsia="仿宋_GB2312" w:cs="仿宋_GB2312"/>
              </w:rPr>
            </w:pPr>
            <w:r>
              <w:rPr>
                <w:rFonts w:hint="eastAsia" w:ascii="仿宋_GB2312" w:hAnsi="仿宋_GB2312" w:eastAsia="仿宋_GB2312" w:cs="仿宋_GB2312"/>
                <w:sz w:val="24"/>
                <w:szCs w:val="24"/>
              </w:rPr>
              <w:t>本周高空作业安全情况</w:t>
            </w:r>
          </w:p>
        </w:tc>
        <w:tc>
          <w:tcPr>
            <w:tcW w:w="7389" w:type="dxa"/>
            <w:gridSpan w:val="4"/>
            <w:vAlign w:val="center"/>
          </w:tcPr>
          <w:p>
            <w:pPr>
              <w:pStyle w:val="17"/>
              <w:ind w:left="0" w:leftChars="0" w:firstLine="0" w:firstLineChars="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高空作业人员持证上岗</w:t>
            </w:r>
            <w:r>
              <w:rPr>
                <w:rFonts w:hint="default" w:ascii="仿宋_GB2312" w:hAnsi="仿宋_GB2312" w:eastAsia="仿宋_GB2312" w:cs="仿宋_GB2312"/>
                <w:sz w:val="24"/>
                <w:szCs w:val="24"/>
                <w:lang w:val="en-US"/>
              </w:rPr>
              <w:t>,人证合－,身体健康,天气周边环境适合</w:t>
            </w:r>
            <w:r>
              <w:rPr>
                <w:rFonts w:hint="eastAsia" w:ascii="仿宋_GB2312" w:hAnsi="仿宋_GB2312" w:eastAsia="仿宋_GB2312" w:cs="仿宋_GB2312"/>
                <w:sz w:val="24"/>
                <w:szCs w:val="24"/>
              </w:rPr>
              <w:t>高空作业</w:t>
            </w:r>
            <w:r>
              <w:rPr>
                <w:rFonts w:hint="default" w:ascii="仿宋_GB2312" w:hAnsi="仿宋_GB2312" w:eastAsia="仿宋_GB2312" w:cs="仿宋_GB2312"/>
                <w:sz w:val="24"/>
                <w:szCs w:val="24"/>
                <w:lang w:val="en-US"/>
              </w:rPr>
              <w:t>,且做好警戒及告知,</w:t>
            </w:r>
            <w:r>
              <w:rPr>
                <w:rFonts w:hint="eastAsia" w:ascii="仿宋_GB2312" w:hAnsi="仿宋_GB2312" w:eastAsia="仿宋_GB2312" w:cs="仿宋_GB2312"/>
                <w:sz w:val="24"/>
                <w:szCs w:val="24"/>
              </w:rPr>
              <w:t>高空作业人员正确配戴安全带</w:t>
            </w:r>
            <w:r>
              <w:rPr>
                <w:rFonts w:hint="eastAsia" w:ascii="仿宋_GB2312" w:hAnsi="仿宋_GB2312" w:eastAsia="仿宋_GB2312" w:cs="仿宋_GB2312"/>
                <w:sz w:val="24"/>
                <w:szCs w:val="24"/>
                <w:lang w:val="en-US" w:eastAsia="zh-CN"/>
              </w:rPr>
              <w:t>丶</w:t>
            </w:r>
            <w:r>
              <w:rPr>
                <w:rFonts w:hint="eastAsia" w:ascii="仿宋_GB2312" w:hAnsi="仿宋_GB2312" w:eastAsia="仿宋_GB2312" w:cs="仿宋_GB2312"/>
                <w:sz w:val="24"/>
                <w:szCs w:val="24"/>
              </w:rPr>
              <w:t>安全帽和防滑鞋</w:t>
            </w:r>
            <w:r>
              <w:rPr>
                <w:rFonts w:hint="default" w:ascii="仿宋_GB2312" w:hAnsi="仿宋_GB2312" w:eastAsia="仿宋_GB2312" w:cs="仿宋_GB2312"/>
                <w:sz w:val="24"/>
                <w:szCs w:val="24"/>
                <w:lang w:val="en-US"/>
              </w:rPr>
              <w:t>,且正确穿戴劳保用品,工作绳柔性导轨安全短绳无磨损断股现象,挂点装置牢固可靠,承载力符合要求,绳结为死结,作业完成之前不允许拆除防护设施</w:t>
            </w:r>
            <w:r>
              <w:rPr>
                <w:rFonts w:hint="eastAsia" w:ascii="仿宋_GB2312" w:hAnsi="仿宋_GB2312" w:eastAsia="仿宋_GB2312" w:cs="仿宋_GB2312"/>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4" w:hRule="atLeast"/>
          <w:jc w:val="center"/>
        </w:trPr>
        <w:tc>
          <w:tcPr>
            <w:tcW w:w="1462" w:type="dxa"/>
            <w:vAlign w:val="center"/>
          </w:tcPr>
          <w:p>
            <w:pPr>
              <w:pStyle w:val="18"/>
              <w:spacing w:line="3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基坑支护安全措施</w:t>
            </w:r>
          </w:p>
        </w:tc>
        <w:tc>
          <w:tcPr>
            <w:tcW w:w="7389" w:type="dxa"/>
            <w:gridSpan w:val="4"/>
            <w:vAlign w:val="center"/>
          </w:tcPr>
          <w:p>
            <w:pPr>
              <w:pStyle w:val="17"/>
              <w:widowControl/>
              <w:numPr>
                <w:ilvl w:val="0"/>
                <w:numId w:val="0"/>
              </w:numPr>
              <w:spacing w:line="360" w:lineRule="auto"/>
              <w:jc w:val="both"/>
              <w:rPr>
                <w:rFonts w:hint="eastAsia"/>
                <w:lang w:val="en-US" w:eastAsia="zh-CN"/>
              </w:rPr>
            </w:pPr>
            <w:r>
              <w:rPr>
                <w:rFonts w:hint="eastAsia" w:ascii="仿宋_GB2312" w:hAnsi="仿宋_GB2312" w:eastAsia="仿宋_GB2312" w:cs="仿宋_GB2312"/>
                <w:sz w:val="24"/>
                <w:szCs w:val="18"/>
              </w:rPr>
              <w:t>施工支架支撑系统完备、杆件质量良好、节点连接牢固、基础处理合理、支架系统无散杂物 料堆放，经检查检测无杆件偏斜变形</w:t>
            </w:r>
            <w:r>
              <w:rPr>
                <w:rFonts w:hint="eastAsia" w:ascii="仿宋_GB2312" w:hAnsi="仿宋_GB2312" w:eastAsia="仿宋_GB2312" w:cs="仿宋_GB2312"/>
                <w:sz w:val="24"/>
                <w:szCs w:val="18"/>
                <w:lang w:val="en-US"/>
              </w:rPr>
              <w:t>,</w:t>
            </w:r>
            <w:r>
              <w:rPr>
                <w:rFonts w:hint="eastAsia" w:ascii="仿宋_GB2312" w:hAnsi="仿宋_GB2312" w:eastAsia="仿宋_GB2312" w:cs="仿宋_GB2312"/>
                <w:sz w:val="24"/>
                <w:szCs w:val="18"/>
              </w:rPr>
              <w:t>基坑支护情况良好、无变形，周围土体无变形情况。现场防排水设施完备，排水通畅。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jc w:val="center"/>
        </w:trPr>
        <w:tc>
          <w:tcPr>
            <w:tcW w:w="1462" w:type="dxa"/>
            <w:vAlign w:val="center"/>
          </w:tcPr>
          <w:p>
            <w:pPr>
              <w:pStyle w:val="18"/>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本周环水保及文明施工情况</w:t>
            </w:r>
          </w:p>
        </w:tc>
        <w:tc>
          <w:tcPr>
            <w:tcW w:w="7389" w:type="dxa"/>
            <w:gridSpan w:val="4"/>
            <w:vAlign w:val="center"/>
          </w:tcPr>
          <w:p>
            <w:pPr>
              <w:pStyle w:val="17"/>
              <w:numPr>
                <w:ilvl w:val="0"/>
                <w:numId w:val="0"/>
              </w:numPr>
              <w:ind w:firstLine="240" w:firstLineChars="100"/>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CN"/>
              </w:rPr>
              <w:t>五牌一图重大危险源公示牌</w:t>
            </w:r>
            <w:r>
              <w:rPr>
                <w:rFonts w:hint="default" w:ascii="仿宋_GB2312" w:hAnsi="仿宋_GB2312" w:eastAsia="仿宋_GB2312" w:cs="仿宋_GB2312"/>
                <w:sz w:val="24"/>
                <w:szCs w:val="24"/>
                <w:lang w:val="en-US" w:eastAsia="zh-CN"/>
              </w:rPr>
              <w:t>,四类人员公示牌己按要求张贴公示.</w:t>
            </w:r>
            <w:r>
              <w:rPr>
                <w:rFonts w:hint="default" w:ascii="仿宋_GB2312" w:hAnsi="仿宋_GB2312" w:eastAsia="仿宋_GB2312" w:cs="仿宋_GB2312"/>
                <w:sz w:val="24"/>
                <w:szCs w:val="28"/>
                <w:lang w:val="en-US"/>
              </w:rPr>
              <w:t>(2)办公生活区有绿化布置,施工地面硬化,道路畅通,及时洒水防止污染环境</w:t>
            </w:r>
            <w:r>
              <w:rPr>
                <w:rFonts w:hint="eastAsia" w:ascii="仿宋_GB2312" w:hAnsi="仿宋_GB2312" w:eastAsia="仿宋_GB2312" w:cs="仿宋_GB2312"/>
                <w:kern w:val="0"/>
                <w:sz w:val="28"/>
                <w:szCs w:val="32"/>
              </w:rPr>
              <w:t>。</w:t>
            </w:r>
            <w:r>
              <w:rPr>
                <w:rFonts w:hint="eastAsia" w:ascii="仿宋_GB2312" w:hAnsi="仿宋_GB2312" w:eastAsia="仿宋_GB2312" w:cs="仿宋_GB2312"/>
                <w:sz w:val="24"/>
                <w:szCs w:val="22"/>
              </w:rPr>
              <w:t>问题见整改及措施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jc w:val="center"/>
        </w:trPr>
        <w:tc>
          <w:tcPr>
            <w:tcW w:w="1462" w:type="dxa"/>
            <w:vAlign w:val="center"/>
          </w:tcPr>
          <w:p>
            <w:pPr>
              <w:pStyle w:val="18"/>
              <w:spacing w:line="300" w:lineRule="exact"/>
              <w:jc w:val="both"/>
              <w:rPr>
                <w:rFonts w:hint="eastAsia" w:ascii="仿宋_GB2312" w:hAnsi="仿宋_GB2312" w:eastAsia="仿宋_GB2312" w:cs="仿宋_GB2312"/>
              </w:rPr>
            </w:pPr>
            <w:r>
              <w:rPr>
                <w:rFonts w:hint="eastAsia" w:ascii="仿宋_GB2312" w:hAnsi="仿宋_GB2312" w:eastAsia="仿宋_GB2312" w:cs="仿宋_GB2312"/>
                <w:sz w:val="24"/>
                <w:szCs w:val="24"/>
              </w:rPr>
              <w:t>本周施工单位对各级部门检查安全隐患及整改情况</w:t>
            </w:r>
          </w:p>
        </w:tc>
        <w:tc>
          <w:tcPr>
            <w:tcW w:w="7389" w:type="dxa"/>
            <w:gridSpan w:val="4"/>
            <w:vAlign w:val="center"/>
          </w:tcPr>
          <w:p>
            <w:pPr>
              <w:pStyle w:val="17"/>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施工单位对各级领导检查安全隐患均能按要求落实整改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jc w:val="center"/>
        </w:trPr>
        <w:tc>
          <w:tcPr>
            <w:tcW w:w="1462" w:type="dxa"/>
            <w:vAlign w:val="center"/>
          </w:tcPr>
          <w:p>
            <w:pPr>
              <w:pStyle w:val="18"/>
              <w:spacing w:line="3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本周监理安全工作手段及效果</w:t>
            </w:r>
          </w:p>
        </w:tc>
        <w:tc>
          <w:tcPr>
            <w:tcW w:w="7389" w:type="dxa"/>
            <w:gridSpan w:val="4"/>
            <w:vAlign w:val="center"/>
          </w:tcPr>
          <w:p>
            <w:pPr>
              <w:pStyle w:val="17"/>
              <w:ind w:left="0" w:leftChars="0" w:firstLine="0" w:firstLineChars="0"/>
              <w:rPr>
                <w:rFonts w:hint="default"/>
                <w:lang w:val="en-US" w:eastAsia="zh-CN"/>
              </w:rPr>
            </w:pPr>
            <w:r>
              <w:rPr>
                <w:rFonts w:hint="eastAsia" w:ascii="仿宋_GB2312" w:hAnsi="仿宋_GB2312" w:eastAsia="仿宋_GB2312" w:cs="仿宋_GB2312"/>
                <w:sz w:val="24"/>
                <w:szCs w:val="24"/>
              </w:rPr>
              <w:t>本周监理安全工作始终以总监理工程师为核心</w:t>
            </w:r>
            <w:r>
              <w:rPr>
                <w:rFonts w:hint="default" w:ascii="仿宋_GB2312" w:hAnsi="仿宋_GB2312" w:eastAsia="仿宋_GB2312" w:cs="仿宋_GB2312"/>
                <w:sz w:val="24"/>
                <w:szCs w:val="24"/>
                <w:lang w:val="en-US"/>
              </w:rPr>
              <w:t>,以安全监理工程师为主导,全员参与,对施工单位现场安全进行全面监理,安全监理工程师积极巡视</w:t>
            </w:r>
            <w:r>
              <w:rPr>
                <w:rFonts w:hint="eastAsia" w:ascii="仿宋_GB2312" w:hAnsi="仿宋_GB2312" w:eastAsia="仿宋_GB2312" w:cs="仿宋_GB2312"/>
                <w:sz w:val="24"/>
                <w:szCs w:val="24"/>
              </w:rPr>
              <w:t>丶</w:t>
            </w:r>
            <w:r>
              <w:rPr>
                <w:rFonts w:hint="default" w:ascii="仿宋_GB2312" w:hAnsi="仿宋_GB2312" w:eastAsia="仿宋_GB2312" w:cs="仿宋_GB2312"/>
                <w:sz w:val="24"/>
                <w:szCs w:val="24"/>
                <w:lang w:val="en-US"/>
              </w:rPr>
              <w:t>旁站,对发现安全隐患及文明施工不到位地方通过囗头要求</w:t>
            </w:r>
            <w:r>
              <w:rPr>
                <w:rFonts w:hint="eastAsia" w:ascii="仿宋_GB2312" w:hAnsi="仿宋_GB2312" w:eastAsia="仿宋_GB2312" w:cs="仿宋_GB2312"/>
                <w:sz w:val="24"/>
                <w:szCs w:val="24"/>
              </w:rPr>
              <w:t>丶</w:t>
            </w:r>
            <w:r>
              <w:rPr>
                <w:rFonts w:hint="default" w:ascii="仿宋_GB2312" w:hAnsi="仿宋_GB2312" w:eastAsia="仿宋_GB2312" w:cs="仿宋_GB2312"/>
                <w:sz w:val="24"/>
                <w:szCs w:val="24"/>
                <w:lang w:val="en-US"/>
              </w:rPr>
              <w:t>监理通知单</w:t>
            </w:r>
            <w:r>
              <w:rPr>
                <w:rFonts w:hint="eastAsia" w:ascii="仿宋_GB2312" w:hAnsi="仿宋_GB2312" w:eastAsia="仿宋_GB2312" w:cs="仿宋_GB2312"/>
                <w:sz w:val="24"/>
                <w:szCs w:val="24"/>
              </w:rPr>
              <w:t>丶</w:t>
            </w:r>
            <w:r>
              <w:rPr>
                <w:rFonts w:hint="default" w:ascii="仿宋_GB2312" w:hAnsi="仿宋_GB2312" w:eastAsia="仿宋_GB2312" w:cs="仿宋_GB2312"/>
                <w:sz w:val="24"/>
                <w:szCs w:val="24"/>
                <w:lang w:val="en-US"/>
              </w:rPr>
              <w:t>联系单等形式要求施工单位整改.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jc w:val="center"/>
        </w:trPr>
        <w:tc>
          <w:tcPr>
            <w:tcW w:w="1462" w:type="dxa"/>
            <w:vAlign w:val="center"/>
          </w:tcPr>
          <w:p>
            <w:pPr>
              <w:pStyle w:val="18"/>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本周监理安全工作大事件</w:t>
            </w:r>
          </w:p>
        </w:tc>
        <w:tc>
          <w:tcPr>
            <w:tcW w:w="7389" w:type="dxa"/>
            <w:gridSpan w:val="4"/>
            <w:vAlign w:val="center"/>
          </w:tcPr>
          <w:p>
            <w:pPr>
              <w:pStyle w:val="17"/>
              <w:ind w:left="0" w:leftChars="0" w:firstLine="0" w:firstLineChars="0"/>
              <w:rPr>
                <w:rFonts w:hint="default" w:ascii="仿宋_GB2312" w:hAnsi="仿宋_GB2312" w:eastAsia="仿宋_GB2312" w:cs="仿宋_GB2312"/>
                <w:sz w:val="24"/>
                <w:szCs w:val="24"/>
                <w:lang w:val="en-US"/>
              </w:rPr>
            </w:pPr>
            <w:r>
              <w:rPr>
                <w:rFonts w:hint="default" w:ascii="仿宋_GB2312" w:hAnsi="仿宋_GB2312" w:eastAsia="仿宋_GB2312" w:cs="仿宋_GB2312"/>
                <w:sz w:val="24"/>
                <w:szCs w:val="24"/>
                <w:lang w:val="en-US"/>
              </w:rPr>
              <w:t>1</w:t>
            </w:r>
            <w:r>
              <w:rPr>
                <w:rFonts w:hint="eastAsia" w:ascii="仿宋_GB2312" w:hAnsi="仿宋_GB2312" w:eastAsia="仿宋_GB2312" w:cs="仿宋_GB2312"/>
                <w:sz w:val="24"/>
                <w:szCs w:val="24"/>
              </w:rPr>
              <w:t>丶</w:t>
            </w:r>
            <w:r>
              <w:rPr>
                <w:rFonts w:hint="default" w:ascii="仿宋_GB2312" w:hAnsi="仿宋_GB2312" w:eastAsia="仿宋_GB2312" w:cs="仿宋_GB2312"/>
                <w:sz w:val="24"/>
                <w:szCs w:val="24"/>
                <w:lang w:val="en-US"/>
              </w:rPr>
              <w:t>2024年</w:t>
            </w:r>
            <w:r>
              <w:rPr>
                <w:rFonts w:hint="eastAsia" w:ascii="仿宋_GB2312" w:hAnsi="仿宋_GB2312" w:eastAsia="仿宋_GB2312" w:cs="仿宋_GB2312"/>
                <w:sz w:val="24"/>
                <w:szCs w:val="24"/>
                <w:lang w:val="en-US" w:eastAsia="zh-CN"/>
              </w:rPr>
              <w:t>7</w:t>
            </w:r>
            <w:r>
              <w:rPr>
                <w:rFonts w:hint="default" w:ascii="仿宋_GB2312" w:hAnsi="仿宋_GB2312" w:eastAsia="仿宋_GB2312" w:cs="仿宋_GB2312"/>
                <w:sz w:val="24"/>
                <w:szCs w:val="24"/>
                <w:lang w:val="en-US"/>
              </w:rPr>
              <w:t>月</w:t>
            </w:r>
            <w:r>
              <w:rPr>
                <w:rFonts w:hint="eastAsia" w:ascii="仿宋_GB2312" w:hAnsi="仿宋_GB2312" w:eastAsia="仿宋_GB2312" w:cs="仿宋_GB2312"/>
                <w:sz w:val="24"/>
                <w:szCs w:val="24"/>
                <w:lang w:val="en-US" w:eastAsia="zh-CN"/>
              </w:rPr>
              <w:t>9</w:t>
            </w:r>
            <w:r>
              <w:rPr>
                <w:rFonts w:hint="default" w:ascii="仿宋_GB2312" w:hAnsi="仿宋_GB2312" w:eastAsia="仿宋_GB2312" w:cs="仿宋_GB2312"/>
                <w:sz w:val="24"/>
                <w:szCs w:val="24"/>
                <w:lang w:val="en-US"/>
              </w:rPr>
              <w:t>日监理单位在总包会议室组织召开周安全例会.</w:t>
            </w:r>
          </w:p>
          <w:p>
            <w:pPr>
              <w:pStyle w:val="17"/>
              <w:ind w:left="0" w:leftChars="0" w:firstLine="0" w:firstLineChars="0"/>
              <w:rPr>
                <w:rFonts w:hint="default" w:ascii="仿宋_GB2312" w:hAnsi="仿宋_GB2312" w:eastAsia="仿宋_GB2312" w:cs="仿宋_GB2312"/>
                <w:sz w:val="24"/>
                <w:szCs w:val="24"/>
                <w:lang w:val="en-US"/>
              </w:rPr>
            </w:pPr>
          </w:p>
          <w:p>
            <w:pPr>
              <w:pStyle w:val="17"/>
              <w:ind w:left="0" w:leftChars="0" w:firstLine="0" w:firstLineChars="0"/>
              <w:rPr>
                <w:rFonts w:hint="default"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1462" w:type="dxa"/>
            <w:vAlign w:val="center"/>
          </w:tcPr>
          <w:p>
            <w:pPr>
              <w:pStyle w:val="18"/>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下周监理安全主要工作情兄</w:t>
            </w:r>
          </w:p>
        </w:tc>
        <w:tc>
          <w:tcPr>
            <w:tcW w:w="7389" w:type="dxa"/>
            <w:gridSpan w:val="4"/>
            <w:vAlign w:val="center"/>
          </w:tcPr>
          <w:p>
            <w:pPr>
              <w:spacing w:line="360" w:lineRule="auto"/>
              <w:rPr>
                <w:rFonts w:hint="eastAsia" w:ascii="仿宋_GB2312" w:hAnsi="仿宋_GB2312" w:eastAsia="仿宋_GB2312" w:cs="仿宋_GB2312"/>
                <w:bCs/>
                <w:color w:val="000000"/>
                <w:sz w:val="24"/>
                <w:szCs w:val="28"/>
              </w:rPr>
            </w:pPr>
            <w:bookmarkStart w:id="0" w:name="_Toc17860"/>
            <w:bookmarkStart w:id="1" w:name="_Toc21529"/>
            <w:bookmarkStart w:id="2" w:name="_Toc5172"/>
            <w:bookmarkStart w:id="3" w:name="_Toc24529"/>
            <w:r>
              <w:rPr>
                <w:rFonts w:hint="default" w:ascii="仿宋_GB2312" w:hAnsi="仿宋_GB2312" w:eastAsia="仿宋_GB2312" w:cs="仿宋_GB2312"/>
                <w:bCs/>
                <w:color w:val="000000"/>
                <w:sz w:val="24"/>
                <w:szCs w:val="28"/>
                <w:lang w:val="en-US"/>
              </w:rPr>
              <w:t>1</w:t>
            </w:r>
            <w:r>
              <w:rPr>
                <w:rFonts w:hint="eastAsia" w:ascii="仿宋_GB2312" w:hAnsi="仿宋_GB2312" w:eastAsia="仿宋_GB2312" w:cs="仿宋_GB2312"/>
                <w:sz w:val="24"/>
                <w:szCs w:val="24"/>
              </w:rPr>
              <w:t>丶监理安全下周</w:t>
            </w:r>
            <w:r>
              <w:rPr>
                <w:rFonts w:hint="eastAsia" w:ascii="仿宋_GB2312" w:hAnsi="仿宋_GB2312" w:eastAsia="仿宋_GB2312" w:cs="仿宋_GB2312"/>
                <w:bCs/>
                <w:color w:val="000000"/>
                <w:sz w:val="24"/>
                <w:szCs w:val="28"/>
              </w:rPr>
              <w:t>检查内容包括机械安全、围栏安全、消防、安全管理、施工用电、现场料具、环保及生活区安全管理等；同时对人员安全培训和新进场人员岗前安全培训、技术交底等进行情况进行检查。</w:t>
            </w:r>
          </w:p>
          <w:p>
            <w:pPr>
              <w:spacing w:line="360" w:lineRule="auto"/>
              <w:rPr>
                <w:rFonts w:hint="eastAsia" w:ascii="仿宋_GB2312" w:hAnsi="仿宋_GB2312" w:eastAsia="仿宋_GB2312" w:cs="仿宋_GB2312"/>
                <w:bCs/>
                <w:sz w:val="24"/>
                <w:szCs w:val="28"/>
              </w:rPr>
            </w:pPr>
            <w:r>
              <w:rPr>
                <w:rFonts w:hint="default" w:ascii="仿宋_GB2312" w:hAnsi="仿宋_GB2312" w:eastAsia="仿宋_GB2312" w:cs="仿宋_GB2312"/>
                <w:bCs/>
                <w:sz w:val="24"/>
                <w:szCs w:val="28"/>
                <w:lang w:val="en-US"/>
              </w:rPr>
              <w:t>2</w:t>
            </w:r>
            <w:r>
              <w:rPr>
                <w:rFonts w:hint="eastAsia" w:ascii="仿宋_GB2312" w:hAnsi="仿宋_GB2312" w:eastAsia="仿宋_GB2312" w:cs="仿宋_GB2312"/>
                <w:sz w:val="24"/>
                <w:szCs w:val="24"/>
              </w:rPr>
              <w:t>丶</w:t>
            </w:r>
            <w:r>
              <w:rPr>
                <w:rFonts w:hint="eastAsia" w:ascii="仿宋_GB2312" w:hAnsi="仿宋_GB2312" w:eastAsia="仿宋_GB2312" w:cs="仿宋_GB2312"/>
                <w:bCs/>
                <w:sz w:val="24"/>
                <w:szCs w:val="28"/>
              </w:rPr>
              <w:t>巡视施工现场，对升压站山体开挖安全和基础灰土挤密桩施工安全防护措施是否按方案施工进行检查，查看现场大型机械安全措施情况，查看进场设备报验、和特种作业人员持证情况。</w:t>
            </w:r>
          </w:p>
          <w:bookmarkEnd w:id="0"/>
          <w:bookmarkEnd w:id="1"/>
          <w:bookmarkEnd w:id="2"/>
          <w:bookmarkEnd w:id="3"/>
          <w:p>
            <w:pPr>
              <w:spacing w:line="360" w:lineRule="auto"/>
              <w:jc w:val="left"/>
              <w:rPr>
                <w:rFonts w:hint="eastAsia" w:ascii="仿宋_GB2312" w:hAnsi="仿宋_GB2312" w:eastAsia="仿宋_GB2312" w:cs="仿宋_GB2312"/>
                <w:bCs/>
                <w:sz w:val="24"/>
                <w:szCs w:val="28"/>
              </w:rPr>
            </w:pPr>
            <w:r>
              <w:rPr>
                <w:rFonts w:hint="default"/>
                <w:sz w:val="20"/>
                <w:szCs w:val="18"/>
                <w:lang w:val="en-US" w:eastAsia="zh-CN"/>
              </w:rPr>
              <w:t>3</w:t>
            </w:r>
            <w:r>
              <w:rPr>
                <w:rFonts w:hint="eastAsia" w:ascii="仿宋_GB2312" w:hAnsi="仿宋_GB2312" w:eastAsia="仿宋_GB2312" w:cs="仿宋_GB2312"/>
                <w:sz w:val="24"/>
                <w:szCs w:val="24"/>
              </w:rPr>
              <w:t>丶对生活区办公区消防安全检查</w:t>
            </w:r>
            <w:r>
              <w:rPr>
                <w:rFonts w:hint="eastAsia" w:ascii="仿宋_GB2312" w:hAnsi="仿宋_GB2312" w:eastAsia="仿宋_GB2312" w:cs="仿宋_GB2312"/>
                <w:bCs/>
                <w:sz w:val="24"/>
                <w:szCs w:val="28"/>
              </w:rPr>
              <w:t>。</w:t>
            </w:r>
          </w:p>
          <w:p>
            <w:pPr>
              <w:spacing w:line="400" w:lineRule="exact"/>
              <w:jc w:val="left"/>
              <w:rPr>
                <w:rFonts w:hint="eastAsia"/>
                <w:lang w:val="en-US" w:eastAsia="zh-CN"/>
              </w:rPr>
            </w:pPr>
            <w:r>
              <w:rPr>
                <w:rFonts w:hint="default" w:ascii="仿宋_GB2312" w:hAnsi="仿宋_GB2312" w:eastAsia="仿宋_GB2312" w:cs="仿宋_GB2312"/>
                <w:bCs/>
                <w:sz w:val="24"/>
                <w:szCs w:val="28"/>
                <w:lang w:val="en-US"/>
              </w:rPr>
              <w:t>4</w:t>
            </w:r>
            <w:r>
              <w:rPr>
                <w:rFonts w:hint="eastAsia" w:ascii="仿宋_GB2312" w:hAnsi="仿宋_GB2312" w:eastAsia="仿宋_GB2312" w:cs="仿宋_GB2312"/>
                <w:sz w:val="24"/>
                <w:szCs w:val="24"/>
              </w:rPr>
              <w:t>丶</w:t>
            </w:r>
            <w:r>
              <w:rPr>
                <w:rFonts w:hint="default" w:ascii="仿宋_GB2312" w:hAnsi="仿宋_GB2312" w:eastAsia="仿宋_GB2312" w:cs="仿宋_GB2312"/>
                <w:sz w:val="24"/>
                <w:szCs w:val="24"/>
                <w:lang w:val="en-US"/>
              </w:rPr>
              <w:t>对发现安全隐患及文明施工不到位地方通过囗头要求</w:t>
            </w:r>
            <w:r>
              <w:rPr>
                <w:rFonts w:hint="eastAsia" w:ascii="仿宋_GB2312" w:hAnsi="仿宋_GB2312" w:eastAsia="仿宋_GB2312" w:cs="仿宋_GB2312"/>
                <w:sz w:val="24"/>
                <w:szCs w:val="24"/>
              </w:rPr>
              <w:t>丶</w:t>
            </w:r>
            <w:r>
              <w:rPr>
                <w:rFonts w:hint="default" w:ascii="仿宋_GB2312" w:hAnsi="仿宋_GB2312" w:eastAsia="仿宋_GB2312" w:cs="仿宋_GB2312"/>
                <w:sz w:val="24"/>
                <w:szCs w:val="24"/>
                <w:lang w:val="en-US"/>
              </w:rPr>
              <w:t>监理通知单</w:t>
            </w:r>
            <w:r>
              <w:rPr>
                <w:rFonts w:hint="eastAsia" w:ascii="仿宋_GB2312" w:hAnsi="仿宋_GB2312" w:eastAsia="仿宋_GB2312" w:cs="仿宋_GB2312"/>
                <w:sz w:val="24"/>
                <w:szCs w:val="24"/>
              </w:rPr>
              <w:t>丶</w:t>
            </w:r>
            <w:r>
              <w:rPr>
                <w:rFonts w:hint="default" w:ascii="仿宋_GB2312" w:hAnsi="仿宋_GB2312" w:eastAsia="仿宋_GB2312" w:cs="仿宋_GB2312"/>
                <w:sz w:val="24"/>
                <w:szCs w:val="24"/>
                <w:lang w:val="en-US"/>
              </w:rPr>
              <w:t>联系单等形式要求施工单位整改</w:t>
            </w:r>
          </w:p>
          <w:p>
            <w:pPr>
              <w:pStyle w:val="17"/>
              <w:ind w:left="0" w:leftChars="0" w:firstLine="0" w:firstLineChars="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1462" w:type="dxa"/>
            <w:vAlign w:val="center"/>
          </w:tcPr>
          <w:p>
            <w:pPr>
              <w:pStyle w:val="18"/>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检查发现的问题</w:t>
            </w:r>
            <w:r>
              <w:rPr>
                <w:rFonts w:hint="eastAsia" w:ascii="仿宋_GB2312" w:hAnsi="仿宋_GB2312" w:eastAsia="仿宋_GB2312" w:cs="仿宋_GB2312"/>
                <w:sz w:val="24"/>
                <w:szCs w:val="24"/>
                <w:lang w:val="en-US" w:eastAsia="zh-CN"/>
              </w:rPr>
              <w:t>及</w:t>
            </w:r>
            <w:r>
              <w:rPr>
                <w:rFonts w:hint="eastAsia" w:ascii="仿宋_GB2312" w:hAnsi="仿宋_GB2312" w:eastAsia="仿宋_GB2312" w:cs="仿宋_GB2312"/>
                <w:sz w:val="24"/>
                <w:szCs w:val="24"/>
              </w:rPr>
              <w:t>处理措施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结果</w:t>
            </w:r>
          </w:p>
        </w:tc>
        <w:tc>
          <w:tcPr>
            <w:tcW w:w="7389" w:type="dxa"/>
            <w:gridSpan w:val="4"/>
            <w:vAlign w:val="center"/>
          </w:tcPr>
          <w:p>
            <w:pPr>
              <w:ind w:firstLine="1968" w:firstLineChars="700"/>
              <w:jc w:val="both"/>
              <w:rPr>
                <w:rFonts w:hint="eastAsia" w:asciiTheme="minorEastAsia" w:hAnsiTheme="minorEastAsia"/>
                <w:b/>
                <w:sz w:val="28"/>
                <w:szCs w:val="28"/>
              </w:rPr>
            </w:pPr>
            <w:r>
              <w:rPr>
                <w:rFonts w:hint="eastAsia" w:ascii="仿宋_GB2312" w:hAnsi="仿宋_GB2312" w:eastAsia="仿宋_GB2312" w:cs="仿宋_GB2312"/>
                <w:b/>
                <w:sz w:val="28"/>
                <w:szCs w:val="28"/>
              </w:rPr>
              <w:t>问题整改前后对比照片</w:t>
            </w:r>
          </w:p>
          <w:tbl>
            <w:tblPr>
              <w:tblStyle w:val="12"/>
              <w:tblW w:w="1222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05"/>
              <w:gridCol w:w="3013"/>
              <w:gridCol w:w="4454"/>
              <w:gridCol w:w="44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02" w:hRule="atLeast"/>
              </w:trPr>
              <w:tc>
                <w:tcPr>
                  <w:tcW w:w="3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1</w:t>
                  </w:r>
                </w:p>
              </w:tc>
              <w:tc>
                <w:tcPr>
                  <w:tcW w:w="3013"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drawing>
                      <wp:inline distT="0" distB="0" distL="114300" distR="114300">
                        <wp:extent cx="0" cy="0"/>
                        <wp:effectExtent l="0" t="0" r="0" b="0"/>
                        <wp:docPr id="2" name="图片 2" descr="f9a634c309abbd97ef52e07a43cf7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9a634c309abbd97ef52e07a43cf71c"/>
                                <pic:cNvPicPr>
                                  <a:picLocks noChangeAspect="1"/>
                                </pic:cNvPicPr>
                              </pic:nvPicPr>
                              <pic:blipFill>
                                <a:blip r:embed="rId5"/>
                                <a:stretch>
                                  <a:fillRect/>
                                </a:stretch>
                              </pic:blipFill>
                              <pic:spPr>
                                <a:xfrm>
                                  <a:off x="0" y="0"/>
                                  <a:ext cx="0" cy="0"/>
                                </a:xfrm>
                                <a:prstGeom prst="rect">
                                  <a:avLst/>
                                </a:prstGeom>
                              </pic:spPr>
                            </pic:pic>
                          </a:graphicData>
                        </a:graphic>
                      </wp:inline>
                    </w:drawing>
                  </w:r>
                  <w:r>
                    <w:rPr>
                      <w:rFonts w:hint="eastAsia" w:asciiTheme="minorEastAsia" w:hAnsiTheme="minorEastAsia"/>
                      <w:sz w:val="28"/>
                      <w:szCs w:val="28"/>
                      <w:lang w:val="en-US" w:eastAsia="zh-CN"/>
                    </w:rPr>
                    <w:drawing>
                      <wp:inline distT="0" distB="0" distL="114300" distR="114300">
                        <wp:extent cx="1775460" cy="1760220"/>
                        <wp:effectExtent l="0" t="0" r="15240" b="11430"/>
                        <wp:docPr id="3" name="图片 3" descr="7d540e3273e42f11cbd9f8988579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d540e3273e42f11cbd9f8988579896"/>
                                <pic:cNvPicPr>
                                  <a:picLocks noChangeAspect="1"/>
                                </pic:cNvPicPr>
                              </pic:nvPicPr>
                              <pic:blipFill>
                                <a:blip r:embed="rId6"/>
                                <a:stretch>
                                  <a:fillRect/>
                                </a:stretch>
                              </pic:blipFill>
                              <pic:spPr>
                                <a:xfrm>
                                  <a:off x="0" y="0"/>
                                  <a:ext cx="1775460" cy="1760220"/>
                                </a:xfrm>
                                <a:prstGeom prst="rect">
                                  <a:avLst/>
                                </a:prstGeom>
                              </pic:spPr>
                            </pic:pic>
                          </a:graphicData>
                        </a:graphic>
                      </wp:inline>
                    </w:drawing>
                  </w:r>
                </w:p>
              </w:tc>
              <w:tc>
                <w:tcPr>
                  <w:tcW w:w="4454"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sz w:val="28"/>
                      <w:szCs w:val="28"/>
                      <w:lang w:val="en-US" w:eastAsia="zh-CN"/>
                    </w:rPr>
                  </w:pPr>
                  <w:r>
                    <w:rPr>
                      <w:rFonts w:hint="default" w:asciiTheme="minorEastAsia" w:hAnsiTheme="minorEastAsia"/>
                      <w:sz w:val="28"/>
                      <w:szCs w:val="28"/>
                      <w:lang w:val="en-US" w:eastAsia="zh-CN"/>
                    </w:rPr>
                    <w:drawing>
                      <wp:inline distT="0" distB="0" distL="114300" distR="114300">
                        <wp:extent cx="2689860" cy="2017395"/>
                        <wp:effectExtent l="0" t="0" r="15240" b="1905"/>
                        <wp:docPr id="4" name="图片 4" descr="986440f169c11457c591d301b8edd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86440f169c11457c591d301b8edd47"/>
                                <pic:cNvPicPr>
                                  <a:picLocks noChangeAspect="1"/>
                                </pic:cNvPicPr>
                              </pic:nvPicPr>
                              <pic:blipFill>
                                <a:blip r:embed="rId7"/>
                                <a:stretch>
                                  <a:fillRect/>
                                </a:stretch>
                              </pic:blipFill>
                              <pic:spPr>
                                <a:xfrm>
                                  <a:off x="0" y="0"/>
                                  <a:ext cx="2689860" cy="2017395"/>
                                </a:xfrm>
                                <a:prstGeom prst="rect">
                                  <a:avLst/>
                                </a:prstGeom>
                              </pic:spPr>
                            </pic:pic>
                          </a:graphicData>
                        </a:graphic>
                      </wp:inline>
                    </w:drawing>
                  </w:r>
                </w:p>
              </w:tc>
              <w:tc>
                <w:tcPr>
                  <w:tcW w:w="4454"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sz w:val="28"/>
                      <w:szCs w:val="28"/>
                    </w:rPr>
                  </w:pPr>
                </w:p>
              </w:tc>
              <w:tc>
                <w:tcPr>
                  <w:tcW w:w="3013"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sz w:val="22"/>
                      <w:szCs w:val="22"/>
                      <w:lang w:val="en-US" w:eastAsia="zh-CN"/>
                    </w:rPr>
                  </w:pPr>
                  <w:r>
                    <w:rPr>
                      <w:rFonts w:hint="eastAsia" w:ascii="仿宋_GB2312" w:hAnsi="仿宋_GB2312" w:eastAsia="仿宋_GB2312" w:cs="仿宋_GB2312"/>
                      <w:sz w:val="21"/>
                      <w:szCs w:val="21"/>
                      <w:lang w:val="en-US" w:eastAsia="zh-CN"/>
                    </w:rPr>
                    <w:t>隐患描述：</w:t>
                  </w:r>
                  <w:r>
                    <w:rPr>
                      <w:rFonts w:hint="eastAsia" w:ascii="仿宋_GB2312" w:hAnsi="仿宋_GB2312" w:eastAsia="仿宋_GB2312" w:cs="仿宋_GB2312"/>
                      <w:sz w:val="20"/>
                      <w:szCs w:val="20"/>
                      <w:lang w:val="en-US" w:eastAsia="zh-CN"/>
                    </w:rPr>
                    <w:t>升压站安全教育、警示标识牌缺失</w:t>
                  </w:r>
                </w:p>
              </w:tc>
              <w:tc>
                <w:tcPr>
                  <w:tcW w:w="4454"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sz w:val="22"/>
                      <w:szCs w:val="22"/>
                      <w:lang w:val="en-US" w:eastAsia="zh-CN"/>
                    </w:rPr>
                  </w:pPr>
                  <w:r>
                    <w:rPr>
                      <w:rFonts w:hint="eastAsia" w:ascii="仿宋_GB2312" w:hAnsi="仿宋_GB2312" w:eastAsia="仿宋_GB2312" w:cs="仿宋_GB2312"/>
                      <w:sz w:val="20"/>
                      <w:szCs w:val="20"/>
                      <w:lang w:val="en-US" w:eastAsia="zh-CN"/>
                    </w:rPr>
                    <w:t>整改措施</w:t>
                  </w:r>
                  <w:r>
                    <w:rPr>
                      <w:rFonts w:hint="eastAsia" w:asciiTheme="minorEastAsia" w:hAnsiTheme="minorEastAsia"/>
                      <w:sz w:val="20"/>
                      <w:szCs w:val="20"/>
                      <w:lang w:val="en-US" w:eastAsia="zh-CN"/>
                    </w:rPr>
                    <w:t>：</w:t>
                  </w:r>
                  <w:r>
                    <w:rPr>
                      <w:rFonts w:hint="eastAsia" w:ascii="仿宋_GB2312" w:hAnsi="仿宋_GB2312" w:eastAsia="仿宋_GB2312" w:cs="仿宋_GB2312"/>
                      <w:color w:val="0000FF"/>
                      <w:sz w:val="21"/>
                      <w:szCs w:val="21"/>
                      <w:lang w:val="en-US" w:eastAsia="zh-CN"/>
                    </w:rPr>
                    <w:t>已整改</w:t>
                  </w:r>
                </w:p>
              </w:tc>
              <w:tc>
                <w:tcPr>
                  <w:tcW w:w="4454"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567" w:hRule="atLeast"/>
              </w:trPr>
              <w:tc>
                <w:tcPr>
                  <w:tcW w:w="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2</w:t>
                  </w:r>
                </w:p>
              </w:tc>
              <w:tc>
                <w:tcPr>
                  <w:tcW w:w="3013"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drawing>
                      <wp:inline distT="0" distB="0" distL="114300" distR="114300">
                        <wp:extent cx="1775460" cy="1959610"/>
                        <wp:effectExtent l="0" t="0" r="15240" b="2540"/>
                        <wp:docPr id="5" name="图片 5" descr="0a0087218e7882ed26d77015a529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a0087218e7882ed26d77015a529209"/>
                                <pic:cNvPicPr>
                                  <a:picLocks noChangeAspect="1"/>
                                </pic:cNvPicPr>
                              </pic:nvPicPr>
                              <pic:blipFill>
                                <a:blip r:embed="rId8"/>
                                <a:stretch>
                                  <a:fillRect/>
                                </a:stretch>
                              </pic:blipFill>
                              <pic:spPr>
                                <a:xfrm>
                                  <a:off x="0" y="0"/>
                                  <a:ext cx="1775460" cy="1959610"/>
                                </a:xfrm>
                                <a:prstGeom prst="rect">
                                  <a:avLst/>
                                </a:prstGeom>
                              </pic:spPr>
                            </pic:pic>
                          </a:graphicData>
                        </a:graphic>
                      </wp:inline>
                    </w:drawing>
                  </w:r>
                </w:p>
              </w:tc>
              <w:tc>
                <w:tcPr>
                  <w:tcW w:w="4454"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sz w:val="28"/>
                      <w:szCs w:val="28"/>
                      <w:lang w:val="en-US" w:eastAsia="zh-CN"/>
                    </w:rPr>
                  </w:pPr>
                  <w:r>
                    <w:rPr>
                      <w:rFonts w:hint="default" w:asciiTheme="minorEastAsia" w:hAnsiTheme="minorEastAsia"/>
                      <w:sz w:val="28"/>
                      <w:szCs w:val="28"/>
                      <w:lang w:val="en-US" w:eastAsia="zh-CN"/>
                    </w:rPr>
                    <w:drawing>
                      <wp:inline distT="0" distB="0" distL="114300" distR="114300">
                        <wp:extent cx="2689860" cy="2017395"/>
                        <wp:effectExtent l="0" t="0" r="15240" b="1905"/>
                        <wp:docPr id="6" name="图片 6" descr="11760dda438be587909035117dab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760dda438be587909035117dab917"/>
                                <pic:cNvPicPr>
                                  <a:picLocks noChangeAspect="1"/>
                                </pic:cNvPicPr>
                              </pic:nvPicPr>
                              <pic:blipFill>
                                <a:blip r:embed="rId9"/>
                                <a:stretch>
                                  <a:fillRect/>
                                </a:stretch>
                              </pic:blipFill>
                              <pic:spPr>
                                <a:xfrm>
                                  <a:off x="0" y="0"/>
                                  <a:ext cx="2689860" cy="2017395"/>
                                </a:xfrm>
                                <a:prstGeom prst="rect">
                                  <a:avLst/>
                                </a:prstGeom>
                              </pic:spPr>
                            </pic:pic>
                          </a:graphicData>
                        </a:graphic>
                      </wp:inline>
                    </w:drawing>
                  </w:r>
                </w:p>
              </w:tc>
              <w:tc>
                <w:tcPr>
                  <w:tcW w:w="4454"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sz w:val="28"/>
                      <w:szCs w:val="28"/>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sz w:val="28"/>
                      <w:szCs w:val="28"/>
                      <w:lang w:val="en-US" w:eastAsia="zh-CN"/>
                    </w:rPr>
                  </w:pPr>
                </w:p>
              </w:tc>
              <w:tc>
                <w:tcPr>
                  <w:tcW w:w="3013"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sz w:val="22"/>
                      <w:szCs w:val="22"/>
                      <w:lang w:val="en-US" w:eastAsia="zh-CN"/>
                    </w:rPr>
                  </w:pPr>
                  <w:r>
                    <w:rPr>
                      <w:rFonts w:hint="eastAsia" w:ascii="仿宋_GB2312" w:hAnsi="仿宋_GB2312" w:eastAsia="仿宋_GB2312" w:cs="仿宋_GB2312"/>
                      <w:sz w:val="20"/>
                      <w:szCs w:val="20"/>
                      <w:lang w:val="en-US" w:eastAsia="zh-CN"/>
                    </w:rPr>
                    <w:t>隐患描述</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0"/>
                      <w:szCs w:val="20"/>
                      <w:lang w:val="en-US" w:eastAsia="zh-CN"/>
                    </w:rPr>
                    <w:t>升压站临边防护不到位</w:t>
                  </w:r>
                </w:p>
              </w:tc>
              <w:tc>
                <w:tcPr>
                  <w:tcW w:w="4454"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sz w:val="22"/>
                      <w:szCs w:val="22"/>
                      <w:lang w:val="en-US" w:eastAsia="zh-CN"/>
                    </w:rPr>
                  </w:pPr>
                  <w:r>
                    <w:rPr>
                      <w:rFonts w:hint="eastAsia" w:ascii="仿宋_GB2312" w:hAnsi="仿宋_GB2312" w:eastAsia="仿宋_GB2312" w:cs="仿宋_GB2312"/>
                      <w:sz w:val="20"/>
                      <w:szCs w:val="20"/>
                      <w:lang w:val="en-US" w:eastAsia="zh-CN"/>
                    </w:rPr>
                    <w:t>隐患整改措施：</w:t>
                  </w:r>
                  <w:r>
                    <w:rPr>
                      <w:rFonts w:hint="eastAsia" w:ascii="仿宋_GB2312" w:hAnsi="仿宋_GB2312" w:eastAsia="仿宋_GB2312" w:cs="仿宋_GB2312"/>
                      <w:sz w:val="21"/>
                      <w:szCs w:val="21"/>
                      <w:lang w:val="en-US" w:eastAsia="zh-CN"/>
                    </w:rPr>
                    <w:t>已整改</w:t>
                  </w:r>
                </w:p>
              </w:tc>
              <w:tc>
                <w:tcPr>
                  <w:tcW w:w="4454"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3</w:t>
                  </w:r>
                </w:p>
              </w:tc>
              <w:tc>
                <w:tcPr>
                  <w:tcW w:w="3013"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sz w:val="24"/>
                      <w:szCs w:val="24"/>
                      <w:lang w:val="en-US" w:eastAsia="zh-CN"/>
                    </w:rPr>
                  </w:pPr>
                  <w:bookmarkStart w:id="4" w:name="_GoBack"/>
                  <w:r>
                    <w:rPr>
                      <w:rFonts w:hint="eastAsia" w:asciiTheme="minorEastAsia" w:hAnsiTheme="minorEastAsia"/>
                      <w:sz w:val="24"/>
                      <w:szCs w:val="24"/>
                      <w:lang w:val="en-US" w:eastAsia="zh-CN"/>
                    </w:rPr>
                    <w:drawing>
                      <wp:inline distT="0" distB="0" distL="114300" distR="114300">
                        <wp:extent cx="1775460" cy="2083435"/>
                        <wp:effectExtent l="0" t="0" r="15240" b="12065"/>
                        <wp:docPr id="7" name="图片 7" descr="053ab4e4bd39e5e4d7d986edee214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53ab4e4bd39e5e4d7d986edee214d8"/>
                                <pic:cNvPicPr>
                                  <a:picLocks noChangeAspect="1"/>
                                </pic:cNvPicPr>
                              </pic:nvPicPr>
                              <pic:blipFill>
                                <a:blip r:embed="rId10"/>
                                <a:stretch>
                                  <a:fillRect/>
                                </a:stretch>
                              </pic:blipFill>
                              <pic:spPr>
                                <a:xfrm>
                                  <a:off x="0" y="0"/>
                                  <a:ext cx="1775460" cy="2083435"/>
                                </a:xfrm>
                                <a:prstGeom prst="rect">
                                  <a:avLst/>
                                </a:prstGeom>
                              </pic:spPr>
                            </pic:pic>
                          </a:graphicData>
                        </a:graphic>
                      </wp:inline>
                    </w:drawing>
                  </w:r>
                  <w:bookmarkEnd w:id="4"/>
                </w:p>
              </w:tc>
              <w:tc>
                <w:tcPr>
                  <w:tcW w:w="4454"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drawing>
                      <wp:inline distT="0" distB="0" distL="114300" distR="114300">
                        <wp:extent cx="2689860" cy="2017395"/>
                        <wp:effectExtent l="0" t="0" r="15240" b="1905"/>
                        <wp:docPr id="8" name="图片 8" descr="85029dd43fda6b85e1cbe455e9ef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5029dd43fda6b85e1cbe455e9efbec"/>
                                <pic:cNvPicPr>
                                  <a:picLocks noChangeAspect="1"/>
                                </pic:cNvPicPr>
                              </pic:nvPicPr>
                              <pic:blipFill>
                                <a:blip r:embed="rId11"/>
                                <a:stretch>
                                  <a:fillRect/>
                                </a:stretch>
                              </pic:blipFill>
                              <pic:spPr>
                                <a:xfrm>
                                  <a:off x="0" y="0"/>
                                  <a:ext cx="2689860" cy="2017395"/>
                                </a:xfrm>
                                <a:prstGeom prst="rect">
                                  <a:avLst/>
                                </a:prstGeom>
                              </pic:spPr>
                            </pic:pic>
                          </a:graphicData>
                        </a:graphic>
                      </wp:inline>
                    </w:drawing>
                  </w:r>
                </w:p>
              </w:tc>
              <w:tc>
                <w:tcPr>
                  <w:tcW w:w="4454"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sz w:val="28"/>
                      <w:szCs w:val="28"/>
                      <w:lang w:val="en-US" w:eastAsia="zh-CN"/>
                    </w:rPr>
                  </w:pPr>
                </w:p>
              </w:tc>
              <w:tc>
                <w:tcPr>
                  <w:tcW w:w="3013"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sz w:val="21"/>
                      <w:szCs w:val="21"/>
                      <w:lang w:val="en-US" w:eastAsia="zh-CN"/>
                    </w:rPr>
                  </w:pPr>
                  <w:r>
                    <w:rPr>
                      <w:rFonts w:hint="eastAsia" w:ascii="仿宋_GB2312" w:eastAsia="仿宋_GB2312"/>
                      <w:sz w:val="20"/>
                      <w:szCs w:val="20"/>
                      <w:lang w:val="en-US" w:eastAsia="zh-CN"/>
                    </w:rPr>
                    <w:t>隐患描述：升压站进入现场人员防护不到位</w:t>
                  </w:r>
                </w:p>
              </w:tc>
              <w:tc>
                <w:tcPr>
                  <w:tcW w:w="4454"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sz w:val="21"/>
                      <w:szCs w:val="21"/>
                      <w:lang w:val="en-US" w:eastAsia="zh-CN"/>
                    </w:rPr>
                  </w:pPr>
                  <w:r>
                    <w:rPr>
                      <w:rFonts w:hint="eastAsia" w:ascii="仿宋_GB2312" w:hAnsi="仿宋_GB2312" w:eastAsia="仿宋_GB2312" w:cs="仿宋_GB2312"/>
                      <w:sz w:val="20"/>
                      <w:szCs w:val="20"/>
                      <w:lang w:val="en-US" w:eastAsia="zh-CN"/>
                    </w:rPr>
                    <w:t>隐患整改措施</w:t>
                  </w:r>
                  <w:r>
                    <w:rPr>
                      <w:rFonts w:hint="eastAsia" w:ascii="仿宋_GB2312" w:hAnsi="仿宋_GB2312" w:eastAsia="仿宋_GB2312" w:cs="仿宋_GB2312"/>
                      <w:sz w:val="22"/>
                      <w:szCs w:val="22"/>
                      <w:lang w:val="en-US" w:eastAsia="zh-CN"/>
                    </w:rPr>
                    <w:t>:已整改</w:t>
                  </w:r>
                </w:p>
              </w:tc>
              <w:tc>
                <w:tcPr>
                  <w:tcW w:w="4454"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p>
              </w:tc>
            </w:tr>
          </w:tbl>
          <w:p>
            <w:pPr>
              <w:spacing w:line="400" w:lineRule="exact"/>
              <w:jc w:val="left"/>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2227" w:type="dxa"/>
            <w:gridSpan w:val="2"/>
            <w:vAlign w:val="center"/>
          </w:tcPr>
          <w:p>
            <w:pPr>
              <w:pStyle w:val="18"/>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安全工程师</w:t>
            </w:r>
          </w:p>
        </w:tc>
        <w:tc>
          <w:tcPr>
            <w:tcW w:w="3017"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rPr>
              <w:t xml:space="preserve"> </w:t>
            </w:r>
          </w:p>
        </w:tc>
        <w:tc>
          <w:tcPr>
            <w:tcW w:w="134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总监</w:t>
            </w:r>
          </w:p>
        </w:tc>
        <w:tc>
          <w:tcPr>
            <w:tcW w:w="2263"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rPr>
              <w:t xml:space="preserve">  </w:t>
            </w:r>
          </w:p>
        </w:tc>
      </w:tr>
    </w:tbl>
    <w:p>
      <w:pPr>
        <w:pStyle w:val="17"/>
        <w:rPr>
          <w:rFonts w:hint="eastAsia" w:ascii="仿宋_GB2312" w:hAnsi="仿宋_GB2312" w:eastAsia="仿宋_GB2312" w:cs="仿宋_GB2312"/>
        </w:rPr>
      </w:pPr>
    </w:p>
    <w:sectPr>
      <w:headerReference r:id="rId3" w:type="firs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rPr>
        <w:rFonts w:ascii="宋体" w:hAnsi="宋体"/>
      </w:rPr>
      <w:drawing>
        <wp:anchor distT="0" distB="0" distL="114300" distR="114300" simplePos="0" relativeHeight="251659264" behindDoc="0" locked="0" layoutInCell="1" allowOverlap="1">
          <wp:simplePos x="0" y="0"/>
          <wp:positionH relativeFrom="margin">
            <wp:posOffset>-658495</wp:posOffset>
          </wp:positionH>
          <wp:positionV relativeFrom="paragraph">
            <wp:posOffset>-198755</wp:posOffset>
          </wp:positionV>
          <wp:extent cx="826135" cy="1431925"/>
          <wp:effectExtent l="0" t="0" r="12065" b="15875"/>
          <wp:wrapNone/>
          <wp:docPr id="1"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5"/>
                  <pic:cNvPicPr>
                    <a:picLocks noChangeAspect="1"/>
                  </pic:cNvPicPr>
                </pic:nvPicPr>
                <pic:blipFill>
                  <a:blip r:embed="rId1"/>
                  <a:stretch>
                    <a:fillRect/>
                  </a:stretch>
                </pic:blipFill>
                <pic:spPr>
                  <a:xfrm>
                    <a:off x="0" y="0"/>
                    <a:ext cx="826135" cy="14319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MTIzODA2N2Y4ODI2OTBkZjk4MWVjMDVmMGJkZmEifQ=="/>
  </w:docVars>
  <w:rsids>
    <w:rsidRoot w:val="31A9147F"/>
    <w:rsid w:val="00263C01"/>
    <w:rsid w:val="003D7AA0"/>
    <w:rsid w:val="009D0225"/>
    <w:rsid w:val="014E7D71"/>
    <w:rsid w:val="01EB66F9"/>
    <w:rsid w:val="03A33825"/>
    <w:rsid w:val="03B81157"/>
    <w:rsid w:val="06350D8B"/>
    <w:rsid w:val="06457AB2"/>
    <w:rsid w:val="07E173AB"/>
    <w:rsid w:val="08ED776D"/>
    <w:rsid w:val="09566309"/>
    <w:rsid w:val="0A177924"/>
    <w:rsid w:val="0A1F2DE2"/>
    <w:rsid w:val="0A62193A"/>
    <w:rsid w:val="0AC875D1"/>
    <w:rsid w:val="0B637B1E"/>
    <w:rsid w:val="0D040683"/>
    <w:rsid w:val="0E454351"/>
    <w:rsid w:val="0E487C4A"/>
    <w:rsid w:val="0EBA1F7C"/>
    <w:rsid w:val="0F410449"/>
    <w:rsid w:val="0FD66195"/>
    <w:rsid w:val="10B04A3E"/>
    <w:rsid w:val="10F5313A"/>
    <w:rsid w:val="11704D79"/>
    <w:rsid w:val="121917FC"/>
    <w:rsid w:val="12F62457"/>
    <w:rsid w:val="13513BE4"/>
    <w:rsid w:val="145D114D"/>
    <w:rsid w:val="153073FD"/>
    <w:rsid w:val="160D23F8"/>
    <w:rsid w:val="160F3BF3"/>
    <w:rsid w:val="16F74AAB"/>
    <w:rsid w:val="17DE4AAB"/>
    <w:rsid w:val="18096DC2"/>
    <w:rsid w:val="18A93985"/>
    <w:rsid w:val="193B3558"/>
    <w:rsid w:val="19765F56"/>
    <w:rsid w:val="19F27DFE"/>
    <w:rsid w:val="1BD73121"/>
    <w:rsid w:val="1DFF7C54"/>
    <w:rsid w:val="1FD502A7"/>
    <w:rsid w:val="204B1619"/>
    <w:rsid w:val="20D136FB"/>
    <w:rsid w:val="21196F7F"/>
    <w:rsid w:val="21A0010F"/>
    <w:rsid w:val="21D72B7A"/>
    <w:rsid w:val="21F040AE"/>
    <w:rsid w:val="224D4BD6"/>
    <w:rsid w:val="24332172"/>
    <w:rsid w:val="245E60FF"/>
    <w:rsid w:val="24FE4D6C"/>
    <w:rsid w:val="2639741E"/>
    <w:rsid w:val="263D5E12"/>
    <w:rsid w:val="28187154"/>
    <w:rsid w:val="288A020A"/>
    <w:rsid w:val="2AEE7BC3"/>
    <w:rsid w:val="2C5170CD"/>
    <w:rsid w:val="2D515BCB"/>
    <w:rsid w:val="2D5264AB"/>
    <w:rsid w:val="2DE52E43"/>
    <w:rsid w:val="2FFA5B0B"/>
    <w:rsid w:val="30832E09"/>
    <w:rsid w:val="30FD528D"/>
    <w:rsid w:val="316D0076"/>
    <w:rsid w:val="31A9147F"/>
    <w:rsid w:val="31D66E8C"/>
    <w:rsid w:val="31F61FC1"/>
    <w:rsid w:val="31FC2E5B"/>
    <w:rsid w:val="32234F01"/>
    <w:rsid w:val="3264619A"/>
    <w:rsid w:val="33722160"/>
    <w:rsid w:val="36F81B6A"/>
    <w:rsid w:val="37315DBE"/>
    <w:rsid w:val="386D265B"/>
    <w:rsid w:val="389A7B90"/>
    <w:rsid w:val="38D23876"/>
    <w:rsid w:val="38ED5D91"/>
    <w:rsid w:val="39B65875"/>
    <w:rsid w:val="39DC53F8"/>
    <w:rsid w:val="3AD765AE"/>
    <w:rsid w:val="3B7B0570"/>
    <w:rsid w:val="3BE63117"/>
    <w:rsid w:val="3D897AC2"/>
    <w:rsid w:val="3DBC7263"/>
    <w:rsid w:val="3DF26FBE"/>
    <w:rsid w:val="3E932386"/>
    <w:rsid w:val="3F193DA7"/>
    <w:rsid w:val="3FDA4345"/>
    <w:rsid w:val="403664E9"/>
    <w:rsid w:val="43E266AC"/>
    <w:rsid w:val="43E375EC"/>
    <w:rsid w:val="452B2AE8"/>
    <w:rsid w:val="46DB66AE"/>
    <w:rsid w:val="48141899"/>
    <w:rsid w:val="486529C2"/>
    <w:rsid w:val="49AD2390"/>
    <w:rsid w:val="4AF502DF"/>
    <w:rsid w:val="4B2332D5"/>
    <w:rsid w:val="4BFB421D"/>
    <w:rsid w:val="4DA9608F"/>
    <w:rsid w:val="4DDB5674"/>
    <w:rsid w:val="4E533967"/>
    <w:rsid w:val="4EEB2DF6"/>
    <w:rsid w:val="4F305DC6"/>
    <w:rsid w:val="4F3C7E2F"/>
    <w:rsid w:val="50376DE5"/>
    <w:rsid w:val="50707CF2"/>
    <w:rsid w:val="50797CB3"/>
    <w:rsid w:val="520128E7"/>
    <w:rsid w:val="52B215AF"/>
    <w:rsid w:val="533C0FCB"/>
    <w:rsid w:val="5669307D"/>
    <w:rsid w:val="599E652D"/>
    <w:rsid w:val="5A39140A"/>
    <w:rsid w:val="5A541C9F"/>
    <w:rsid w:val="5B953ED1"/>
    <w:rsid w:val="5D2172BA"/>
    <w:rsid w:val="5DB7719A"/>
    <w:rsid w:val="5DE13180"/>
    <w:rsid w:val="60AA3BBD"/>
    <w:rsid w:val="60C56B53"/>
    <w:rsid w:val="61377490"/>
    <w:rsid w:val="61425B31"/>
    <w:rsid w:val="61AB5805"/>
    <w:rsid w:val="61D44265"/>
    <w:rsid w:val="62166899"/>
    <w:rsid w:val="65B27152"/>
    <w:rsid w:val="66220DB5"/>
    <w:rsid w:val="66495489"/>
    <w:rsid w:val="667C3160"/>
    <w:rsid w:val="67AC226E"/>
    <w:rsid w:val="6A7440D1"/>
    <w:rsid w:val="6A7E0223"/>
    <w:rsid w:val="6B5443AC"/>
    <w:rsid w:val="6B9066C9"/>
    <w:rsid w:val="6C983350"/>
    <w:rsid w:val="6E445117"/>
    <w:rsid w:val="70AA6D5F"/>
    <w:rsid w:val="73493A6C"/>
    <w:rsid w:val="739A0D4F"/>
    <w:rsid w:val="75453985"/>
    <w:rsid w:val="75A54272"/>
    <w:rsid w:val="76AC2D17"/>
    <w:rsid w:val="78EE41A8"/>
    <w:rsid w:val="796079B7"/>
    <w:rsid w:val="799D3C89"/>
    <w:rsid w:val="79A71CBD"/>
    <w:rsid w:val="79CB2B86"/>
    <w:rsid w:val="79CF181C"/>
    <w:rsid w:val="79F01837"/>
    <w:rsid w:val="7A4E431C"/>
    <w:rsid w:val="7B830288"/>
    <w:rsid w:val="7B8D5AC3"/>
    <w:rsid w:val="7DBA2AB6"/>
    <w:rsid w:val="7EC70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4"/>
    <w:qFormat/>
    <w:uiPriority w:val="1"/>
    <w:pPr>
      <w:ind w:left="220"/>
    </w:pPr>
    <w:rPr>
      <w:sz w:val="24"/>
      <w:szCs w:val="24"/>
    </w:rPr>
  </w:style>
  <w:style w:type="paragraph" w:styleId="4">
    <w:name w:val="List"/>
    <w:basedOn w:val="1"/>
    <w:qFormat/>
    <w:uiPriority w:val="0"/>
    <w:pPr>
      <w:ind w:left="420" w:hanging="420"/>
    </w:pPr>
    <w:rPr>
      <w:szCs w:val="20"/>
    </w:rPr>
  </w:style>
  <w:style w:type="paragraph" w:styleId="5">
    <w:name w:val="Body Text Indent"/>
    <w:basedOn w:val="1"/>
    <w:next w:val="1"/>
    <w:qFormat/>
    <w:uiPriority w:val="99"/>
    <w:pPr>
      <w:ind w:firstLine="560" w:firstLineChars="200"/>
    </w:pPr>
    <w:rPr>
      <w:rFonts w:ascii="宋体"/>
      <w:sz w:val="28"/>
    </w:rPr>
  </w:style>
  <w:style w:type="paragraph" w:styleId="6">
    <w:name w:val="footer"/>
    <w:basedOn w:val="1"/>
    <w:qFormat/>
    <w:uiPriority w:val="0"/>
    <w:pPr>
      <w:tabs>
        <w:tab w:val="center" w:pos="4153"/>
        <w:tab w:val="right" w:pos="8306"/>
      </w:tabs>
      <w:snapToGrid w:val="0"/>
      <w:spacing w:before="360" w:after="360"/>
      <w:jc w:val="left"/>
    </w:pPr>
    <w:rPr>
      <w:rFonts w:ascii="Calibri" w:hAnsi="Calibri" w:eastAsia="宋体"/>
      <w:sz w:val="18"/>
      <w:szCs w:val="18"/>
    </w:rPr>
  </w:style>
  <w:style w:type="paragraph" w:styleId="7">
    <w:name w:val="envelope return"/>
    <w:basedOn w:val="1"/>
    <w:qFormat/>
    <w:uiPriority w:val="99"/>
    <w:pPr>
      <w:snapToGrid w:val="0"/>
    </w:pPr>
    <w:rPr>
      <w:rFonts w:ascii="Arial" w:hAnsi="Arial"/>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3"/>
    <w:next w:val="1"/>
    <w:qFormat/>
    <w:uiPriority w:val="0"/>
    <w:pPr>
      <w:ind w:firstLine="100" w:firstLineChars="100"/>
    </w:pPr>
    <w:rPr>
      <w:sz w:val="28"/>
      <w:szCs w:val="28"/>
    </w:rPr>
  </w:style>
  <w:style w:type="paragraph" w:styleId="10">
    <w:name w:val="Body Text First Indent 2"/>
    <w:basedOn w:val="5"/>
    <w:next w:val="9"/>
    <w:qFormat/>
    <w:uiPriority w:val="99"/>
    <w:pPr>
      <w:ind w:left="420" w:firstLine="420"/>
    </w:pPr>
    <w:rPr>
      <w:rFonts w:ascii="Times New Roman"/>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引言二级条标题"/>
    <w:basedOn w:val="15"/>
    <w:next w:val="16"/>
    <w:qFormat/>
    <w:uiPriority w:val="0"/>
    <w:pPr>
      <w:tabs>
        <w:tab w:val="left" w:pos="360"/>
        <w:tab w:val="left" w:pos="1200"/>
      </w:tabs>
      <w:ind w:left="1554" w:hanging="420"/>
    </w:pPr>
    <w:rPr>
      <w:b w:val="0"/>
    </w:rPr>
  </w:style>
  <w:style w:type="paragraph" w:customStyle="1" w:styleId="15">
    <w:name w:val="引言一级条标题"/>
    <w:basedOn w:val="1"/>
    <w:next w:val="16"/>
    <w:qFormat/>
    <w:uiPriority w:val="0"/>
    <w:pPr>
      <w:widowControl/>
      <w:tabs>
        <w:tab w:val="left" w:pos="1200"/>
      </w:tabs>
      <w:ind w:left="1200" w:hanging="720"/>
    </w:pPr>
    <w:rPr>
      <w:rFonts w:eastAsia="黑体"/>
      <w:b/>
    </w:rPr>
  </w:style>
  <w:style w:type="paragraph" w:customStyle="1" w:styleId="16">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17">
    <w:name w:val="样式 首行缩进:  2 字符"/>
    <w:basedOn w:val="1"/>
    <w:qFormat/>
    <w:uiPriority w:val="0"/>
    <w:pPr>
      <w:widowControl/>
      <w:spacing w:line="360" w:lineRule="auto"/>
      <w:ind w:firstLine="480" w:firstLineChars="200"/>
    </w:pPr>
    <w:rPr>
      <w:rFonts w:ascii="Arial" w:hAnsi="Arial" w:cs="宋体"/>
      <w:sz w:val="28"/>
      <w:szCs w:val="20"/>
    </w:r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2087</Words>
  <Characters>2145</Characters>
  <Lines>0</Lines>
  <Paragraphs>0</Paragraphs>
  <TotalTime>9</TotalTime>
  <ScaleCrop>false</ScaleCrop>
  <LinksUpToDate>false</LinksUpToDate>
  <CharactersWithSpaces>2260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2021-04-14T02:34:00Z</dcterms:created>
  <dc:creator>语冰</dc:creator>
  <cp:lastModifiedBy>愿为你停留的心</cp:lastModifiedBy>
  <dcterms:modified xsi:type="dcterms:W3CDTF">2024-07-18T06:29:06Z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C6B70DD357A34FBFA9AA610E4A25E190_13</vt:lpwstr>
  </property>
</Properties>
</file>