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keepNext w:val="0"/>
        <w:keepLines w:val="0"/>
        <w:widowControl w:val="0"/>
        <w:suppressLineNumbers w:val="0"/>
        <w:spacing w:before="0" w:beforeAutospacing="0" w:after="0" w:afterAutospacing="0" w:line="360" w:lineRule="auto"/>
        <w:ind w:left="0" w:right="0" w:firstLine="723" w:firstLineChars="200"/>
        <w:jc w:val="center"/>
        <w:rPr>
          <w:rFonts w:hint="eastAsia" w:ascii="宋体" w:hAnsi="宋体" w:eastAsia="宋体" w:cs="Times New Roman"/>
          <w:b/>
          <w:bCs/>
          <w:sz w:val="36"/>
          <w:szCs w:val="36"/>
          <w:lang w:val="en-US" w:eastAsia="zh-CN"/>
        </w:rPr>
      </w:pPr>
    </w:p>
    <w:p>
      <w:pPr>
        <w:pStyle w:val="11"/>
        <w:ind w:left="0" w:leftChars="0" w:firstLine="0" w:firstLineChars="0"/>
        <w:rPr>
          <w:rFonts w:hint="eastAsia" w:ascii="宋体" w:hAnsi="宋体" w:eastAsia="宋体" w:cs="Times New Roman"/>
          <w:b/>
          <w:bCs/>
          <w:sz w:val="36"/>
          <w:szCs w:val="36"/>
          <w:lang w:val="en-US" w:eastAsia="zh-CN"/>
        </w:rPr>
      </w:pPr>
    </w:p>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黑体" w:hAnsi="黑体" w:eastAsia="黑体"/>
          <w:color w:val="000000" w:themeColor="text1"/>
          <w:sz w:val="44"/>
          <w:szCs w:val="44"/>
          <w:lang w:val="en-US" w:eastAsia="zh-CN"/>
          <w14:textFill>
            <w14:solidFill>
              <w14:schemeClr w14:val="tx1"/>
            </w14:solidFill>
          </w14:textFill>
        </w:rPr>
      </w:pPr>
      <w:r>
        <w:rPr>
          <w:rFonts w:hint="eastAsia" w:ascii="黑体" w:hAnsi="黑体" w:eastAsia="黑体"/>
          <w:color w:val="000000" w:themeColor="text1"/>
          <w:sz w:val="44"/>
          <w:szCs w:val="44"/>
          <w:lang w:val="en-US" w:eastAsia="zh-CN"/>
          <w14:textFill>
            <w14:solidFill>
              <w14:schemeClr w14:val="tx1"/>
            </w14:solidFill>
          </w14:textFill>
        </w:rPr>
        <w:t>高邮市鑫辰新能源有限公司汤庄镇78MW+70MW</w:t>
      </w:r>
    </w:p>
    <w:p>
      <w:pPr>
        <w:keepNext w:val="0"/>
        <w:keepLines w:val="0"/>
        <w:pageBreakBefore w:val="0"/>
        <w:widowControl w:val="0"/>
        <w:kinsoku/>
        <w:wordWrap/>
        <w:overflowPunct/>
        <w:topLinePunct w:val="0"/>
        <w:autoSpaceDE/>
        <w:autoSpaceDN/>
        <w:bidi w:val="0"/>
        <w:ind w:firstLine="2640" w:firstLineChars="600"/>
        <w:jc w:val="both"/>
        <w:textAlignment w:val="auto"/>
        <w:rPr>
          <w:rFonts w:hint="eastAsia" w:ascii="黑体" w:hAnsi="黑体" w:eastAsia="黑体"/>
          <w:color w:val="000000" w:themeColor="text1"/>
          <w:sz w:val="44"/>
          <w:szCs w:val="44"/>
          <w:lang w:val="en-US" w:eastAsia="zh-CN"/>
          <w14:textFill>
            <w14:solidFill>
              <w14:schemeClr w14:val="tx1"/>
            </w14:solidFill>
          </w14:textFill>
        </w:rPr>
      </w:pPr>
      <w:r>
        <w:rPr>
          <w:rFonts w:hint="eastAsia" w:ascii="黑体" w:hAnsi="黑体" w:eastAsia="黑体"/>
          <w:color w:val="000000" w:themeColor="text1"/>
          <w:sz w:val="44"/>
          <w:szCs w:val="44"/>
          <w:lang w:val="en-US" w:eastAsia="zh-CN"/>
          <w14:textFill>
            <w14:solidFill>
              <w14:schemeClr w14:val="tx1"/>
            </w14:solidFill>
          </w14:textFill>
        </w:rPr>
        <w:t>渔光互补光伏发电项目</w:t>
      </w:r>
    </w:p>
    <w:p>
      <w:pPr>
        <w:keepNext w:val="0"/>
        <w:keepLines w:val="0"/>
        <w:pageBreakBefore w:val="0"/>
        <w:widowControl w:val="0"/>
        <w:kinsoku/>
        <w:wordWrap/>
        <w:overflowPunct/>
        <w:topLinePunct w:val="0"/>
        <w:autoSpaceDE/>
        <w:autoSpaceDN/>
        <w:bidi w:val="0"/>
        <w:ind w:firstLine="2200" w:firstLineChars="500"/>
        <w:jc w:val="both"/>
        <w:textAlignment w:val="auto"/>
        <w:rPr>
          <w:rFonts w:hint="eastAsia" w:ascii="黑体" w:hAnsi="黑体" w:eastAsia="黑体"/>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ind w:firstLine="2200" w:firstLineChars="500"/>
        <w:jc w:val="both"/>
        <w:textAlignment w:val="auto"/>
        <w:rPr>
          <w:rFonts w:hint="eastAsia" w:ascii="黑体" w:hAnsi="黑体" w:eastAsia="黑体"/>
          <w:color w:val="000000" w:themeColor="text1"/>
          <w:sz w:val="44"/>
          <w:szCs w:val="44"/>
          <w:lang w:val="en-US" w:eastAsia="zh-CN"/>
          <w14:textFill>
            <w14:solidFill>
              <w14:schemeClr w14:val="tx1"/>
            </w14:solidFill>
          </w14:textFill>
        </w:rPr>
      </w:pPr>
    </w:p>
    <w:p>
      <w:pPr>
        <w:pStyle w:val="3"/>
        <w:rPr>
          <w:rFonts w:hint="eastAsia"/>
        </w:rPr>
      </w:pPr>
    </w:p>
    <w:p>
      <w:pPr>
        <w:spacing w:before="1248" w:beforeLines="400" w:after="468" w:afterLines="150" w:line="480" w:lineRule="auto"/>
        <w:ind w:firstLine="2600" w:firstLineChars="500"/>
        <w:jc w:val="both"/>
        <w:rPr>
          <w:rFonts w:hint="eastAsia"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 xml:space="preserve">监  理  </w:t>
      </w:r>
      <w:r>
        <w:rPr>
          <w:rFonts w:hint="eastAsia" w:ascii="黑体" w:hAnsi="黑体" w:eastAsia="黑体"/>
          <w:color w:val="000000" w:themeColor="text1"/>
          <w:sz w:val="52"/>
          <w:szCs w:val="52"/>
          <w:lang w:val="en-US" w:eastAsia="zh-CN"/>
          <w14:textFill>
            <w14:solidFill>
              <w14:schemeClr w14:val="tx1"/>
            </w14:solidFill>
          </w14:textFill>
        </w:rPr>
        <w:t>周</w:t>
      </w:r>
      <w:r>
        <w:rPr>
          <w:rFonts w:hint="eastAsia" w:ascii="黑体" w:hAnsi="黑体" w:eastAsia="黑体"/>
          <w:color w:val="000000" w:themeColor="text1"/>
          <w:sz w:val="52"/>
          <w:szCs w:val="52"/>
          <w14:textFill>
            <w14:solidFill>
              <w14:schemeClr w14:val="tx1"/>
            </w14:solidFill>
          </w14:textFill>
        </w:rPr>
        <w:t xml:space="preserve">  报</w:t>
      </w:r>
    </w:p>
    <w:p>
      <w:pPr>
        <w:spacing w:before="1248" w:beforeLines="400" w:after="468" w:afterLines="150" w:line="480" w:lineRule="auto"/>
        <w:jc w:val="both"/>
        <w:rPr>
          <w:rFonts w:hint="eastAsia" w:ascii="黑体" w:hAnsi="黑体" w:eastAsia="黑体"/>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ind w:firstLine="2560" w:firstLineChars="8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ind w:firstLine="2560" w:firstLineChars="8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bookmarkStart w:id="0" w:name="_GoBack"/>
      <w:bookmarkEnd w:id="0"/>
      <w:r>
        <w:rPr>
          <w:rFonts w:hint="eastAsia" w:ascii="黑体" w:hAnsi="黑体" w:eastAsia="黑体"/>
          <w:color w:val="000000" w:themeColor="text1"/>
          <w:sz w:val="32"/>
          <w:szCs w:val="32"/>
          <w:lang w:val="en-US" w:eastAsia="zh-CN"/>
          <w14:textFill>
            <w14:solidFill>
              <w14:schemeClr w14:val="tx1"/>
            </w14:solidFill>
          </w14:textFill>
        </w:rPr>
        <w:t>江苏苏安电力工程管理公司</w:t>
      </w:r>
    </w:p>
    <w:p>
      <w:pPr>
        <w:keepNext w:val="0"/>
        <w:keepLines w:val="0"/>
        <w:pageBreakBefore w:val="0"/>
        <w:widowControl w:val="0"/>
        <w:kinsoku/>
        <w:wordWrap/>
        <w:overflowPunct/>
        <w:topLinePunct w:val="0"/>
        <w:autoSpaceDE/>
        <w:autoSpaceDN/>
        <w:bidi w:val="0"/>
        <w:ind w:firstLine="1600" w:firstLineChars="5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高邮市鑫辰新能源有限公司汤庄镇78MW</w:t>
      </w:r>
    </w:p>
    <w:p>
      <w:pPr>
        <w:keepNext w:val="0"/>
        <w:keepLines w:val="0"/>
        <w:pageBreakBefore w:val="0"/>
        <w:widowControl w:val="0"/>
        <w:kinsoku/>
        <w:wordWrap/>
        <w:overflowPunct/>
        <w:topLinePunct w:val="0"/>
        <w:autoSpaceDE/>
        <w:autoSpaceDN/>
        <w:bidi w:val="0"/>
        <w:ind w:firstLine="1920" w:firstLineChars="600"/>
        <w:jc w:val="both"/>
        <w:textAlignment w:val="auto"/>
        <w:rPr>
          <w:rFonts w:hint="default"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渔光互补光伏发电项目监理项目部</w:t>
      </w:r>
    </w:p>
    <w:p>
      <w:pPr>
        <w:keepNext w:val="0"/>
        <w:keepLines w:val="0"/>
        <w:pageBreakBefore w:val="0"/>
        <w:widowControl w:val="0"/>
        <w:kinsoku/>
        <w:wordWrap/>
        <w:overflowPunct/>
        <w:topLinePunct w:val="0"/>
        <w:autoSpaceDE/>
        <w:autoSpaceDN/>
        <w:bidi w:val="0"/>
        <w:ind w:firstLine="3520" w:firstLineChars="1100"/>
        <w:jc w:val="both"/>
        <w:textAlignment w:val="auto"/>
        <w:rPr>
          <w:rFonts w:hint="default"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2024、11、11</w:t>
      </w:r>
    </w:p>
    <w:p>
      <w:pPr>
        <w:spacing w:before="156" w:beforeLines="50" w:after="156" w:afterLines="50"/>
        <w:jc w:val="both"/>
        <w:rPr>
          <w:rFonts w:hint="eastAsia"/>
          <w:color w:val="000000" w:themeColor="text1"/>
          <w:sz w:val="24"/>
          <w:szCs w:val="24"/>
          <w14:textFill>
            <w14:solidFill>
              <w14:schemeClr w14:val="tx1"/>
            </w14:solidFill>
          </w14:textFill>
        </w:rPr>
      </w:pPr>
    </w:p>
    <w:p>
      <w:pPr>
        <w:spacing w:before="156" w:beforeLines="50" w:after="156" w:afterLines="50"/>
        <w:jc w:val="both"/>
        <w:rPr>
          <w:rFonts w:hint="eastAsia"/>
          <w:color w:val="000000" w:themeColor="text1"/>
          <w:sz w:val="24"/>
          <w:szCs w:val="24"/>
          <w14:textFill>
            <w14:solidFill>
              <w14:schemeClr w14:val="tx1"/>
            </w14:solidFill>
          </w14:textFill>
        </w:rPr>
      </w:pPr>
    </w:p>
    <w:p>
      <w:pPr>
        <w:spacing w:before="156" w:beforeLines="50" w:after="156" w:afterLines="50"/>
        <w:jc w:val="both"/>
        <w:rPr>
          <w:rFonts w:hint="eastAsia"/>
          <w:color w:val="000000" w:themeColor="text1"/>
          <w:sz w:val="24"/>
          <w:szCs w:val="24"/>
          <w14:textFill>
            <w14:solidFill>
              <w14:schemeClr w14:val="tx1"/>
            </w14:solidFill>
          </w14:textFill>
        </w:rPr>
      </w:pPr>
    </w:p>
    <w:p>
      <w:pPr>
        <w:keepNext w:val="0"/>
        <w:keepLines w:val="0"/>
        <w:pageBreakBefore w:val="0"/>
        <w:widowControl/>
        <w:numPr>
          <w:ilvl w:val="0"/>
          <w:numId w:val="1"/>
        </w:numPr>
        <w:kinsoku/>
        <w:wordWrap/>
        <w:overflowPunct/>
        <w:topLinePunct w:val="0"/>
        <w:autoSpaceDE/>
        <w:autoSpaceDN/>
        <w:bidi w:val="0"/>
        <w:adjustRightInd/>
        <w:snapToGrid/>
        <w:spacing w:line="520" w:lineRule="exact"/>
        <w:jc w:val="left"/>
        <w:textAlignment w:val="auto"/>
        <w:rPr>
          <w:color w:val="000000" w:themeColor="text1"/>
          <w:sz w:val="30"/>
          <w:szCs w:val="30"/>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本周施工情况和要求：</w:t>
      </w:r>
    </w:p>
    <w:p>
      <w:pPr>
        <w:keepNext w:val="0"/>
        <w:keepLines w:val="0"/>
        <w:pageBreakBefore w:val="0"/>
        <w:widowControl/>
        <w:numPr>
          <w:ilvl w:val="0"/>
          <w:numId w:val="2"/>
        </w:numPr>
        <w:kinsoku/>
        <w:wordWrap/>
        <w:overflowPunct/>
        <w:topLinePunct w:val="0"/>
        <w:autoSpaceDE/>
        <w:autoSpaceDN/>
        <w:bidi w:val="0"/>
        <w:adjustRightInd/>
        <w:snapToGrid/>
        <w:spacing w:line="520" w:lineRule="exact"/>
        <w:ind w:left="300" w:leftChars="0" w:firstLine="0" w:firstLineChars="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本周施工作业面完成情况为：78MW区域40号地，15号地完成1831根（占地约94亩），管桩共计到货1908根；70MW区域5号地打桩892根，管桩共计到货1501根。</w:t>
      </w:r>
    </w:p>
    <w:p>
      <w:pPr>
        <w:keepNext w:val="0"/>
        <w:keepLines w:val="0"/>
        <w:pageBreakBefore w:val="0"/>
        <w:widowControl/>
        <w:numPr>
          <w:ilvl w:val="0"/>
          <w:numId w:val="2"/>
        </w:numPr>
        <w:kinsoku/>
        <w:wordWrap/>
        <w:overflowPunct/>
        <w:topLinePunct w:val="0"/>
        <w:autoSpaceDE/>
        <w:autoSpaceDN/>
        <w:bidi w:val="0"/>
        <w:adjustRightInd/>
        <w:snapToGrid/>
        <w:spacing w:line="520" w:lineRule="exact"/>
        <w:ind w:left="300" w:leftChars="0" w:firstLine="0" w:firstLineChars="0"/>
        <w:jc w:val="left"/>
        <w:textAlignment w:val="auto"/>
        <w:rPr>
          <w:color w:val="000000" w:themeColor="text1"/>
          <w:sz w:val="30"/>
          <w:szCs w:val="30"/>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 xml:space="preserve">本周业主邹总、尹总带队去观摩了临近龙虬项目，结合本项目实际情况，中建业管理公司下发了本项目塘口改造通知：现场塘底平整度符合要求的，且不存在小塘并大塘的塘口，经监理单位验收后可以打桩；需并塘的塘口围埂需要平推到位至平整度满足要求。爽水沟和捕捞区的开挖可以调整至桩施打结束。 </w:t>
      </w:r>
    </w:p>
    <w:p>
      <w:pPr>
        <w:keepNext w:val="0"/>
        <w:keepLines w:val="0"/>
        <w:pageBreakBefore w:val="0"/>
        <w:widowControl/>
        <w:numPr>
          <w:ilvl w:val="0"/>
          <w:numId w:val="1"/>
        </w:numPr>
        <w:kinsoku/>
        <w:wordWrap/>
        <w:overflowPunct/>
        <w:topLinePunct w:val="0"/>
        <w:autoSpaceDE/>
        <w:autoSpaceDN/>
        <w:bidi w:val="0"/>
        <w:adjustRightInd/>
        <w:snapToGrid/>
        <w:spacing w:line="520" w:lineRule="exact"/>
        <w:ind w:left="0" w:leftChars="0" w:firstLine="0" w:firstLineChars="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上周例会完成和未完成情况：</w:t>
      </w:r>
    </w:p>
    <w:p>
      <w:pPr>
        <w:keepNext w:val="0"/>
        <w:keepLines w:val="0"/>
        <w:pageBreakBefore w:val="0"/>
        <w:widowControl/>
        <w:numPr>
          <w:numId w:val="0"/>
        </w:numPr>
        <w:kinsoku/>
        <w:wordWrap/>
        <w:overflowPunct/>
        <w:topLinePunct w:val="0"/>
        <w:autoSpaceDE/>
        <w:autoSpaceDN/>
        <w:bidi w:val="0"/>
        <w:adjustRightInd/>
        <w:snapToGrid/>
        <w:spacing w:line="520" w:lineRule="exact"/>
        <w:ind w:leftChars="0" w:firstLine="60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1、78MW区域一处和70MW区域一处都拉了安全横幅；</w:t>
      </w:r>
    </w:p>
    <w:p>
      <w:pPr>
        <w:keepNext w:val="0"/>
        <w:keepLines w:val="0"/>
        <w:pageBreakBefore w:val="0"/>
        <w:widowControl/>
        <w:numPr>
          <w:numId w:val="0"/>
        </w:numPr>
        <w:kinsoku/>
        <w:wordWrap/>
        <w:overflowPunct/>
        <w:topLinePunct w:val="0"/>
        <w:autoSpaceDE/>
        <w:autoSpaceDN/>
        <w:bidi w:val="0"/>
        <w:adjustRightInd/>
        <w:snapToGrid/>
        <w:spacing w:line="520" w:lineRule="exact"/>
        <w:ind w:left="898" w:leftChars="285" w:hanging="300" w:hangingChars="10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2、总包单位分管技术人员对进桩进行了自检并且70MW区域5号、6号地管桩堆放整齐；</w:t>
      </w:r>
    </w:p>
    <w:p>
      <w:pPr>
        <w:keepNext w:val="0"/>
        <w:keepLines w:val="0"/>
        <w:pageBreakBefore w:val="0"/>
        <w:widowControl/>
        <w:numPr>
          <w:numId w:val="0"/>
        </w:numPr>
        <w:kinsoku/>
        <w:wordWrap/>
        <w:overflowPunct/>
        <w:topLinePunct w:val="0"/>
        <w:autoSpaceDE/>
        <w:autoSpaceDN/>
        <w:bidi w:val="0"/>
        <w:adjustRightInd/>
        <w:snapToGrid/>
        <w:spacing w:line="520" w:lineRule="exact"/>
        <w:ind w:left="1060" w:leftChars="219" w:hanging="600" w:hangingChars="200"/>
        <w:jc w:val="left"/>
        <w:textAlignment w:val="auto"/>
        <w:rPr>
          <w:rFonts w:hint="default"/>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3、要求总包现场准备一些安全帽，以备相关领导检查、指导工作之需，总包史总告之都准备好了；</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0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4、纸质版图纸没有出；</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634" w:leftChars="302" w:firstLine="4" w:firstLineChars="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5、质量安全交底是不是交底到班组，三级教育和考试是不是执行了，我方未看到记录资料；</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896" w:leftChars="284" w:hanging="300" w:hangingChars="10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6、上周业主黄总提出的总包单位日记打桩统计数据要具体到每个塘口打桩数、进桩数，总包单位的日记未见改变；</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838" w:leftChars="285" w:hanging="240" w:firstLineChars="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7、上周业主邹总要求上报一切险和意外险未见报审，要尽快了，业已施工，总包单位要及时报审，也是规避风险；</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896" w:leftChars="284" w:hanging="300" w:hangingChars="10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8、现场安全，黄总、邹总、尹总和我监理方从施工开始就强调安全工作的重要性，可在监理巡视过程中，还是发现施工区域有不戴安全帽现象，尤其是吊装现场有不戴安全帽现象；</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596" w:leftChars="284" w:firstLine="0" w:firstLineChars="0"/>
        <w:jc w:val="left"/>
        <w:textAlignment w:val="auto"/>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9、</w:t>
      </w:r>
      <w:r>
        <w:rPr>
          <w:rFonts w:hint="eastAsia"/>
          <w:color w:val="000000" w:themeColor="text1"/>
          <w:sz w:val="30"/>
          <w:szCs w:val="30"/>
          <w:lang w:val="en-US" w:eastAsia="zh-CN"/>
          <w14:textFill>
            <w14:solidFill>
              <w14:schemeClr w14:val="tx1"/>
            </w14:solidFill>
          </w14:textFill>
        </w:rPr>
        <w:t>78MW区域40号地少部分桩打到了塘埂外，不知总包单位是否和业主沟通解决；</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600" w:hanging="600" w:hangingChars="200"/>
        <w:jc w:val="left"/>
        <w:textAlignment w:val="auto"/>
        <w:rPr>
          <w:rFonts w:hint="default"/>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本周汤庄项目施工过程影像资料</w:t>
      </w:r>
    </w:p>
    <w:tbl>
      <w:tblPr>
        <w:tblStyle w:val="13"/>
        <w:tblpPr w:leftFromText="180" w:rightFromText="180" w:vertAnchor="text" w:horzAnchor="page" w:tblpX="1538" w:tblpY="1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5440" w:type="dxa"/>
          </w:tcPr>
          <w:p>
            <w:pPr>
              <w:widowControl/>
              <w:spacing w:line="360" w:lineRule="auto"/>
              <w:jc w:val="left"/>
              <w:rPr>
                <w:rFonts w:hint="default" w:ascii="宋体" w:hAnsi="宋体"/>
                <w:kern w:val="2"/>
                <w:sz w:val="24"/>
                <w:szCs w:val="24"/>
                <w:vertAlign w:val="baseline"/>
                <w:lang w:val="en-US" w:eastAsia="zh-CN"/>
              </w:rPr>
            </w:pPr>
            <w:r>
              <w:rPr>
                <w:rFonts w:hint="eastAsia" w:ascii="宋体" w:hAnsi="宋体"/>
                <w:kern w:val="2"/>
                <w:sz w:val="24"/>
                <w:szCs w:val="24"/>
                <w:vertAlign w:val="baseline"/>
                <w:lang w:val="en-US" w:eastAsia="zh-CN"/>
              </w:rPr>
              <w:t xml:space="preserve">          龙虬观摩现场会</w:t>
            </w:r>
          </w:p>
        </w:tc>
        <w:tc>
          <w:tcPr>
            <w:tcW w:w="4360" w:type="dxa"/>
          </w:tcPr>
          <w:p>
            <w:pPr>
              <w:widowControl/>
              <w:spacing w:line="360" w:lineRule="auto"/>
              <w:ind w:firstLine="1440" w:firstLineChars="600"/>
              <w:jc w:val="left"/>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t xml:space="preserve"> 龙虬观摩现场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5440" w:type="dxa"/>
          </w:tcPr>
          <w:p>
            <w:pPr>
              <w:widowControl/>
              <w:spacing w:line="360" w:lineRule="auto"/>
              <w:jc w:val="left"/>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drawing>
                <wp:inline distT="0" distB="0" distL="114300" distR="114300">
                  <wp:extent cx="3368040" cy="1894205"/>
                  <wp:effectExtent l="0" t="0" r="3810" b="10795"/>
                  <wp:docPr id="1" name="图片 1" descr="bec000d9274e61bbdec337df3c71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ec000d9274e61bbdec337df3c71e73"/>
                          <pic:cNvPicPr>
                            <a:picLocks noChangeAspect="1"/>
                          </pic:cNvPicPr>
                        </pic:nvPicPr>
                        <pic:blipFill>
                          <a:blip r:embed="rId6"/>
                          <a:stretch>
                            <a:fillRect/>
                          </a:stretch>
                        </pic:blipFill>
                        <pic:spPr>
                          <a:xfrm>
                            <a:off x="0" y="0"/>
                            <a:ext cx="3368040" cy="1894205"/>
                          </a:xfrm>
                          <a:prstGeom prst="rect">
                            <a:avLst/>
                          </a:prstGeom>
                        </pic:spPr>
                      </pic:pic>
                    </a:graphicData>
                  </a:graphic>
                </wp:inline>
              </w:drawing>
            </w:r>
          </w:p>
        </w:tc>
        <w:tc>
          <w:tcPr>
            <w:tcW w:w="4360" w:type="dxa"/>
          </w:tcPr>
          <w:p>
            <w:pPr>
              <w:widowControl/>
              <w:spacing w:line="360" w:lineRule="auto"/>
              <w:jc w:val="left"/>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drawing>
                <wp:inline distT="0" distB="0" distL="114300" distR="114300">
                  <wp:extent cx="2708910" cy="1913890"/>
                  <wp:effectExtent l="0" t="0" r="15240" b="10160"/>
                  <wp:docPr id="3" name="图片 3" descr="3da41c2e4154d63fcf666ac81de5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da41c2e4154d63fcf666ac81de50e9"/>
                          <pic:cNvPicPr>
                            <a:picLocks noChangeAspect="1"/>
                          </pic:cNvPicPr>
                        </pic:nvPicPr>
                        <pic:blipFill>
                          <a:blip r:embed="rId7"/>
                          <a:stretch>
                            <a:fillRect/>
                          </a:stretch>
                        </pic:blipFill>
                        <pic:spPr>
                          <a:xfrm>
                            <a:off x="0" y="0"/>
                            <a:ext cx="2708910" cy="1913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440" w:type="dxa"/>
          </w:tcPr>
          <w:p>
            <w:pPr>
              <w:widowControl/>
              <w:spacing w:line="360" w:lineRule="auto"/>
              <w:jc w:val="center"/>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t>70MW区域40号地打桩作业</w:t>
            </w:r>
          </w:p>
        </w:tc>
        <w:tc>
          <w:tcPr>
            <w:tcW w:w="4360" w:type="dxa"/>
          </w:tcPr>
          <w:p>
            <w:pPr>
              <w:widowControl/>
              <w:spacing w:line="360" w:lineRule="auto"/>
              <w:jc w:val="center"/>
              <w:rPr>
                <w:rFonts w:hint="default" w:ascii="宋体" w:hAnsi="宋体"/>
                <w:kern w:val="2"/>
                <w:sz w:val="24"/>
                <w:szCs w:val="24"/>
                <w:vertAlign w:val="baseline"/>
                <w:lang w:val="en-US" w:eastAsia="zh-CN"/>
              </w:rPr>
            </w:pPr>
            <w:r>
              <w:rPr>
                <w:rFonts w:hint="eastAsia" w:ascii="宋体" w:hAnsi="宋体"/>
                <w:kern w:val="2"/>
                <w:sz w:val="24"/>
                <w:szCs w:val="24"/>
                <w:vertAlign w:val="baseline"/>
                <w:lang w:val="en-US" w:eastAsia="zh-CN"/>
              </w:rPr>
              <w:t>78MW区域40号地打桩作业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1" w:hRule="atLeast"/>
        </w:trPr>
        <w:tc>
          <w:tcPr>
            <w:tcW w:w="5440" w:type="dxa"/>
          </w:tcPr>
          <w:p>
            <w:pPr>
              <w:widowControl/>
              <w:spacing w:line="360" w:lineRule="auto"/>
              <w:jc w:val="left"/>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drawing>
                <wp:inline distT="0" distB="0" distL="114300" distR="114300">
                  <wp:extent cx="3314700" cy="2485390"/>
                  <wp:effectExtent l="0" t="0" r="0" b="10160"/>
                  <wp:docPr id="4" name="图片 4" descr="2944e1740451e281691fc1514f05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944e1740451e281691fc1514f0553c"/>
                          <pic:cNvPicPr>
                            <a:picLocks noChangeAspect="1"/>
                          </pic:cNvPicPr>
                        </pic:nvPicPr>
                        <pic:blipFill>
                          <a:blip r:embed="rId8"/>
                          <a:stretch>
                            <a:fillRect/>
                          </a:stretch>
                        </pic:blipFill>
                        <pic:spPr>
                          <a:xfrm>
                            <a:off x="0" y="0"/>
                            <a:ext cx="3314700" cy="2485390"/>
                          </a:xfrm>
                          <a:prstGeom prst="rect">
                            <a:avLst/>
                          </a:prstGeom>
                        </pic:spPr>
                      </pic:pic>
                    </a:graphicData>
                  </a:graphic>
                </wp:inline>
              </w:drawing>
            </w:r>
          </w:p>
        </w:tc>
        <w:tc>
          <w:tcPr>
            <w:tcW w:w="4360" w:type="dxa"/>
          </w:tcPr>
          <w:p>
            <w:pPr>
              <w:widowControl/>
              <w:spacing w:line="360" w:lineRule="auto"/>
              <w:jc w:val="left"/>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drawing>
                <wp:inline distT="0" distB="0" distL="114300" distR="114300">
                  <wp:extent cx="2616200" cy="2406015"/>
                  <wp:effectExtent l="0" t="0" r="12700" b="13335"/>
                  <wp:docPr id="5" name="图片 5" descr="06d3cbf003b189cafef9016e14d0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d3cbf003b189cafef9016e14d0ace"/>
                          <pic:cNvPicPr>
                            <a:picLocks noChangeAspect="1"/>
                          </pic:cNvPicPr>
                        </pic:nvPicPr>
                        <pic:blipFill>
                          <a:blip r:embed="rId9"/>
                          <a:stretch>
                            <a:fillRect/>
                          </a:stretch>
                        </pic:blipFill>
                        <pic:spPr>
                          <a:xfrm>
                            <a:off x="0" y="0"/>
                            <a:ext cx="2616200" cy="2406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440" w:type="dxa"/>
          </w:tcPr>
          <w:p>
            <w:pPr>
              <w:widowControl/>
              <w:spacing w:line="360" w:lineRule="auto"/>
              <w:jc w:val="center"/>
              <w:rPr>
                <w:rFonts w:hint="default" w:ascii="宋体" w:hAnsi="宋体"/>
                <w:kern w:val="2"/>
                <w:sz w:val="24"/>
                <w:szCs w:val="24"/>
                <w:vertAlign w:val="baseline"/>
                <w:lang w:val="en-US" w:eastAsia="zh-CN"/>
              </w:rPr>
            </w:pPr>
            <w:r>
              <w:rPr>
                <w:rFonts w:hint="eastAsia" w:ascii="宋体" w:hAnsi="宋体"/>
                <w:kern w:val="2"/>
                <w:sz w:val="24"/>
                <w:szCs w:val="24"/>
                <w:vertAlign w:val="baseline"/>
                <w:lang w:val="en-US" w:eastAsia="zh-CN"/>
              </w:rPr>
              <w:t>标高复核</w:t>
            </w:r>
          </w:p>
        </w:tc>
        <w:tc>
          <w:tcPr>
            <w:tcW w:w="4360" w:type="dxa"/>
          </w:tcPr>
          <w:p>
            <w:pPr>
              <w:widowControl/>
              <w:spacing w:line="360" w:lineRule="auto"/>
              <w:jc w:val="center"/>
              <w:rPr>
                <w:rFonts w:hint="default" w:ascii="宋体" w:hAnsi="宋体"/>
                <w:kern w:val="2"/>
                <w:sz w:val="24"/>
                <w:szCs w:val="24"/>
                <w:vertAlign w:val="baseline"/>
                <w:lang w:val="en-US" w:eastAsia="zh-CN"/>
              </w:rPr>
            </w:pPr>
            <w:r>
              <w:rPr>
                <w:rFonts w:hint="eastAsia" w:ascii="宋体" w:hAnsi="宋体"/>
                <w:kern w:val="2"/>
                <w:sz w:val="24"/>
                <w:szCs w:val="24"/>
                <w:vertAlign w:val="baseline"/>
                <w:lang w:val="en-US" w:eastAsia="zh-CN"/>
              </w:rPr>
              <w:t>监理管桩检查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5440" w:type="dxa"/>
          </w:tcPr>
          <w:p>
            <w:pPr>
              <w:widowControl/>
              <w:spacing w:line="360" w:lineRule="auto"/>
              <w:jc w:val="center"/>
              <w:rPr>
                <w:rFonts w:hint="eastAsia"/>
                <w:lang w:val="en-US" w:eastAsia="zh-CN"/>
              </w:rPr>
            </w:pPr>
            <w:r>
              <w:rPr>
                <w:rFonts w:hint="eastAsia"/>
                <w:lang w:val="en-US" w:eastAsia="zh-CN"/>
              </w:rPr>
              <w:drawing>
                <wp:inline distT="0" distB="0" distL="114300" distR="114300">
                  <wp:extent cx="3314700" cy="2622550"/>
                  <wp:effectExtent l="0" t="0" r="0" b="6350"/>
                  <wp:docPr id="6" name="图片 6" descr="24c8792dc7b1b41e4e9c4ddeb008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c8792dc7b1b41e4e9c4ddeb008a0e"/>
                          <pic:cNvPicPr>
                            <a:picLocks noChangeAspect="1"/>
                          </pic:cNvPicPr>
                        </pic:nvPicPr>
                        <pic:blipFill>
                          <a:blip r:embed="rId10"/>
                          <a:stretch>
                            <a:fillRect/>
                          </a:stretch>
                        </pic:blipFill>
                        <pic:spPr>
                          <a:xfrm>
                            <a:off x="0" y="0"/>
                            <a:ext cx="3314700" cy="2622550"/>
                          </a:xfrm>
                          <a:prstGeom prst="rect">
                            <a:avLst/>
                          </a:prstGeom>
                        </pic:spPr>
                      </pic:pic>
                    </a:graphicData>
                  </a:graphic>
                </wp:inline>
              </w:drawing>
            </w:r>
          </w:p>
        </w:tc>
        <w:tc>
          <w:tcPr>
            <w:tcW w:w="4360" w:type="dxa"/>
          </w:tcPr>
          <w:p>
            <w:pPr>
              <w:widowControl/>
              <w:spacing w:line="360" w:lineRule="auto"/>
              <w:jc w:val="center"/>
              <w:rPr>
                <w:rFonts w:hint="eastAsia" w:ascii="宋体" w:hAnsi="宋体"/>
                <w:kern w:val="2"/>
                <w:sz w:val="24"/>
                <w:szCs w:val="24"/>
                <w:vertAlign w:val="baseline"/>
                <w:lang w:val="en-US" w:eastAsia="zh-CN"/>
              </w:rPr>
            </w:pPr>
            <w:r>
              <w:rPr>
                <w:rFonts w:hint="eastAsia" w:ascii="宋体" w:hAnsi="宋体"/>
                <w:kern w:val="2"/>
                <w:sz w:val="24"/>
                <w:szCs w:val="24"/>
                <w:vertAlign w:val="baseline"/>
                <w:lang w:val="en-US" w:eastAsia="zh-CN"/>
              </w:rPr>
              <w:drawing>
                <wp:inline distT="0" distB="0" distL="114300" distR="114300">
                  <wp:extent cx="2644775" cy="2542540"/>
                  <wp:effectExtent l="0" t="0" r="3175" b="10160"/>
                  <wp:docPr id="7" name="图片 7" descr="c9f4a906c078ed4f986c735eb582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9f4a906c078ed4f986c735eb582bea"/>
                          <pic:cNvPicPr>
                            <a:picLocks noChangeAspect="1"/>
                          </pic:cNvPicPr>
                        </pic:nvPicPr>
                        <pic:blipFill>
                          <a:blip r:embed="rId11"/>
                          <a:stretch>
                            <a:fillRect/>
                          </a:stretch>
                        </pic:blipFill>
                        <pic:spPr>
                          <a:xfrm>
                            <a:off x="0" y="0"/>
                            <a:ext cx="2644775" cy="2542540"/>
                          </a:xfrm>
                          <a:prstGeom prst="rect">
                            <a:avLst/>
                          </a:prstGeom>
                        </pic:spPr>
                      </pic:pic>
                    </a:graphicData>
                  </a:graphic>
                </wp:inline>
              </w:drawing>
            </w:r>
          </w:p>
        </w:tc>
      </w:tr>
    </w:tbl>
    <w:p>
      <w:pPr>
        <w:widowControl/>
        <w:spacing w:line="360" w:lineRule="auto"/>
        <w:jc w:val="left"/>
        <w:rPr>
          <w:rFonts w:hint="eastAsia" w:ascii="宋体" w:hAnsi="宋体"/>
          <w:kern w:val="2"/>
          <w:sz w:val="24"/>
          <w:szCs w:val="24"/>
          <w:lang w:val="en-US" w:eastAsia="zh-CN"/>
        </w:rPr>
      </w:pPr>
    </w:p>
    <w:sectPr>
      <w:footerReference r:id="rId4" w:type="first"/>
      <w:footerReference r:id="rId3" w:type="default"/>
      <w:pgSz w:w="11906" w:h="16838"/>
      <w:pgMar w:top="1417" w:right="850" w:bottom="1134" w:left="141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280EB2"/>
    <w:multiLevelType w:val="singleLevel"/>
    <w:tmpl w:val="F7280EB2"/>
    <w:lvl w:ilvl="0" w:tentative="0">
      <w:start w:val="1"/>
      <w:numFmt w:val="chineseCounting"/>
      <w:suff w:val="space"/>
      <w:lvlText w:val="%1、"/>
      <w:lvlJc w:val="left"/>
      <w:rPr>
        <w:rFonts w:hint="eastAsia"/>
      </w:rPr>
    </w:lvl>
  </w:abstractNum>
  <w:abstractNum w:abstractNumId="1">
    <w:nsid w:val="54CC514B"/>
    <w:multiLevelType w:val="singleLevel"/>
    <w:tmpl w:val="54CC514B"/>
    <w:lvl w:ilvl="0" w:tentative="0">
      <w:start w:val="1"/>
      <w:numFmt w:val="decimal"/>
      <w:suff w:val="nothing"/>
      <w:lvlText w:val="%1、"/>
      <w:lvlJc w:val="left"/>
      <w:pPr>
        <w:ind w:left="300"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lZjJmMDc0MjkyZjZmZmU5YTI2MzkyYzg1NzUwMWIifQ=="/>
  </w:docVars>
  <w:rsids>
    <w:rsidRoot w:val="00914097"/>
    <w:rsid w:val="00011723"/>
    <w:rsid w:val="00013654"/>
    <w:rsid w:val="000749E3"/>
    <w:rsid w:val="00077CC1"/>
    <w:rsid w:val="00097764"/>
    <w:rsid w:val="00141B91"/>
    <w:rsid w:val="00144C26"/>
    <w:rsid w:val="00155D85"/>
    <w:rsid w:val="00236CF4"/>
    <w:rsid w:val="00285532"/>
    <w:rsid w:val="00392D99"/>
    <w:rsid w:val="003A5A33"/>
    <w:rsid w:val="003A5D2F"/>
    <w:rsid w:val="003F2278"/>
    <w:rsid w:val="00471426"/>
    <w:rsid w:val="00502559"/>
    <w:rsid w:val="00610000"/>
    <w:rsid w:val="00624B5B"/>
    <w:rsid w:val="007402CA"/>
    <w:rsid w:val="007C51F9"/>
    <w:rsid w:val="00812E5F"/>
    <w:rsid w:val="008878D1"/>
    <w:rsid w:val="00890A11"/>
    <w:rsid w:val="008960B9"/>
    <w:rsid w:val="00914097"/>
    <w:rsid w:val="00940405"/>
    <w:rsid w:val="00940639"/>
    <w:rsid w:val="00982770"/>
    <w:rsid w:val="009D775B"/>
    <w:rsid w:val="009F1FCB"/>
    <w:rsid w:val="00A54B17"/>
    <w:rsid w:val="00A7236B"/>
    <w:rsid w:val="00AA2FFC"/>
    <w:rsid w:val="00AD701C"/>
    <w:rsid w:val="00B327D6"/>
    <w:rsid w:val="00B41BAE"/>
    <w:rsid w:val="00B86917"/>
    <w:rsid w:val="00BD6F84"/>
    <w:rsid w:val="00CA6B9A"/>
    <w:rsid w:val="00CB0F9B"/>
    <w:rsid w:val="00D858ED"/>
    <w:rsid w:val="00DC684A"/>
    <w:rsid w:val="00EB1CD3"/>
    <w:rsid w:val="00F20C3B"/>
    <w:rsid w:val="00F7297C"/>
    <w:rsid w:val="00F85F8E"/>
    <w:rsid w:val="00FD4BE9"/>
    <w:rsid w:val="013C246A"/>
    <w:rsid w:val="01722330"/>
    <w:rsid w:val="018F4C90"/>
    <w:rsid w:val="025008C3"/>
    <w:rsid w:val="02991BFD"/>
    <w:rsid w:val="02B947D7"/>
    <w:rsid w:val="02FA25DD"/>
    <w:rsid w:val="033A6707"/>
    <w:rsid w:val="03675EC4"/>
    <w:rsid w:val="04470620"/>
    <w:rsid w:val="045808C7"/>
    <w:rsid w:val="04FF212C"/>
    <w:rsid w:val="06331EEA"/>
    <w:rsid w:val="06532730"/>
    <w:rsid w:val="06565D7C"/>
    <w:rsid w:val="06744E59"/>
    <w:rsid w:val="06DF3FC3"/>
    <w:rsid w:val="07095BC0"/>
    <w:rsid w:val="07117EF5"/>
    <w:rsid w:val="07133C6D"/>
    <w:rsid w:val="076A249B"/>
    <w:rsid w:val="07A82607"/>
    <w:rsid w:val="07C37441"/>
    <w:rsid w:val="08495617"/>
    <w:rsid w:val="08791BDE"/>
    <w:rsid w:val="08F5187C"/>
    <w:rsid w:val="0935436E"/>
    <w:rsid w:val="09DA6A67"/>
    <w:rsid w:val="0A7964DD"/>
    <w:rsid w:val="0A9926DB"/>
    <w:rsid w:val="0AD11E75"/>
    <w:rsid w:val="0B436951"/>
    <w:rsid w:val="0C0A1F33"/>
    <w:rsid w:val="0C7358DA"/>
    <w:rsid w:val="0D830EA6"/>
    <w:rsid w:val="0DC9777B"/>
    <w:rsid w:val="0E012A71"/>
    <w:rsid w:val="0E0B7D94"/>
    <w:rsid w:val="0E1867C8"/>
    <w:rsid w:val="0E86580C"/>
    <w:rsid w:val="0EA63619"/>
    <w:rsid w:val="0F8C280E"/>
    <w:rsid w:val="10FF7124"/>
    <w:rsid w:val="11013837"/>
    <w:rsid w:val="11205904"/>
    <w:rsid w:val="11A0337E"/>
    <w:rsid w:val="122B4561"/>
    <w:rsid w:val="128A1139"/>
    <w:rsid w:val="12B96010"/>
    <w:rsid w:val="13347445"/>
    <w:rsid w:val="134024EC"/>
    <w:rsid w:val="138403CC"/>
    <w:rsid w:val="13F015BE"/>
    <w:rsid w:val="14384620"/>
    <w:rsid w:val="152D6842"/>
    <w:rsid w:val="15631C3A"/>
    <w:rsid w:val="159535BE"/>
    <w:rsid w:val="16847473"/>
    <w:rsid w:val="16C136E5"/>
    <w:rsid w:val="16C62AAA"/>
    <w:rsid w:val="172B4C6F"/>
    <w:rsid w:val="17365367"/>
    <w:rsid w:val="177B5642"/>
    <w:rsid w:val="17946704"/>
    <w:rsid w:val="17EC02EE"/>
    <w:rsid w:val="18191102"/>
    <w:rsid w:val="18DA45EA"/>
    <w:rsid w:val="19017DC9"/>
    <w:rsid w:val="192817FA"/>
    <w:rsid w:val="19566367"/>
    <w:rsid w:val="19666246"/>
    <w:rsid w:val="198C1D89"/>
    <w:rsid w:val="19E3649F"/>
    <w:rsid w:val="1A134258"/>
    <w:rsid w:val="1AB8229E"/>
    <w:rsid w:val="1AD0039B"/>
    <w:rsid w:val="1ADA4D76"/>
    <w:rsid w:val="1AEF1D35"/>
    <w:rsid w:val="1B216547"/>
    <w:rsid w:val="1B3B1CB8"/>
    <w:rsid w:val="1B430B6D"/>
    <w:rsid w:val="1B446693"/>
    <w:rsid w:val="1B6612DF"/>
    <w:rsid w:val="1B746C38"/>
    <w:rsid w:val="1B7E1BA5"/>
    <w:rsid w:val="1B8C2514"/>
    <w:rsid w:val="1BAA7F40"/>
    <w:rsid w:val="1BFD0D1C"/>
    <w:rsid w:val="1C6A739E"/>
    <w:rsid w:val="1D445393"/>
    <w:rsid w:val="1D497F91"/>
    <w:rsid w:val="1D4D7A81"/>
    <w:rsid w:val="1D7B2840"/>
    <w:rsid w:val="1E067C30"/>
    <w:rsid w:val="1EB11C69"/>
    <w:rsid w:val="1EF43063"/>
    <w:rsid w:val="1F073C5F"/>
    <w:rsid w:val="1F8326BC"/>
    <w:rsid w:val="21EB7868"/>
    <w:rsid w:val="23D507D0"/>
    <w:rsid w:val="23F5286D"/>
    <w:rsid w:val="24186FBC"/>
    <w:rsid w:val="248B0E8F"/>
    <w:rsid w:val="248D2E59"/>
    <w:rsid w:val="24D9609E"/>
    <w:rsid w:val="24EC30DB"/>
    <w:rsid w:val="2500660A"/>
    <w:rsid w:val="250C0222"/>
    <w:rsid w:val="252E0198"/>
    <w:rsid w:val="25A42208"/>
    <w:rsid w:val="25E22D30"/>
    <w:rsid w:val="26284BE7"/>
    <w:rsid w:val="265A320F"/>
    <w:rsid w:val="26A36795"/>
    <w:rsid w:val="26AE2448"/>
    <w:rsid w:val="276566DF"/>
    <w:rsid w:val="27B32BD6"/>
    <w:rsid w:val="27CC5360"/>
    <w:rsid w:val="27F207B2"/>
    <w:rsid w:val="27FE2FC6"/>
    <w:rsid w:val="28235FAE"/>
    <w:rsid w:val="285717B4"/>
    <w:rsid w:val="288B3C14"/>
    <w:rsid w:val="28E058EF"/>
    <w:rsid w:val="28ED3EC6"/>
    <w:rsid w:val="294A30C6"/>
    <w:rsid w:val="2A1C442B"/>
    <w:rsid w:val="2A461AE0"/>
    <w:rsid w:val="2BA47406"/>
    <w:rsid w:val="2C815051"/>
    <w:rsid w:val="2CD0422B"/>
    <w:rsid w:val="2CE455E0"/>
    <w:rsid w:val="2D12039F"/>
    <w:rsid w:val="2D371BB4"/>
    <w:rsid w:val="2DFB7085"/>
    <w:rsid w:val="2E1A6113"/>
    <w:rsid w:val="2E8E614B"/>
    <w:rsid w:val="2E905A1F"/>
    <w:rsid w:val="2E9D013C"/>
    <w:rsid w:val="2EC456C9"/>
    <w:rsid w:val="2EC67693"/>
    <w:rsid w:val="2F3D00C6"/>
    <w:rsid w:val="2F61116A"/>
    <w:rsid w:val="2FD162F0"/>
    <w:rsid w:val="3034062C"/>
    <w:rsid w:val="30AF7428"/>
    <w:rsid w:val="30B254F4"/>
    <w:rsid w:val="30D50061"/>
    <w:rsid w:val="30FE6134"/>
    <w:rsid w:val="3116731A"/>
    <w:rsid w:val="319C6612"/>
    <w:rsid w:val="3207249C"/>
    <w:rsid w:val="320A5AE9"/>
    <w:rsid w:val="322841C1"/>
    <w:rsid w:val="327D450D"/>
    <w:rsid w:val="32D85BE7"/>
    <w:rsid w:val="32F742BF"/>
    <w:rsid w:val="33A87367"/>
    <w:rsid w:val="33D91C17"/>
    <w:rsid w:val="33EC194A"/>
    <w:rsid w:val="33F26834"/>
    <w:rsid w:val="33F27507"/>
    <w:rsid w:val="342A2472"/>
    <w:rsid w:val="34607C42"/>
    <w:rsid w:val="346534AA"/>
    <w:rsid w:val="347100A1"/>
    <w:rsid w:val="34C26F7D"/>
    <w:rsid w:val="355F439E"/>
    <w:rsid w:val="364610BA"/>
    <w:rsid w:val="364D41F6"/>
    <w:rsid w:val="36952D75"/>
    <w:rsid w:val="36987B67"/>
    <w:rsid w:val="36C344B8"/>
    <w:rsid w:val="36E277B8"/>
    <w:rsid w:val="377F2AD5"/>
    <w:rsid w:val="37920A5A"/>
    <w:rsid w:val="37DE3C9F"/>
    <w:rsid w:val="380D1E8F"/>
    <w:rsid w:val="38980A15"/>
    <w:rsid w:val="38A30A45"/>
    <w:rsid w:val="38AA3B82"/>
    <w:rsid w:val="38B8629F"/>
    <w:rsid w:val="38BF4998"/>
    <w:rsid w:val="38C369F1"/>
    <w:rsid w:val="39050DB8"/>
    <w:rsid w:val="390A63CE"/>
    <w:rsid w:val="39616936"/>
    <w:rsid w:val="3A085004"/>
    <w:rsid w:val="3A43428E"/>
    <w:rsid w:val="3ACF5B21"/>
    <w:rsid w:val="3B1E5F19"/>
    <w:rsid w:val="3B2E2848"/>
    <w:rsid w:val="3B7B35B3"/>
    <w:rsid w:val="3BD26CFD"/>
    <w:rsid w:val="3C3A6FCB"/>
    <w:rsid w:val="3CA1135A"/>
    <w:rsid w:val="3D2263DC"/>
    <w:rsid w:val="3D672041"/>
    <w:rsid w:val="3DA9265A"/>
    <w:rsid w:val="3E5A1BA6"/>
    <w:rsid w:val="3E8804C1"/>
    <w:rsid w:val="3F19736B"/>
    <w:rsid w:val="3F3E3276"/>
    <w:rsid w:val="3F8769CB"/>
    <w:rsid w:val="3FCC0881"/>
    <w:rsid w:val="40302BBE"/>
    <w:rsid w:val="40A435AC"/>
    <w:rsid w:val="410F4ECA"/>
    <w:rsid w:val="4142704D"/>
    <w:rsid w:val="415F1ED4"/>
    <w:rsid w:val="417116E0"/>
    <w:rsid w:val="4194536F"/>
    <w:rsid w:val="41B82E6B"/>
    <w:rsid w:val="41C81024"/>
    <w:rsid w:val="42274495"/>
    <w:rsid w:val="422B5F99"/>
    <w:rsid w:val="426A6803"/>
    <w:rsid w:val="42D31F27"/>
    <w:rsid w:val="437159C8"/>
    <w:rsid w:val="43C57AC2"/>
    <w:rsid w:val="442C4E3E"/>
    <w:rsid w:val="443E7B2D"/>
    <w:rsid w:val="444A6219"/>
    <w:rsid w:val="448F4857"/>
    <w:rsid w:val="449E0956"/>
    <w:rsid w:val="44B244EA"/>
    <w:rsid w:val="44CD1163"/>
    <w:rsid w:val="44CE29A6"/>
    <w:rsid w:val="45047D62"/>
    <w:rsid w:val="45557E0F"/>
    <w:rsid w:val="45FD1795"/>
    <w:rsid w:val="46001285"/>
    <w:rsid w:val="46003033"/>
    <w:rsid w:val="46401681"/>
    <w:rsid w:val="46B362F7"/>
    <w:rsid w:val="47887784"/>
    <w:rsid w:val="479F062A"/>
    <w:rsid w:val="48790E7B"/>
    <w:rsid w:val="48AA087F"/>
    <w:rsid w:val="48C04CFB"/>
    <w:rsid w:val="48CB3DCC"/>
    <w:rsid w:val="491237A9"/>
    <w:rsid w:val="49421F59"/>
    <w:rsid w:val="49583186"/>
    <w:rsid w:val="4A8C1339"/>
    <w:rsid w:val="4ADD3943"/>
    <w:rsid w:val="4B603386"/>
    <w:rsid w:val="4BB5041C"/>
    <w:rsid w:val="4C247811"/>
    <w:rsid w:val="4D3B1A90"/>
    <w:rsid w:val="4D5A3970"/>
    <w:rsid w:val="4D93478D"/>
    <w:rsid w:val="4DF27705"/>
    <w:rsid w:val="4DFC67D6"/>
    <w:rsid w:val="4E4723F5"/>
    <w:rsid w:val="4EA07161"/>
    <w:rsid w:val="4EAE6BA4"/>
    <w:rsid w:val="4EBE1630"/>
    <w:rsid w:val="4EE47996"/>
    <w:rsid w:val="4F0C47F7"/>
    <w:rsid w:val="4F0E2C85"/>
    <w:rsid w:val="4F251D5C"/>
    <w:rsid w:val="4F532425"/>
    <w:rsid w:val="4F70647C"/>
    <w:rsid w:val="4FA233AD"/>
    <w:rsid w:val="4FF162DD"/>
    <w:rsid w:val="4FF754A7"/>
    <w:rsid w:val="504E39F2"/>
    <w:rsid w:val="5075461D"/>
    <w:rsid w:val="50A867A1"/>
    <w:rsid w:val="50B82E88"/>
    <w:rsid w:val="50F9524E"/>
    <w:rsid w:val="512408A7"/>
    <w:rsid w:val="51695F30"/>
    <w:rsid w:val="5181369F"/>
    <w:rsid w:val="51E97071"/>
    <w:rsid w:val="52081BED"/>
    <w:rsid w:val="525A7F6F"/>
    <w:rsid w:val="526A6404"/>
    <w:rsid w:val="527E58C8"/>
    <w:rsid w:val="528D20F2"/>
    <w:rsid w:val="52C55BBA"/>
    <w:rsid w:val="52C673B2"/>
    <w:rsid w:val="53807561"/>
    <w:rsid w:val="539D6365"/>
    <w:rsid w:val="539F20DD"/>
    <w:rsid w:val="53EB15FB"/>
    <w:rsid w:val="541D24F3"/>
    <w:rsid w:val="54DB5397"/>
    <w:rsid w:val="55256612"/>
    <w:rsid w:val="55943798"/>
    <w:rsid w:val="55CD2393"/>
    <w:rsid w:val="561D36BE"/>
    <w:rsid w:val="56F905B2"/>
    <w:rsid w:val="56FA5A54"/>
    <w:rsid w:val="572A47DF"/>
    <w:rsid w:val="57766A4F"/>
    <w:rsid w:val="57B123DF"/>
    <w:rsid w:val="583D71CA"/>
    <w:rsid w:val="5853793A"/>
    <w:rsid w:val="59101387"/>
    <w:rsid w:val="591E0A5B"/>
    <w:rsid w:val="5933590A"/>
    <w:rsid w:val="59401C6C"/>
    <w:rsid w:val="59657925"/>
    <w:rsid w:val="59B44408"/>
    <w:rsid w:val="5A3317D1"/>
    <w:rsid w:val="5A5359CF"/>
    <w:rsid w:val="5A70032F"/>
    <w:rsid w:val="5AB9201E"/>
    <w:rsid w:val="5B1E7D8B"/>
    <w:rsid w:val="5B9E663D"/>
    <w:rsid w:val="5C116D80"/>
    <w:rsid w:val="5C6B2D9C"/>
    <w:rsid w:val="5CF60894"/>
    <w:rsid w:val="5D5F6439"/>
    <w:rsid w:val="5DE57F1D"/>
    <w:rsid w:val="5E6261E1"/>
    <w:rsid w:val="5EDC2437"/>
    <w:rsid w:val="5EFD3D34"/>
    <w:rsid w:val="5F8D54E0"/>
    <w:rsid w:val="5FD44EBD"/>
    <w:rsid w:val="605E50CE"/>
    <w:rsid w:val="60634492"/>
    <w:rsid w:val="60651FB9"/>
    <w:rsid w:val="609B7124"/>
    <w:rsid w:val="61235A9C"/>
    <w:rsid w:val="612B40D2"/>
    <w:rsid w:val="61A134C4"/>
    <w:rsid w:val="620121B5"/>
    <w:rsid w:val="626D15F8"/>
    <w:rsid w:val="628726BA"/>
    <w:rsid w:val="62EF6BE7"/>
    <w:rsid w:val="62FA736F"/>
    <w:rsid w:val="630A6E47"/>
    <w:rsid w:val="63624ED5"/>
    <w:rsid w:val="637F7835"/>
    <w:rsid w:val="63BA261B"/>
    <w:rsid w:val="63D25BB7"/>
    <w:rsid w:val="63D47B81"/>
    <w:rsid w:val="6488096B"/>
    <w:rsid w:val="654E5711"/>
    <w:rsid w:val="65F00688"/>
    <w:rsid w:val="660160D6"/>
    <w:rsid w:val="66A852F5"/>
    <w:rsid w:val="66BF63B1"/>
    <w:rsid w:val="67414C6B"/>
    <w:rsid w:val="67424E02"/>
    <w:rsid w:val="68442DFB"/>
    <w:rsid w:val="68B7181F"/>
    <w:rsid w:val="68C33D20"/>
    <w:rsid w:val="693C3AD3"/>
    <w:rsid w:val="69750844"/>
    <w:rsid w:val="6976022A"/>
    <w:rsid w:val="6A102F95"/>
    <w:rsid w:val="6AE755AA"/>
    <w:rsid w:val="6AF6242A"/>
    <w:rsid w:val="6B4D449B"/>
    <w:rsid w:val="6BF6265F"/>
    <w:rsid w:val="6C5D623A"/>
    <w:rsid w:val="6C64581A"/>
    <w:rsid w:val="6C6475C8"/>
    <w:rsid w:val="6D3276C6"/>
    <w:rsid w:val="6DE940F3"/>
    <w:rsid w:val="6E4F199A"/>
    <w:rsid w:val="6E511395"/>
    <w:rsid w:val="6E767955"/>
    <w:rsid w:val="6E7855AD"/>
    <w:rsid w:val="6E963588"/>
    <w:rsid w:val="6EE113A4"/>
    <w:rsid w:val="6EF015E7"/>
    <w:rsid w:val="6F8D6E36"/>
    <w:rsid w:val="6F975F07"/>
    <w:rsid w:val="6F9C3E76"/>
    <w:rsid w:val="71072C18"/>
    <w:rsid w:val="71324139"/>
    <w:rsid w:val="71866233"/>
    <w:rsid w:val="71902C0D"/>
    <w:rsid w:val="71946BA2"/>
    <w:rsid w:val="71A768D5"/>
    <w:rsid w:val="72231CD3"/>
    <w:rsid w:val="72F1592E"/>
    <w:rsid w:val="72FD0776"/>
    <w:rsid w:val="73700F48"/>
    <w:rsid w:val="741144D9"/>
    <w:rsid w:val="754206C3"/>
    <w:rsid w:val="75447E74"/>
    <w:rsid w:val="755325D9"/>
    <w:rsid w:val="75CD2682"/>
    <w:rsid w:val="75DD576F"/>
    <w:rsid w:val="76206C56"/>
    <w:rsid w:val="762A1882"/>
    <w:rsid w:val="764F12E9"/>
    <w:rsid w:val="76A55366"/>
    <w:rsid w:val="770420D4"/>
    <w:rsid w:val="77183DD1"/>
    <w:rsid w:val="77854F30"/>
    <w:rsid w:val="77D00208"/>
    <w:rsid w:val="77F9775E"/>
    <w:rsid w:val="78321606"/>
    <w:rsid w:val="783833EA"/>
    <w:rsid w:val="783E1615"/>
    <w:rsid w:val="7854496A"/>
    <w:rsid w:val="7875524F"/>
    <w:rsid w:val="78801C2E"/>
    <w:rsid w:val="78DB3308"/>
    <w:rsid w:val="78F65A4C"/>
    <w:rsid w:val="79117F3D"/>
    <w:rsid w:val="79626B52"/>
    <w:rsid w:val="797A074D"/>
    <w:rsid w:val="79C8388C"/>
    <w:rsid w:val="7AAF05A8"/>
    <w:rsid w:val="7AB43E11"/>
    <w:rsid w:val="7AE65E1A"/>
    <w:rsid w:val="7B845591"/>
    <w:rsid w:val="7B9559F0"/>
    <w:rsid w:val="7C3D3992"/>
    <w:rsid w:val="7C574A54"/>
    <w:rsid w:val="7C9E2682"/>
    <w:rsid w:val="7D300941"/>
    <w:rsid w:val="7D3B4375"/>
    <w:rsid w:val="7D3D43E8"/>
    <w:rsid w:val="7E060951"/>
    <w:rsid w:val="7E372D8F"/>
    <w:rsid w:val="7EA232D1"/>
    <w:rsid w:val="7EC45EE7"/>
    <w:rsid w:val="7ECB24A2"/>
    <w:rsid w:val="7F0A53AE"/>
    <w:rsid w:val="7F5434CC"/>
    <w:rsid w:val="7F995383"/>
    <w:rsid w:val="7FE64A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adjustRightInd w:val="0"/>
      <w:spacing w:before="260" w:beforeLines="0" w:after="260" w:afterLines="0"/>
      <w:ind w:firstLine="0" w:firstLineChars="0"/>
      <w:textAlignment w:val="baseline"/>
      <w:outlineLvl w:val="1"/>
    </w:pPr>
    <w:rPr>
      <w:rFonts w:ascii="Arial" w:hAnsi="Arial"/>
      <w:b/>
      <w:bCs/>
      <w:kern w:val="0"/>
      <w:sz w:val="28"/>
      <w:szCs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3">
    <w:name w:val="toa heading"/>
    <w:basedOn w:val="1"/>
    <w:next w:val="1"/>
    <w:qFormat/>
    <w:uiPriority w:val="99"/>
    <w:pPr>
      <w:spacing w:before="120"/>
    </w:pPr>
    <w:rPr>
      <w:rFonts w:ascii="Arial" w:hAnsi="Arial" w:cs="Arial"/>
    </w:rPr>
  </w:style>
  <w:style w:type="paragraph" w:styleId="4">
    <w:name w:val="Body Text"/>
    <w:basedOn w:val="1"/>
    <w:qFormat/>
    <w:uiPriority w:val="99"/>
    <w:pPr>
      <w:spacing w:after="120"/>
    </w:pPr>
  </w:style>
  <w:style w:type="paragraph" w:styleId="5">
    <w:name w:val="Body Text Indent"/>
    <w:basedOn w:val="1"/>
    <w:unhideWhenUsed/>
    <w:qFormat/>
    <w:uiPriority w:val="99"/>
  </w:style>
  <w:style w:type="paragraph" w:styleId="6">
    <w:name w:val="Balloon Text"/>
    <w:basedOn w:val="1"/>
    <w:link w:val="15"/>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Body Text First Indent"/>
    <w:basedOn w:val="4"/>
    <w:qFormat/>
    <w:uiPriority w:val="99"/>
    <w:pPr>
      <w:spacing w:line="312" w:lineRule="auto"/>
      <w:ind w:firstLine="420"/>
    </w:pPr>
  </w:style>
  <w:style w:type="paragraph" w:styleId="11">
    <w:name w:val="Body Text First Indent 2"/>
    <w:basedOn w:val="5"/>
    <w:qFormat/>
    <w:uiPriority w:val="0"/>
    <w:pPr>
      <w:adjustRightInd w:val="0"/>
      <w:spacing w:line="312" w:lineRule="atLeast"/>
      <w:ind w:left="0" w:leftChars="0" w:firstLine="420"/>
      <w:textAlignment w:val="baseline"/>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批注框文本 Char"/>
    <w:basedOn w:val="14"/>
    <w:link w:val="6"/>
    <w:semiHidden/>
    <w:qFormat/>
    <w:uiPriority w:val="99"/>
    <w:rPr>
      <w:sz w:val="18"/>
      <w:szCs w:val="18"/>
    </w:rPr>
  </w:style>
  <w:style w:type="paragraph" w:customStyle="1" w:styleId="16">
    <w:name w:val="List Paragraph"/>
    <w:basedOn w:val="1"/>
    <w:qFormat/>
    <w:uiPriority w:val="34"/>
    <w:pPr>
      <w:ind w:firstLine="420" w:firstLineChars="200"/>
    </w:pPr>
  </w:style>
  <w:style w:type="character" w:customStyle="1" w:styleId="17">
    <w:name w:val="页眉 Char"/>
    <w:basedOn w:val="14"/>
    <w:link w:val="8"/>
    <w:qFormat/>
    <w:uiPriority w:val="99"/>
    <w:rPr>
      <w:sz w:val="18"/>
      <w:szCs w:val="18"/>
    </w:rPr>
  </w:style>
  <w:style w:type="character" w:customStyle="1" w:styleId="18">
    <w:name w:val="页脚 Char"/>
    <w:basedOn w:val="14"/>
    <w:link w:val="7"/>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41834-C429-4566-8314-903C6EA9106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1313</Words>
  <Characters>1355</Characters>
  <Lines>1</Lines>
  <Paragraphs>1</Paragraphs>
  <TotalTime>121</TotalTime>
  <ScaleCrop>false</ScaleCrop>
  <LinksUpToDate>false</LinksUpToDate>
  <CharactersWithSpaces>1396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2014-08-21T07:50:00Z</dcterms:created>
  <dc:creator>DELL-N4050</dc:creator>
  <cp:lastModifiedBy>秦邦学</cp:lastModifiedBy>
  <cp:lastPrinted>2024-11-10T16:25:54Z</cp:lastPrinted>
  <dcterms:modified xsi:type="dcterms:W3CDTF">2024-11-10T16:27:42Z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D165F7BE5C154CFAAC4015FF7C392552</vt:lpwstr>
  </property>
</Properties>
</file>