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项目情况报告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报告日期：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编号：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834"/>
        <w:gridCol w:w="145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监理负责人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监理人数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进场时间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合同工期</w:t>
            </w:r>
          </w:p>
        </w:tc>
        <w:tc>
          <w:tcPr>
            <w:tcW w:w="280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参建单位</w:t>
            </w:r>
          </w:p>
        </w:tc>
        <w:tc>
          <w:tcPr>
            <w:tcW w:w="7096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建设单位：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监理单位：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设计单位：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总承包单位：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包括项目建设内容、建设规模、投资总额、地理位置、交通条件、气候环境、人文环境、等内容。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业主单位情况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1、业主公司情况介绍；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2、现场管理人员配置、分工、能力水平；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3、对项目实施和监理工作有哪些特殊要求。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施工图交付情况介绍；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现场是否有设计代表，设计变更处理情况；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对项目现场设计问题、参与验收响应情况。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主材料、设备到场百分比，是否影响施工进度；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材料、设备进场滞后（如有）原因；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措施。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施工情况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总包与分包单位介绍，现场管理人员介绍；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综述</w:t>
            </w:r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原因分析与措施。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7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监理工作情况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当月监理工作开展情况综述（特别是对该项目存在的主要问题监理方的处置方法）；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有哪些不足和需要加强、提高的地方；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业主对监理工作的态度、意见及要求；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监理工作与生活情况，需要公司哪些帮助。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9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可对影响项目正常工期、质量的因素，参建各方履约能力等一系列风险进行预估。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9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  <w:lang w:val="en-US" w:eastAsia="zh-CN"/>
        </w:rPr>
        <w:t>监理项目部        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ind w:firstLine="480"/>
        <w:rPr>
          <w:rFonts w:hint="eastAsia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7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BCF"/>
    <w:multiLevelType w:val="singleLevel"/>
    <w:tmpl w:val="5796EBCF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977FD"/>
    <w:rsid w:val="40AB3B91"/>
    <w:rsid w:val="41A94DB4"/>
    <w:rsid w:val="46494BA1"/>
    <w:rsid w:val="5BFB61C8"/>
    <w:rsid w:val="5F6E3096"/>
    <w:rsid w:val="6F760E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2016-07-27T03:58:26Z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