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134"/>
        <w:gridCol w:w="4536"/>
      </w:tblGrid>
      <w:tr w14:paraId="1568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4536" w:type="dxa"/>
            <w:gridSpan w:val="3"/>
            <w:noWrap w:val="0"/>
            <w:vAlign w:val="center"/>
          </w:tcPr>
          <w:p w14:paraId="2B27A4EE">
            <w:pPr>
              <w:jc w:val="left"/>
              <w:rPr>
                <w:rFonts w:hint="eastAsia" w:ascii="黑体" w:hAnsi="黑体" w:eastAsia="黑体"/>
                <w:b/>
                <w:sz w:val="24"/>
                <w:highlight w:val="none"/>
                <w:lang w:val="en-US" w:eastAsia="zh-CN"/>
              </w:rPr>
            </w:pPr>
            <w:r>
              <w:rPr>
                <w:rFonts w:hint="eastAsia"/>
                <w:b/>
                <w:sz w:val="24"/>
                <w:szCs w:val="24"/>
                <w:highlight w:val="none"/>
              </w:rPr>
              <w:t>文件名称：</w:t>
            </w:r>
            <w:r>
              <w:rPr>
                <w:rFonts w:hint="eastAsia" w:ascii="黑体" w:hAnsi="黑体" w:eastAsia="黑体"/>
                <w:b/>
                <w:sz w:val="24"/>
                <w:highlight w:val="none"/>
              </w:rPr>
              <w:t>风险分级管控与事故隐患排查治理及安全检查</w:t>
            </w:r>
            <w:r>
              <w:rPr>
                <w:rFonts w:hint="eastAsia" w:ascii="黑体" w:hAnsi="黑体" w:eastAsia="黑体"/>
                <w:b/>
                <w:sz w:val="24"/>
                <w:highlight w:val="none"/>
                <w:lang w:val="en-US" w:eastAsia="zh-CN"/>
              </w:rPr>
              <w:t>办法</w:t>
            </w:r>
          </w:p>
        </w:tc>
        <w:tc>
          <w:tcPr>
            <w:tcW w:w="4536" w:type="dxa"/>
            <w:noWrap w:val="0"/>
            <w:vAlign w:val="center"/>
          </w:tcPr>
          <w:p w14:paraId="16986D44">
            <w:pPr>
              <w:jc w:val="left"/>
              <w:rPr>
                <w:rFonts w:hint="eastAsia" w:eastAsia="宋体"/>
                <w:b/>
                <w:sz w:val="24"/>
                <w:szCs w:val="24"/>
                <w:highlight w:val="none"/>
                <w:lang w:eastAsia="zh-CN"/>
              </w:rPr>
            </w:pPr>
            <w:r>
              <w:rPr>
                <w:rFonts w:hint="eastAsia"/>
                <w:b/>
                <w:sz w:val="24"/>
                <w:szCs w:val="24"/>
                <w:highlight w:val="none"/>
              </w:rPr>
              <w:t>文件编号：</w:t>
            </w:r>
            <w:r>
              <w:rPr>
                <w:b/>
                <w:sz w:val="24"/>
                <w:szCs w:val="24"/>
                <w:highlight w:val="none"/>
              </w:rPr>
              <w:t xml:space="preserve"> </w:t>
            </w:r>
            <w:r>
              <w:rPr>
                <w:rFonts w:hint="eastAsia"/>
                <w:b/>
                <w:sz w:val="24"/>
                <w:szCs w:val="24"/>
                <w:highlight w:val="none"/>
                <w:lang w:val="en-US" w:eastAsia="zh-CN"/>
              </w:rPr>
              <w:t>CN-</w:t>
            </w:r>
            <w:r>
              <w:rPr>
                <w:b/>
                <w:sz w:val="24"/>
                <w:szCs w:val="24"/>
                <w:highlight w:val="none"/>
              </w:rPr>
              <w:t>AQ-</w:t>
            </w:r>
            <w:r>
              <w:rPr>
                <w:rFonts w:hint="eastAsia"/>
                <w:b/>
                <w:sz w:val="24"/>
                <w:szCs w:val="24"/>
                <w:highlight w:val="none"/>
              </w:rPr>
              <w:t>0</w:t>
            </w:r>
            <w:r>
              <w:rPr>
                <w:rFonts w:hint="eastAsia"/>
                <w:b/>
                <w:sz w:val="24"/>
                <w:szCs w:val="24"/>
                <w:highlight w:val="none"/>
                <w:lang w:val="en-US" w:eastAsia="zh-CN"/>
              </w:rPr>
              <w:t>9</w:t>
            </w:r>
          </w:p>
        </w:tc>
      </w:tr>
      <w:tr w14:paraId="5BFC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gridSpan w:val="4"/>
            <w:noWrap w:val="0"/>
            <w:vAlign w:val="center"/>
          </w:tcPr>
          <w:p w14:paraId="7F276E88">
            <w:pPr>
              <w:jc w:val="left"/>
              <w:rPr>
                <w:b/>
                <w:sz w:val="24"/>
                <w:szCs w:val="24"/>
                <w:highlight w:val="none"/>
              </w:rPr>
            </w:pPr>
            <w:r>
              <w:rPr>
                <w:rFonts w:hint="eastAsia"/>
                <w:b/>
                <w:sz w:val="24"/>
                <w:szCs w:val="24"/>
                <w:highlight w:val="none"/>
              </w:rPr>
              <w:t>归口部门：安</w:t>
            </w:r>
            <w:r>
              <w:rPr>
                <w:rFonts w:hint="eastAsia"/>
                <w:b/>
                <w:sz w:val="24"/>
                <w:szCs w:val="24"/>
                <w:highlight w:val="none"/>
                <w:lang w:val="en-US" w:eastAsia="zh-CN"/>
              </w:rPr>
              <w:t>环生产</w:t>
            </w:r>
            <w:r>
              <w:rPr>
                <w:rFonts w:hint="eastAsia"/>
                <w:b/>
                <w:sz w:val="24"/>
                <w:szCs w:val="24"/>
                <w:highlight w:val="none"/>
              </w:rPr>
              <w:t>部</w:t>
            </w:r>
          </w:p>
        </w:tc>
      </w:tr>
      <w:tr w14:paraId="16D2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gridSpan w:val="4"/>
            <w:noWrap w:val="0"/>
            <w:vAlign w:val="center"/>
          </w:tcPr>
          <w:p w14:paraId="789A63FE">
            <w:pPr>
              <w:jc w:val="left"/>
              <w:rPr>
                <w:b/>
                <w:sz w:val="24"/>
                <w:szCs w:val="24"/>
                <w:highlight w:val="none"/>
              </w:rPr>
            </w:pPr>
            <w:r>
              <w:rPr>
                <w:rFonts w:hint="eastAsia"/>
                <w:b/>
                <w:sz w:val="24"/>
                <w:szCs w:val="24"/>
                <w:highlight w:val="none"/>
              </w:rPr>
              <w:t>文件级别：○</w:t>
            </w:r>
            <w:r>
              <w:rPr>
                <w:rFonts w:hint="eastAsia" w:ascii="宋体" w:hAnsi="宋体"/>
                <w:b/>
                <w:sz w:val="24"/>
                <w:szCs w:val="24"/>
                <w:highlight w:val="none"/>
              </w:rPr>
              <w:t>公司级   ●部门级/子分公司级</w:t>
            </w:r>
          </w:p>
        </w:tc>
      </w:tr>
      <w:tr w14:paraId="6AC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gridSpan w:val="4"/>
            <w:noWrap w:val="0"/>
            <w:vAlign w:val="center"/>
          </w:tcPr>
          <w:p w14:paraId="72E74146">
            <w:pPr>
              <w:jc w:val="left"/>
              <w:rPr>
                <w:b/>
                <w:sz w:val="24"/>
                <w:szCs w:val="24"/>
                <w:highlight w:val="none"/>
              </w:rPr>
            </w:pPr>
            <w:r>
              <w:rPr>
                <w:rFonts w:hint="eastAsia"/>
                <w:b/>
                <w:sz w:val="24"/>
                <w:szCs w:val="24"/>
                <w:highlight w:val="none"/>
              </w:rPr>
              <w:t>文件状态：</w:t>
            </w:r>
            <w:r>
              <w:rPr>
                <w:rFonts w:hint="eastAsia" w:ascii="宋体" w:hAnsi="宋体"/>
                <w:b/>
                <w:sz w:val="24"/>
                <w:szCs w:val="24"/>
                <w:highlight w:val="none"/>
              </w:rPr>
              <w:t>●正式   ○试行</w:t>
            </w:r>
          </w:p>
        </w:tc>
      </w:tr>
      <w:tr w14:paraId="39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gridSpan w:val="4"/>
            <w:noWrap w:val="0"/>
            <w:vAlign w:val="center"/>
          </w:tcPr>
          <w:p w14:paraId="2562C8C3">
            <w:pPr>
              <w:jc w:val="left"/>
              <w:rPr>
                <w:b/>
                <w:sz w:val="24"/>
                <w:szCs w:val="24"/>
                <w:highlight w:val="none"/>
              </w:rPr>
            </w:pPr>
            <w:r>
              <w:rPr>
                <w:rFonts w:hint="eastAsia"/>
                <w:b/>
                <w:sz w:val="24"/>
                <w:szCs w:val="24"/>
                <w:highlight w:val="none"/>
              </w:rPr>
              <w:t>适用范围：风帆储能科技有限公司</w:t>
            </w:r>
          </w:p>
        </w:tc>
      </w:tr>
      <w:tr w14:paraId="546F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072" w:type="dxa"/>
            <w:gridSpan w:val="4"/>
            <w:noWrap w:val="0"/>
            <w:vAlign w:val="center"/>
          </w:tcPr>
          <w:p w14:paraId="15826FD3">
            <w:pPr>
              <w:jc w:val="center"/>
              <w:rPr>
                <w:b/>
                <w:sz w:val="24"/>
                <w:szCs w:val="24"/>
                <w:highlight w:val="none"/>
              </w:rPr>
            </w:pPr>
            <w:r>
              <w:rPr>
                <w:rFonts w:hint="eastAsia"/>
                <w:b/>
                <w:sz w:val="24"/>
                <w:szCs w:val="24"/>
                <w:highlight w:val="none"/>
              </w:rPr>
              <w:t>修改记录</w:t>
            </w:r>
          </w:p>
        </w:tc>
      </w:tr>
      <w:tr w14:paraId="4F01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noWrap w:val="0"/>
            <w:vAlign w:val="center"/>
          </w:tcPr>
          <w:p w14:paraId="47D25DF3">
            <w:pPr>
              <w:jc w:val="center"/>
              <w:rPr>
                <w:b/>
                <w:sz w:val="24"/>
                <w:szCs w:val="24"/>
                <w:highlight w:val="none"/>
              </w:rPr>
            </w:pPr>
            <w:r>
              <w:rPr>
                <w:rFonts w:hint="eastAsia"/>
                <w:b/>
                <w:sz w:val="24"/>
                <w:szCs w:val="24"/>
                <w:highlight w:val="none"/>
              </w:rPr>
              <w:t>修改日期</w:t>
            </w:r>
          </w:p>
        </w:tc>
        <w:tc>
          <w:tcPr>
            <w:tcW w:w="1701" w:type="dxa"/>
            <w:noWrap w:val="0"/>
            <w:vAlign w:val="center"/>
          </w:tcPr>
          <w:p w14:paraId="17B997F5">
            <w:pPr>
              <w:jc w:val="center"/>
              <w:rPr>
                <w:b/>
                <w:sz w:val="24"/>
                <w:szCs w:val="24"/>
                <w:highlight w:val="none"/>
              </w:rPr>
            </w:pPr>
            <w:r>
              <w:rPr>
                <w:rFonts w:hint="eastAsia"/>
                <w:b/>
                <w:sz w:val="24"/>
                <w:szCs w:val="24"/>
                <w:highlight w:val="none"/>
              </w:rPr>
              <w:t>修改位置</w:t>
            </w:r>
          </w:p>
        </w:tc>
        <w:tc>
          <w:tcPr>
            <w:tcW w:w="5670" w:type="dxa"/>
            <w:gridSpan w:val="2"/>
            <w:noWrap w:val="0"/>
            <w:vAlign w:val="center"/>
          </w:tcPr>
          <w:p w14:paraId="014AD782">
            <w:pPr>
              <w:jc w:val="center"/>
              <w:rPr>
                <w:b/>
                <w:sz w:val="24"/>
                <w:szCs w:val="24"/>
                <w:highlight w:val="none"/>
              </w:rPr>
            </w:pPr>
            <w:r>
              <w:rPr>
                <w:rFonts w:hint="eastAsia"/>
                <w:b/>
                <w:sz w:val="24"/>
                <w:szCs w:val="24"/>
                <w:highlight w:val="none"/>
              </w:rPr>
              <w:t>修改内容</w:t>
            </w:r>
          </w:p>
        </w:tc>
      </w:tr>
      <w:tr w14:paraId="7E50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701" w:type="dxa"/>
            <w:noWrap w:val="0"/>
            <w:vAlign w:val="center"/>
          </w:tcPr>
          <w:p w14:paraId="6B8B9414">
            <w:pPr>
              <w:spacing w:line="276" w:lineRule="auto"/>
              <w:jc w:val="center"/>
              <w:rPr>
                <w:rFonts w:hint="default" w:ascii="宋体" w:hAnsi="宋体" w:eastAsia="宋体"/>
                <w:highlight w:val="none"/>
                <w:lang w:val="en-US" w:eastAsia="zh-CN"/>
              </w:rPr>
            </w:pPr>
            <w:r>
              <w:rPr>
                <w:rFonts w:hint="eastAsia" w:ascii="宋体" w:hAnsi="宋体"/>
                <w:highlight w:val="none"/>
                <w:lang w:val="en-US" w:eastAsia="zh-CN"/>
              </w:rPr>
              <w:t>2023.8.17</w:t>
            </w:r>
          </w:p>
        </w:tc>
        <w:tc>
          <w:tcPr>
            <w:tcW w:w="1701" w:type="dxa"/>
            <w:noWrap w:val="0"/>
            <w:vAlign w:val="center"/>
          </w:tcPr>
          <w:p w14:paraId="2B901F03">
            <w:pPr>
              <w:spacing w:line="276" w:lineRule="auto"/>
              <w:jc w:val="center"/>
              <w:rPr>
                <w:rFonts w:ascii="宋体" w:hAnsi="宋体" w:cs="宋体"/>
                <w:highlight w:val="none"/>
              </w:rPr>
            </w:pPr>
          </w:p>
        </w:tc>
        <w:tc>
          <w:tcPr>
            <w:tcW w:w="5670" w:type="dxa"/>
            <w:gridSpan w:val="2"/>
            <w:noWrap w:val="0"/>
            <w:vAlign w:val="center"/>
          </w:tcPr>
          <w:p w14:paraId="062DF1E6">
            <w:pPr>
              <w:spacing w:line="276" w:lineRule="auto"/>
              <w:ind w:firstLine="371" w:firstLineChars="177"/>
              <w:jc w:val="left"/>
              <w:rPr>
                <w:rFonts w:hint="default" w:ascii="宋体" w:hAnsi="宋体" w:eastAsia="宋体"/>
                <w:highlight w:val="none"/>
                <w:lang w:val="en-US" w:eastAsia="zh-CN"/>
              </w:rPr>
            </w:pPr>
            <w:r>
              <w:rPr>
                <w:rFonts w:hint="eastAsia" w:ascii="宋体" w:hAnsi="宋体"/>
                <w:highlight w:val="none"/>
                <w:lang w:val="en-US" w:eastAsia="zh-CN"/>
              </w:rPr>
              <w:t>新制定</w:t>
            </w:r>
          </w:p>
        </w:tc>
      </w:tr>
      <w:tr w14:paraId="1C3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701" w:type="dxa"/>
            <w:noWrap w:val="0"/>
            <w:vAlign w:val="center"/>
          </w:tcPr>
          <w:p w14:paraId="4A6E2644">
            <w:pPr>
              <w:spacing w:line="276" w:lineRule="auto"/>
              <w:jc w:val="center"/>
              <w:rPr>
                <w:rFonts w:hint="default" w:ascii="宋体" w:hAnsi="宋体" w:eastAsia="宋体"/>
                <w:highlight w:val="none"/>
                <w:lang w:val="en-US" w:eastAsia="zh-CN"/>
              </w:rPr>
            </w:pPr>
            <w:r>
              <w:rPr>
                <w:rFonts w:hint="eastAsia" w:ascii="宋体" w:hAnsi="宋体"/>
                <w:highlight w:val="none"/>
                <w:lang w:val="en-US" w:eastAsia="zh-CN"/>
              </w:rPr>
              <w:t>2024.8.6</w:t>
            </w:r>
          </w:p>
        </w:tc>
        <w:tc>
          <w:tcPr>
            <w:tcW w:w="1701" w:type="dxa"/>
            <w:noWrap w:val="0"/>
            <w:vAlign w:val="center"/>
          </w:tcPr>
          <w:p w14:paraId="4363DB38">
            <w:pPr>
              <w:spacing w:line="276"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4.2.1</w:t>
            </w:r>
          </w:p>
        </w:tc>
        <w:tc>
          <w:tcPr>
            <w:tcW w:w="5670" w:type="dxa"/>
            <w:gridSpan w:val="2"/>
            <w:noWrap w:val="0"/>
            <w:vAlign w:val="center"/>
          </w:tcPr>
          <w:p w14:paraId="28043B38">
            <w:pPr>
              <w:spacing w:line="276" w:lineRule="auto"/>
              <w:ind w:firstLine="371" w:firstLineChars="177"/>
              <w:jc w:val="left"/>
              <w:rPr>
                <w:rFonts w:hint="eastAsia" w:ascii="宋体" w:hAnsi="宋体" w:eastAsia="宋体"/>
                <w:highlight w:val="none"/>
                <w:lang w:val="en-US" w:eastAsia="zh-CN"/>
              </w:rPr>
            </w:pPr>
            <w:r>
              <w:rPr>
                <w:rFonts w:hint="eastAsia" w:ascii="宋体" w:hAnsi="宋体"/>
                <w:highlight w:val="none"/>
                <w:lang w:val="en-US" w:eastAsia="zh-CN"/>
              </w:rPr>
              <w:t>增加：及项目地我公司施工区域内作业活动。</w:t>
            </w:r>
          </w:p>
        </w:tc>
      </w:tr>
      <w:tr w14:paraId="197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701" w:type="dxa"/>
            <w:noWrap w:val="0"/>
            <w:vAlign w:val="center"/>
          </w:tcPr>
          <w:p w14:paraId="06F58F77">
            <w:pPr>
              <w:spacing w:line="276" w:lineRule="auto"/>
              <w:jc w:val="center"/>
              <w:rPr>
                <w:rFonts w:hint="default" w:ascii="宋体" w:hAnsi="宋体"/>
                <w:highlight w:val="none"/>
                <w:lang w:val="en-US" w:eastAsia="zh-CN"/>
              </w:rPr>
            </w:pPr>
            <w:r>
              <w:rPr>
                <w:rFonts w:hint="eastAsia" w:ascii="宋体" w:hAnsi="宋体"/>
                <w:highlight w:val="none"/>
                <w:lang w:val="en-US" w:eastAsia="zh-CN"/>
              </w:rPr>
              <w:t>2024.8.6</w:t>
            </w:r>
          </w:p>
        </w:tc>
        <w:tc>
          <w:tcPr>
            <w:tcW w:w="1701" w:type="dxa"/>
            <w:noWrap w:val="0"/>
            <w:vAlign w:val="center"/>
          </w:tcPr>
          <w:p w14:paraId="395F963B">
            <w:pPr>
              <w:spacing w:line="276" w:lineRule="auto"/>
              <w:jc w:val="center"/>
              <w:rPr>
                <w:rFonts w:hint="default" w:ascii="宋体" w:hAnsi="宋体"/>
                <w:highlight w:val="none"/>
                <w:lang w:val="en-US" w:eastAsia="zh-CN"/>
              </w:rPr>
            </w:pPr>
            <w:r>
              <w:rPr>
                <w:rFonts w:hint="eastAsia" w:ascii="宋体" w:hAnsi="宋体"/>
                <w:highlight w:val="none"/>
                <w:lang w:val="en-US" w:eastAsia="zh-CN"/>
              </w:rPr>
              <w:t>4.2.1.2</w:t>
            </w:r>
          </w:p>
        </w:tc>
        <w:tc>
          <w:tcPr>
            <w:tcW w:w="5670" w:type="dxa"/>
            <w:gridSpan w:val="2"/>
            <w:noWrap w:val="0"/>
            <w:vAlign w:val="center"/>
          </w:tcPr>
          <w:p w14:paraId="42BCA409">
            <w:pPr>
              <w:spacing w:line="276" w:lineRule="auto"/>
              <w:ind w:firstLine="420" w:firstLineChars="200"/>
              <w:jc w:val="left"/>
              <w:rPr>
                <w:rFonts w:hint="default" w:ascii="宋体" w:hAnsi="宋体" w:eastAsia="宋体"/>
                <w:highlight w:val="none"/>
                <w:lang w:val="en-US" w:eastAsia="zh-CN"/>
              </w:rPr>
            </w:pPr>
            <w:r>
              <w:rPr>
                <w:rFonts w:hint="eastAsia" w:ascii="宋体" w:hAnsi="宋体"/>
                <w:highlight w:val="none"/>
                <w:lang w:val="en-US" w:eastAsia="zh-CN"/>
              </w:rPr>
              <w:t>新增</w:t>
            </w:r>
          </w:p>
        </w:tc>
      </w:tr>
      <w:tr w14:paraId="33F9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exact"/>
        </w:trPr>
        <w:tc>
          <w:tcPr>
            <w:tcW w:w="1701" w:type="dxa"/>
            <w:noWrap w:val="0"/>
            <w:vAlign w:val="center"/>
          </w:tcPr>
          <w:p w14:paraId="1F00ABF1">
            <w:pPr>
              <w:spacing w:line="276" w:lineRule="auto"/>
              <w:jc w:val="center"/>
              <w:rPr>
                <w:rFonts w:ascii="宋体" w:hAnsi="宋体"/>
                <w:highlight w:val="none"/>
              </w:rPr>
            </w:pPr>
            <w:r>
              <w:rPr>
                <w:rFonts w:hint="eastAsia" w:ascii="宋体" w:hAnsi="宋体"/>
                <w:highlight w:val="none"/>
                <w:lang w:val="en-US" w:eastAsia="zh-CN"/>
              </w:rPr>
              <w:t>2024.8.6</w:t>
            </w:r>
          </w:p>
        </w:tc>
        <w:tc>
          <w:tcPr>
            <w:tcW w:w="1701" w:type="dxa"/>
            <w:noWrap w:val="0"/>
            <w:vAlign w:val="center"/>
          </w:tcPr>
          <w:p w14:paraId="6F1B1164">
            <w:pPr>
              <w:spacing w:line="276" w:lineRule="auto"/>
              <w:jc w:val="center"/>
              <w:rPr>
                <w:rFonts w:hint="default" w:ascii="宋体" w:hAnsi="宋体" w:eastAsia="宋体"/>
                <w:highlight w:val="none"/>
                <w:lang w:val="en-US" w:eastAsia="zh-CN"/>
              </w:rPr>
            </w:pPr>
            <w:r>
              <w:rPr>
                <w:rFonts w:hint="eastAsia" w:ascii="宋体" w:hAnsi="宋体"/>
                <w:highlight w:val="none"/>
                <w:lang w:val="en-US" w:eastAsia="zh-CN"/>
              </w:rPr>
              <w:t>4.2.3</w:t>
            </w:r>
          </w:p>
        </w:tc>
        <w:tc>
          <w:tcPr>
            <w:tcW w:w="5670" w:type="dxa"/>
            <w:gridSpan w:val="2"/>
            <w:noWrap w:val="0"/>
            <w:vAlign w:val="center"/>
          </w:tcPr>
          <w:p w14:paraId="31F28F35">
            <w:pPr>
              <w:spacing w:line="276" w:lineRule="auto"/>
              <w:ind w:firstLine="371" w:firstLineChars="177"/>
              <w:jc w:val="left"/>
              <w:rPr>
                <w:rFonts w:hint="eastAsia" w:ascii="宋体" w:hAnsi="宋体"/>
                <w:highlight w:val="none"/>
                <w:lang w:val="en-US" w:eastAsia="zh-CN"/>
              </w:rPr>
            </w:pPr>
            <w:r>
              <w:rPr>
                <w:rFonts w:hint="eastAsia" w:ascii="宋体" w:hAnsi="宋体"/>
                <w:highlight w:val="none"/>
                <w:lang w:val="en-US" w:eastAsia="zh-CN"/>
              </w:rPr>
              <w:t>修改前：风险点所在的车间总体管控，班组或岗位负责责任范围内的风险管控，一般风险由车间直接监管，班组或岗位负责管控，低风险由班组或岗位管控或因风险较小可直接忽略。</w:t>
            </w:r>
          </w:p>
          <w:p w14:paraId="0BAD3A21">
            <w:pPr>
              <w:spacing w:line="276" w:lineRule="auto"/>
              <w:ind w:firstLine="371" w:firstLineChars="177"/>
              <w:jc w:val="left"/>
              <w:rPr>
                <w:rFonts w:hint="eastAsia" w:ascii="宋体" w:hAnsi="宋体"/>
                <w:highlight w:val="none"/>
                <w:lang w:val="en-US" w:eastAsia="zh-CN"/>
              </w:rPr>
            </w:pPr>
            <w:r>
              <w:rPr>
                <w:rFonts w:hint="eastAsia" w:ascii="宋体" w:hAnsi="宋体"/>
                <w:highlight w:val="none"/>
                <w:lang w:val="en-US" w:eastAsia="zh-CN"/>
              </w:rPr>
              <w:t>修改后：风险点所在的部门或项目部总体管控，班组或岗位负责责任范围内的风险管控，一般风险由部门或项目部直接监管，班组或岗位负责管控，低风险由班组或岗位管控或因风险较小可直接忽略。</w:t>
            </w:r>
          </w:p>
          <w:p w14:paraId="5162BC23">
            <w:pPr>
              <w:spacing w:line="324" w:lineRule="auto"/>
              <w:rPr>
                <w:rFonts w:hint="default" w:ascii="宋体" w:hAnsi="宋体" w:eastAsia="宋体" w:cs="仿宋_GB2312"/>
                <w:highlight w:val="none"/>
                <w:lang w:val="en-US" w:eastAsia="zh-CN"/>
              </w:rPr>
            </w:pPr>
          </w:p>
          <w:p w14:paraId="5D523E11">
            <w:pPr>
              <w:spacing w:line="276" w:lineRule="auto"/>
              <w:jc w:val="center"/>
              <w:rPr>
                <w:rFonts w:ascii="宋体" w:hAnsi="宋体"/>
                <w:highlight w:val="none"/>
              </w:rPr>
            </w:pPr>
          </w:p>
        </w:tc>
      </w:tr>
      <w:tr w14:paraId="7C06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701" w:type="dxa"/>
            <w:noWrap w:val="0"/>
            <w:vAlign w:val="center"/>
          </w:tcPr>
          <w:p w14:paraId="2DF58887">
            <w:pPr>
              <w:jc w:val="center"/>
              <w:rPr>
                <w:b/>
                <w:sz w:val="24"/>
                <w:szCs w:val="24"/>
                <w:highlight w:val="none"/>
              </w:rPr>
            </w:pPr>
            <w:r>
              <w:rPr>
                <w:rFonts w:hint="eastAsia" w:ascii="宋体" w:hAnsi="宋体"/>
                <w:highlight w:val="none"/>
                <w:lang w:val="en-US" w:eastAsia="zh-CN"/>
              </w:rPr>
              <w:t>2024.8.6</w:t>
            </w:r>
          </w:p>
        </w:tc>
        <w:tc>
          <w:tcPr>
            <w:tcW w:w="1701" w:type="dxa"/>
            <w:noWrap w:val="0"/>
            <w:vAlign w:val="center"/>
          </w:tcPr>
          <w:p w14:paraId="5364EFDE">
            <w:pPr>
              <w:spacing w:line="276" w:lineRule="auto"/>
              <w:jc w:val="center"/>
              <w:rPr>
                <w:rFonts w:hint="default" w:ascii="宋体" w:hAnsi="宋体"/>
                <w:highlight w:val="none"/>
                <w:lang w:val="en-US" w:eastAsia="zh-CN"/>
              </w:rPr>
            </w:pPr>
            <w:r>
              <w:rPr>
                <w:rFonts w:hint="eastAsia" w:ascii="宋体" w:hAnsi="宋体"/>
                <w:highlight w:val="none"/>
                <w:lang w:val="en-US" w:eastAsia="zh-CN"/>
              </w:rPr>
              <w:t>4.3.2</w:t>
            </w:r>
          </w:p>
        </w:tc>
        <w:tc>
          <w:tcPr>
            <w:tcW w:w="5670" w:type="dxa"/>
            <w:gridSpan w:val="2"/>
            <w:noWrap w:val="0"/>
            <w:vAlign w:val="center"/>
          </w:tcPr>
          <w:p w14:paraId="5B8422F7">
            <w:pPr>
              <w:spacing w:line="276" w:lineRule="auto"/>
              <w:ind w:firstLine="371" w:firstLineChars="177"/>
              <w:jc w:val="left"/>
              <w:rPr>
                <w:rFonts w:hint="eastAsia" w:ascii="宋体" w:hAnsi="宋体"/>
                <w:highlight w:val="none"/>
                <w:lang w:val="en-US" w:eastAsia="zh-CN"/>
              </w:rPr>
            </w:pPr>
            <w:r>
              <w:rPr>
                <w:rFonts w:hint="eastAsia" w:ascii="宋体" w:hAnsi="宋体"/>
                <w:highlight w:val="none"/>
                <w:lang w:val="en-US" w:eastAsia="zh-CN"/>
              </w:rPr>
              <w:t>修改前：新产品、新工艺、新材料设计前，由总工程师组织相关业务部门</w:t>
            </w:r>
          </w:p>
          <w:p w14:paraId="7FBC6C90">
            <w:pPr>
              <w:spacing w:line="276" w:lineRule="auto"/>
              <w:ind w:firstLine="371" w:firstLineChars="177"/>
              <w:jc w:val="left"/>
              <w:rPr>
                <w:rFonts w:hint="default" w:ascii="宋体" w:hAnsi="宋体"/>
                <w:highlight w:val="none"/>
                <w:lang w:val="en-US" w:eastAsia="zh-CN"/>
              </w:rPr>
            </w:pPr>
            <w:r>
              <w:rPr>
                <w:rFonts w:hint="eastAsia" w:ascii="宋体" w:hAnsi="宋体"/>
                <w:highlight w:val="none"/>
                <w:lang w:val="en-US" w:eastAsia="zh-CN"/>
              </w:rPr>
              <w:t>修改后：新产品、新工艺、新材料设计前，由主管质量工作的公司领导组织相关业务部门</w:t>
            </w:r>
          </w:p>
        </w:tc>
      </w:tr>
      <w:tr w14:paraId="3809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noWrap w:val="0"/>
            <w:vAlign w:val="center"/>
          </w:tcPr>
          <w:p w14:paraId="1808F3FF">
            <w:pPr>
              <w:jc w:val="center"/>
              <w:rPr>
                <w:b/>
                <w:sz w:val="24"/>
                <w:szCs w:val="24"/>
                <w:highlight w:val="none"/>
              </w:rPr>
            </w:pPr>
            <w:r>
              <w:rPr>
                <w:rFonts w:hint="eastAsia" w:ascii="宋体" w:hAnsi="宋体"/>
                <w:highlight w:val="none"/>
                <w:lang w:val="en-US" w:eastAsia="zh-CN"/>
              </w:rPr>
              <w:t>2024.8.6</w:t>
            </w:r>
          </w:p>
        </w:tc>
        <w:tc>
          <w:tcPr>
            <w:tcW w:w="1701" w:type="dxa"/>
            <w:noWrap w:val="0"/>
            <w:vAlign w:val="center"/>
          </w:tcPr>
          <w:p w14:paraId="092D00B6">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Tahoma"/>
                <w:kern w:val="0"/>
                <w:highlight w:val="none"/>
                <w:lang w:val="en-US" w:eastAsia="zh-CN"/>
              </w:rPr>
              <w:t>4.5.2.2</w:t>
            </w:r>
          </w:p>
        </w:tc>
        <w:tc>
          <w:tcPr>
            <w:tcW w:w="5670" w:type="dxa"/>
            <w:gridSpan w:val="2"/>
            <w:noWrap w:val="0"/>
            <w:vAlign w:val="center"/>
          </w:tcPr>
          <w:p w14:paraId="12B3231A">
            <w:pPr>
              <w:spacing w:line="276" w:lineRule="auto"/>
              <w:ind w:firstLine="371" w:firstLineChars="177"/>
              <w:jc w:val="left"/>
              <w:rPr>
                <w:rFonts w:hint="eastAsia" w:ascii="宋体" w:hAnsi="宋体"/>
                <w:highlight w:val="none"/>
                <w:lang w:val="en-US" w:eastAsia="zh-CN"/>
              </w:rPr>
            </w:pPr>
            <w:r>
              <w:rPr>
                <w:rFonts w:hint="eastAsia" w:ascii="宋体" w:hAnsi="宋体"/>
                <w:highlight w:val="none"/>
                <w:lang w:val="en-US" w:eastAsia="zh-CN"/>
              </w:rPr>
              <w:t>新增</w:t>
            </w:r>
          </w:p>
        </w:tc>
      </w:tr>
      <w:tr w14:paraId="623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noWrap w:val="0"/>
            <w:vAlign w:val="center"/>
          </w:tcPr>
          <w:p w14:paraId="4589C4AD">
            <w:pPr>
              <w:jc w:val="center"/>
              <w:rPr>
                <w:b/>
                <w:sz w:val="24"/>
                <w:szCs w:val="24"/>
                <w:highlight w:val="none"/>
              </w:rPr>
            </w:pPr>
            <w:r>
              <w:rPr>
                <w:rFonts w:hint="eastAsia" w:ascii="宋体" w:hAnsi="宋体"/>
                <w:highlight w:val="none"/>
                <w:lang w:val="en-US" w:eastAsia="zh-CN"/>
              </w:rPr>
              <w:t>2024.8.6</w:t>
            </w:r>
          </w:p>
        </w:tc>
        <w:tc>
          <w:tcPr>
            <w:tcW w:w="1701" w:type="dxa"/>
            <w:noWrap w:val="0"/>
            <w:vAlign w:val="center"/>
          </w:tcPr>
          <w:p w14:paraId="3DC494C3">
            <w:pPr>
              <w:spacing w:line="276" w:lineRule="auto"/>
              <w:jc w:val="center"/>
              <w:rPr>
                <w:rFonts w:hint="eastAsia" w:ascii="宋体" w:hAnsi="宋体"/>
                <w:highlight w:val="none"/>
                <w:lang w:val="en-US" w:eastAsia="zh-CN"/>
              </w:rPr>
            </w:pPr>
            <w:r>
              <w:rPr>
                <w:rFonts w:hint="eastAsia" w:ascii="宋体" w:hAnsi="宋体"/>
                <w:highlight w:val="none"/>
              </w:rPr>
              <w:t>4.6.2.3</w:t>
            </w:r>
            <w:r>
              <w:rPr>
                <w:rFonts w:hint="eastAsia" w:ascii="宋体" w:hAnsi="宋体"/>
                <w:highlight w:val="none"/>
                <w:lang w:eastAsia="zh-CN"/>
              </w:rPr>
              <w:t>（</w:t>
            </w:r>
            <w:r>
              <w:rPr>
                <w:rFonts w:hint="eastAsia" w:ascii="宋体" w:hAnsi="宋体"/>
                <w:highlight w:val="none"/>
                <w:lang w:val="en-US" w:eastAsia="zh-CN"/>
              </w:rPr>
              <w:t>4）</w:t>
            </w:r>
          </w:p>
        </w:tc>
        <w:tc>
          <w:tcPr>
            <w:tcW w:w="5670" w:type="dxa"/>
            <w:gridSpan w:val="2"/>
            <w:noWrap w:val="0"/>
            <w:vAlign w:val="center"/>
          </w:tcPr>
          <w:p w14:paraId="638C14A9">
            <w:pPr>
              <w:spacing w:line="276" w:lineRule="auto"/>
              <w:ind w:firstLine="371" w:firstLineChars="177"/>
              <w:jc w:val="left"/>
              <w:rPr>
                <w:rFonts w:hint="eastAsia" w:ascii="宋体" w:hAnsi="宋体" w:cs="仿宋_GB2312"/>
                <w:sz w:val="15"/>
                <w:szCs w:val="15"/>
                <w:highlight w:val="none"/>
              </w:rPr>
            </w:pPr>
            <w:r>
              <w:rPr>
                <w:rFonts w:hint="eastAsia" w:ascii="宋体" w:hAnsi="宋体"/>
                <w:highlight w:val="none"/>
                <w:lang w:val="en-US" w:eastAsia="zh-CN"/>
              </w:rPr>
              <w:t>“公司办公室”修改为“党政工作办公室”</w:t>
            </w:r>
          </w:p>
        </w:tc>
      </w:tr>
      <w:tr w14:paraId="28AA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rPr>
        <w:tc>
          <w:tcPr>
            <w:tcW w:w="1701" w:type="dxa"/>
            <w:noWrap w:val="0"/>
            <w:vAlign w:val="center"/>
          </w:tcPr>
          <w:p w14:paraId="3D88228A">
            <w:pPr>
              <w:jc w:val="center"/>
              <w:rPr>
                <w:rFonts w:hint="default" w:eastAsia="宋体"/>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5B98C7B4">
            <w:pPr>
              <w:spacing w:line="276" w:lineRule="auto"/>
              <w:jc w:val="center"/>
              <w:rPr>
                <w:rFonts w:hint="default" w:ascii="宋体" w:hAnsi="宋体"/>
                <w:highlight w:val="none"/>
                <w:lang w:val="en-US" w:eastAsia="zh-CN"/>
              </w:rPr>
            </w:pPr>
            <w:r>
              <w:rPr>
                <w:rFonts w:hint="eastAsia" w:ascii="宋体" w:hAnsi="宋体"/>
                <w:highlight w:val="none"/>
                <w:lang w:val="en-US" w:eastAsia="zh-CN"/>
              </w:rPr>
              <w:t>4.1.1</w:t>
            </w:r>
          </w:p>
        </w:tc>
        <w:tc>
          <w:tcPr>
            <w:tcW w:w="5670" w:type="dxa"/>
            <w:gridSpan w:val="2"/>
            <w:noWrap w:val="0"/>
            <w:vAlign w:val="center"/>
          </w:tcPr>
          <w:p w14:paraId="7B1ECC6A">
            <w:pPr>
              <w:jc w:val="left"/>
              <w:rPr>
                <w:b/>
                <w:sz w:val="24"/>
                <w:szCs w:val="24"/>
                <w:highlight w:val="none"/>
              </w:rPr>
            </w:pPr>
            <w:r>
              <w:rPr>
                <w:rFonts w:hint="eastAsia" w:ascii="宋体" w:hAnsi="宋体"/>
                <w:bCs/>
                <w:color w:val="auto"/>
                <w:kern w:val="24"/>
                <w:highlight w:val="none"/>
              </w:rPr>
              <w:t>风险控制</w:t>
            </w:r>
            <w:r>
              <w:rPr>
                <w:rFonts w:hint="eastAsia" w:ascii="宋体" w:hAnsi="宋体"/>
                <w:bCs/>
                <w:color w:val="auto"/>
                <w:kern w:val="24"/>
                <w:highlight w:val="none"/>
                <w:lang w:val="en-US" w:eastAsia="zh-CN"/>
              </w:rPr>
              <w:t>改为：</w:t>
            </w:r>
            <w:r>
              <w:rPr>
                <w:rFonts w:hint="eastAsia" w:ascii="宋体" w:hAnsi="宋体"/>
                <w:bCs/>
                <w:color w:val="auto"/>
                <w:kern w:val="24"/>
                <w:highlight w:val="none"/>
              </w:rPr>
              <w:t>指采取各种措施和方法，消灭或减少风险事件发生的各种可能性，或者减少风险事件发生时造成的损失；风险总是存在的，减小风险事件发生的可能性把损失控制在一定范围内，避免在风险事件发生时带来难以承担的损失。</w:t>
            </w:r>
          </w:p>
        </w:tc>
      </w:tr>
      <w:tr w14:paraId="2338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01" w:type="dxa"/>
            <w:noWrap w:val="0"/>
            <w:vAlign w:val="center"/>
          </w:tcPr>
          <w:p w14:paraId="2F0AB11C">
            <w:pPr>
              <w:jc w:val="center"/>
              <w:rPr>
                <w:rFonts w:hint="eastAsia"/>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7438A62C">
            <w:pPr>
              <w:spacing w:line="276" w:lineRule="auto"/>
              <w:jc w:val="center"/>
              <w:rPr>
                <w:rFonts w:hint="default" w:ascii="宋体" w:hAnsi="宋体"/>
                <w:highlight w:val="none"/>
                <w:lang w:val="en-US" w:eastAsia="zh-CN"/>
              </w:rPr>
            </w:pPr>
            <w:r>
              <w:rPr>
                <w:rFonts w:hint="eastAsia" w:ascii="宋体" w:hAnsi="宋体"/>
                <w:highlight w:val="none"/>
                <w:lang w:val="en-US" w:eastAsia="zh-CN"/>
              </w:rPr>
              <w:t>4.2.2</w:t>
            </w:r>
          </w:p>
        </w:tc>
        <w:tc>
          <w:tcPr>
            <w:tcW w:w="5670" w:type="dxa"/>
            <w:gridSpan w:val="2"/>
            <w:noWrap w:val="0"/>
            <w:vAlign w:val="center"/>
          </w:tcPr>
          <w:p w14:paraId="4A515912">
            <w:pPr>
              <w:jc w:val="left"/>
              <w:rPr>
                <w:rFonts w:hint="eastAsia" w:ascii="宋体" w:hAnsi="宋体"/>
                <w:bCs/>
                <w:color w:val="auto"/>
                <w:kern w:val="24"/>
                <w:highlight w:val="none"/>
              </w:rPr>
            </w:pPr>
            <w:r>
              <w:rPr>
                <w:rFonts w:hint="eastAsia" w:ascii="宋体" w:hAnsi="宋体"/>
                <w:highlight w:val="none"/>
                <w:shd w:val="clear" w:color="auto" w:fill="FFFFFF"/>
                <w:lang w:val="en-US" w:eastAsia="zh-CN"/>
              </w:rPr>
              <w:t>改为：</w:t>
            </w:r>
            <w:r>
              <w:rPr>
                <w:rFonts w:hint="eastAsia" w:ascii="宋体" w:hAnsi="宋体"/>
                <w:highlight w:val="none"/>
                <w:shd w:val="clear" w:color="auto" w:fill="FFFFFF"/>
              </w:rPr>
              <w:t>风险评价---风险评价是对危险源导致的风险进行分析、分解、分级，对现有控制措施的充分性加以考虑以及对风险是否可以接受予以确定的过程</w:t>
            </w:r>
          </w:p>
        </w:tc>
      </w:tr>
      <w:tr w14:paraId="1E3E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1701" w:type="dxa"/>
            <w:noWrap w:val="0"/>
            <w:vAlign w:val="center"/>
          </w:tcPr>
          <w:p w14:paraId="3248F54D">
            <w:pPr>
              <w:jc w:val="center"/>
              <w:rPr>
                <w:rFonts w:hint="eastAsia"/>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5285B3BA">
            <w:pPr>
              <w:spacing w:line="276" w:lineRule="auto"/>
              <w:jc w:val="center"/>
              <w:rPr>
                <w:rFonts w:hint="default" w:ascii="宋体" w:hAnsi="宋体"/>
                <w:highlight w:val="none"/>
                <w:lang w:val="en-US" w:eastAsia="zh-CN"/>
              </w:rPr>
            </w:pPr>
            <w:r>
              <w:rPr>
                <w:rFonts w:hint="eastAsia" w:ascii="宋体" w:hAnsi="宋体"/>
                <w:highlight w:val="none"/>
                <w:lang w:val="en-US" w:eastAsia="zh-CN"/>
              </w:rPr>
              <w:t>4.3.2</w:t>
            </w:r>
          </w:p>
        </w:tc>
        <w:tc>
          <w:tcPr>
            <w:tcW w:w="5670" w:type="dxa"/>
            <w:gridSpan w:val="2"/>
            <w:noWrap w:val="0"/>
            <w:vAlign w:val="center"/>
          </w:tcPr>
          <w:p w14:paraId="5A3E68BC">
            <w:pPr>
              <w:jc w:val="left"/>
              <w:rPr>
                <w:rFonts w:hint="eastAsia" w:ascii="宋体" w:hAnsi="宋体" w:cs="Tahoma"/>
                <w:kern w:val="0"/>
                <w:highlight w:val="none"/>
              </w:rPr>
            </w:pPr>
            <w:r>
              <w:rPr>
                <w:rFonts w:hint="eastAsia" w:ascii="宋体" w:hAnsi="宋体" w:cs="Tahoma"/>
                <w:kern w:val="0"/>
                <w:highlight w:val="none"/>
                <w:lang w:val="en-US" w:eastAsia="zh-CN"/>
              </w:rPr>
              <w:t>改为：</w:t>
            </w:r>
            <w:r>
              <w:rPr>
                <w:rFonts w:hint="eastAsia" w:ascii="宋体" w:hAnsi="宋体" w:cs="Tahoma"/>
                <w:kern w:val="0"/>
                <w:highlight w:val="none"/>
              </w:rPr>
              <w:t>新产品、新工艺、新材料设计前的风险辨识评估。由各单位分管技术的负责人组织相部门，重点对新产品、新工艺、新材料的安全性及生产过程存在的安全风险进行一次专项辨识，辨识评估结果用于完善设计方案，指导生产工艺选择、生产系统布置、设备选型、劳动组织确定等。</w:t>
            </w:r>
          </w:p>
          <w:p w14:paraId="640788F0">
            <w:pPr>
              <w:jc w:val="left"/>
              <w:rPr>
                <w:rFonts w:hint="default" w:ascii="宋体" w:hAnsi="宋体" w:eastAsia="宋体"/>
                <w:bCs/>
                <w:color w:val="auto"/>
                <w:kern w:val="24"/>
                <w:highlight w:val="none"/>
                <w:lang w:val="en-US" w:eastAsia="zh-CN"/>
              </w:rPr>
            </w:pPr>
          </w:p>
        </w:tc>
      </w:tr>
      <w:tr w14:paraId="36F0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1701" w:type="dxa"/>
            <w:noWrap w:val="0"/>
            <w:vAlign w:val="center"/>
          </w:tcPr>
          <w:p w14:paraId="700AC968">
            <w:pPr>
              <w:jc w:val="center"/>
              <w:rPr>
                <w:rFonts w:hint="eastAsia"/>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7FFE2452">
            <w:pPr>
              <w:spacing w:line="276" w:lineRule="auto"/>
              <w:jc w:val="center"/>
              <w:rPr>
                <w:rFonts w:hint="default" w:ascii="宋体" w:hAnsi="宋体"/>
                <w:highlight w:val="none"/>
                <w:lang w:val="en-US" w:eastAsia="zh-CN"/>
              </w:rPr>
            </w:pPr>
            <w:r>
              <w:rPr>
                <w:rFonts w:hint="eastAsia" w:ascii="宋体" w:hAnsi="宋体"/>
                <w:highlight w:val="none"/>
                <w:lang w:val="en-US" w:eastAsia="zh-CN"/>
              </w:rPr>
              <w:t>4.3.3</w:t>
            </w:r>
          </w:p>
        </w:tc>
        <w:tc>
          <w:tcPr>
            <w:tcW w:w="5670" w:type="dxa"/>
            <w:gridSpan w:val="2"/>
            <w:noWrap w:val="0"/>
            <w:vAlign w:val="center"/>
          </w:tcPr>
          <w:p w14:paraId="1CF140F3">
            <w:pPr>
              <w:jc w:val="left"/>
              <w:rPr>
                <w:rFonts w:hint="eastAsia" w:ascii="宋体" w:hAnsi="宋体" w:cs="Tahoma"/>
                <w:kern w:val="0"/>
                <w:highlight w:val="none"/>
              </w:rPr>
            </w:pPr>
            <w:r>
              <w:rPr>
                <w:rFonts w:hint="eastAsia" w:ascii="宋体" w:hAnsi="宋体" w:cs="Tahoma"/>
                <w:kern w:val="0"/>
                <w:highlight w:val="none"/>
                <w:lang w:val="en-US" w:eastAsia="zh-CN"/>
              </w:rPr>
              <w:t>改为：</w:t>
            </w:r>
            <w:r>
              <w:rPr>
                <w:rFonts w:hint="eastAsia" w:ascii="宋体" w:hAnsi="宋体" w:cs="Tahoma"/>
                <w:kern w:val="0"/>
                <w:highlight w:val="none"/>
              </w:rPr>
              <w:t>生产系统、生产工艺、主要设施设备、潜在安全风险等发生重大变化时的风险辨识评估。由各单位分管设备的负责人和分管技术的负责人组织相关部门，重点对作业环境、生产过程、潜在安全风险因素和设施设备运行等方面存在的安全风险进行一次专项评估，辨识评估结果用于指导重新编制或修订完善作业规程、操作规程。</w:t>
            </w:r>
          </w:p>
          <w:p w14:paraId="74EDB844">
            <w:pPr>
              <w:jc w:val="left"/>
              <w:rPr>
                <w:rFonts w:hint="eastAsia" w:ascii="宋体" w:hAnsi="宋体"/>
                <w:bCs/>
                <w:color w:val="auto"/>
                <w:kern w:val="24"/>
                <w:highlight w:val="none"/>
              </w:rPr>
            </w:pPr>
          </w:p>
        </w:tc>
      </w:tr>
      <w:tr w14:paraId="0786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1701" w:type="dxa"/>
            <w:noWrap w:val="0"/>
            <w:vAlign w:val="center"/>
          </w:tcPr>
          <w:p w14:paraId="02A8D74D">
            <w:pPr>
              <w:jc w:val="center"/>
              <w:rPr>
                <w:rFonts w:hint="eastAsia"/>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72929048">
            <w:pPr>
              <w:spacing w:line="276" w:lineRule="auto"/>
              <w:jc w:val="center"/>
              <w:rPr>
                <w:rFonts w:hint="default" w:ascii="宋体" w:hAnsi="宋体"/>
                <w:highlight w:val="none"/>
                <w:lang w:val="en-US" w:eastAsia="zh-CN"/>
              </w:rPr>
            </w:pPr>
            <w:r>
              <w:rPr>
                <w:rFonts w:hint="eastAsia" w:ascii="宋体" w:hAnsi="宋体"/>
                <w:highlight w:val="none"/>
                <w:lang w:val="en-US" w:eastAsia="zh-CN"/>
              </w:rPr>
              <w:t>4.8.4</w:t>
            </w:r>
          </w:p>
        </w:tc>
        <w:tc>
          <w:tcPr>
            <w:tcW w:w="5670" w:type="dxa"/>
            <w:gridSpan w:val="2"/>
            <w:noWrap w:val="0"/>
            <w:vAlign w:val="center"/>
          </w:tcPr>
          <w:p w14:paraId="5D26B7D6">
            <w:pPr>
              <w:jc w:val="left"/>
              <w:rPr>
                <w:rFonts w:hint="default" w:ascii="宋体" w:hAnsi="宋体" w:eastAsia="宋体"/>
                <w:bCs/>
                <w:color w:val="auto"/>
                <w:kern w:val="24"/>
                <w:highlight w:val="none"/>
                <w:lang w:val="en-US" w:eastAsia="zh-CN"/>
              </w:rPr>
            </w:pPr>
            <w:r>
              <w:rPr>
                <w:rFonts w:hint="eastAsia" w:ascii="宋体" w:hAnsi="宋体"/>
                <w:bCs/>
                <w:color w:val="auto"/>
                <w:kern w:val="24"/>
                <w:highlight w:val="none"/>
                <w:lang w:val="en-US" w:eastAsia="zh-CN"/>
              </w:rPr>
              <w:t>改为：</w:t>
            </w:r>
            <w:r>
              <w:rPr>
                <w:rFonts w:hint="eastAsia" w:ascii="宋体" w:hAnsi="宋体" w:cs="Tahoma"/>
                <w:kern w:val="0"/>
                <w:highlight w:val="none"/>
              </w:rPr>
              <w:t>安全生产管理</w:t>
            </w:r>
            <w:r>
              <w:rPr>
                <w:rFonts w:hint="eastAsia" w:ascii="宋体" w:hAnsi="宋体" w:cs="Tahoma"/>
                <w:kern w:val="0"/>
                <w:highlight w:val="none"/>
                <w:lang w:val="en-US" w:eastAsia="zh-CN"/>
              </w:rPr>
              <w:t>部门</w:t>
            </w:r>
            <w:r>
              <w:rPr>
                <w:rFonts w:hint="eastAsia" w:ascii="宋体" w:hAnsi="宋体" w:cs="Tahoma"/>
                <w:kern w:val="0"/>
                <w:highlight w:val="none"/>
              </w:rPr>
              <w:t>对上报的各类事故隐患，按《安全生产责任制》职责分工，协调和督促有关单位或部门及时采取有效措施，并限期消除。</w:t>
            </w:r>
          </w:p>
        </w:tc>
      </w:tr>
      <w:tr w14:paraId="4A6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1701" w:type="dxa"/>
            <w:noWrap w:val="0"/>
            <w:vAlign w:val="center"/>
          </w:tcPr>
          <w:p w14:paraId="68750450">
            <w:pPr>
              <w:jc w:val="center"/>
              <w:rPr>
                <w:rFonts w:hint="eastAsia"/>
                <w:b/>
                <w:sz w:val="24"/>
                <w:szCs w:val="24"/>
                <w:highlight w:val="none"/>
                <w:lang w:val="en-US" w:eastAsia="zh-CN"/>
              </w:rPr>
            </w:pPr>
            <w:r>
              <w:rPr>
                <w:rFonts w:hint="eastAsia" w:ascii="宋体" w:hAnsi="宋体"/>
                <w:highlight w:val="none"/>
                <w:lang w:val="en-US" w:eastAsia="zh-CN"/>
              </w:rPr>
              <w:t>2025.1.2</w:t>
            </w:r>
          </w:p>
        </w:tc>
        <w:tc>
          <w:tcPr>
            <w:tcW w:w="1701" w:type="dxa"/>
            <w:noWrap w:val="0"/>
            <w:vAlign w:val="center"/>
          </w:tcPr>
          <w:p w14:paraId="5F54CC6E">
            <w:pPr>
              <w:spacing w:line="276" w:lineRule="auto"/>
              <w:jc w:val="center"/>
              <w:rPr>
                <w:rFonts w:hint="default" w:ascii="宋体" w:hAnsi="宋体"/>
                <w:highlight w:val="none"/>
                <w:lang w:val="en-US" w:eastAsia="zh-CN"/>
              </w:rPr>
            </w:pPr>
            <w:r>
              <w:rPr>
                <w:rFonts w:hint="eastAsia" w:ascii="宋体" w:hAnsi="宋体"/>
                <w:highlight w:val="none"/>
                <w:lang w:val="en-US" w:eastAsia="zh-CN"/>
              </w:rPr>
              <w:t>4.9.2</w:t>
            </w:r>
          </w:p>
        </w:tc>
        <w:tc>
          <w:tcPr>
            <w:tcW w:w="5670" w:type="dxa"/>
            <w:gridSpan w:val="2"/>
            <w:noWrap w:val="0"/>
            <w:vAlign w:val="center"/>
          </w:tcPr>
          <w:p w14:paraId="1F2064EE">
            <w:pPr>
              <w:jc w:val="left"/>
              <w:rPr>
                <w:rFonts w:hint="default" w:ascii="宋体" w:hAnsi="宋体" w:eastAsia="宋体"/>
                <w:bCs/>
                <w:color w:val="auto"/>
                <w:kern w:val="24"/>
                <w:highlight w:val="none"/>
                <w:lang w:val="en-US" w:eastAsia="zh-CN"/>
              </w:rPr>
            </w:pPr>
            <w:r>
              <w:rPr>
                <w:rFonts w:hint="eastAsia" w:ascii="宋体" w:hAnsi="宋体"/>
                <w:bCs/>
                <w:color w:val="auto"/>
                <w:kern w:val="24"/>
                <w:highlight w:val="none"/>
                <w:lang w:val="en-US" w:eastAsia="zh-CN"/>
              </w:rPr>
              <w:t>改为：</w:t>
            </w:r>
            <w:r>
              <w:rPr>
                <w:rFonts w:hint="eastAsia" w:ascii="宋体" w:hAnsi="宋体" w:cs="Tahoma"/>
                <w:kern w:val="0"/>
                <w:highlight w:val="none"/>
              </w:rPr>
              <w:t>各单位发现重大事故隐患的，负责将辨识判定的重大事故隐患情况以书面形式立即报告公司安全生产管理</w:t>
            </w:r>
            <w:r>
              <w:rPr>
                <w:rFonts w:hint="eastAsia" w:ascii="宋体" w:hAnsi="宋体" w:cs="Tahoma"/>
                <w:kern w:val="0"/>
                <w:highlight w:val="none"/>
                <w:lang w:val="en-US" w:eastAsia="zh-CN"/>
              </w:rPr>
              <w:t>部门</w:t>
            </w:r>
            <w:r>
              <w:rPr>
                <w:rFonts w:hint="eastAsia" w:ascii="宋体" w:hAnsi="宋体" w:cs="Tahoma"/>
                <w:kern w:val="0"/>
                <w:highlight w:val="none"/>
              </w:rPr>
              <w:t>、所在地负有安全生产监督管理职责的部门及本单位的职工大会或者职工代表大会。</w:t>
            </w:r>
          </w:p>
        </w:tc>
      </w:tr>
      <w:tr w14:paraId="5427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noWrap w:val="0"/>
            <w:vAlign w:val="center"/>
          </w:tcPr>
          <w:p w14:paraId="22F24948">
            <w:pPr>
              <w:jc w:val="center"/>
              <w:rPr>
                <w:rFonts w:hint="eastAsia"/>
                <w:b/>
                <w:sz w:val="24"/>
                <w:szCs w:val="24"/>
                <w:highlight w:val="none"/>
                <w:lang w:val="en-US" w:eastAsia="zh-CN"/>
              </w:rPr>
            </w:pPr>
          </w:p>
        </w:tc>
        <w:tc>
          <w:tcPr>
            <w:tcW w:w="1701" w:type="dxa"/>
            <w:noWrap w:val="0"/>
            <w:vAlign w:val="center"/>
          </w:tcPr>
          <w:p w14:paraId="32ADBC1B">
            <w:pPr>
              <w:spacing w:line="276" w:lineRule="auto"/>
              <w:jc w:val="center"/>
              <w:rPr>
                <w:rFonts w:hint="eastAsia" w:ascii="宋体" w:hAnsi="宋体"/>
                <w:highlight w:val="none"/>
                <w:lang w:val="en-US" w:eastAsia="zh-CN"/>
              </w:rPr>
            </w:pPr>
          </w:p>
        </w:tc>
        <w:tc>
          <w:tcPr>
            <w:tcW w:w="5670" w:type="dxa"/>
            <w:gridSpan w:val="2"/>
            <w:noWrap w:val="0"/>
            <w:vAlign w:val="center"/>
          </w:tcPr>
          <w:p w14:paraId="51509B90">
            <w:pPr>
              <w:jc w:val="left"/>
              <w:rPr>
                <w:rFonts w:hint="eastAsia" w:ascii="宋体" w:hAnsi="宋体"/>
                <w:bCs/>
                <w:color w:val="auto"/>
                <w:kern w:val="24"/>
                <w:highlight w:val="none"/>
              </w:rPr>
            </w:pPr>
          </w:p>
        </w:tc>
      </w:tr>
      <w:tr w14:paraId="6EDA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noWrap w:val="0"/>
            <w:vAlign w:val="center"/>
          </w:tcPr>
          <w:p w14:paraId="2B8E343F">
            <w:pPr>
              <w:jc w:val="center"/>
              <w:rPr>
                <w:rFonts w:hint="eastAsia"/>
                <w:b/>
                <w:sz w:val="24"/>
                <w:szCs w:val="24"/>
                <w:highlight w:val="none"/>
                <w:lang w:val="en-US" w:eastAsia="zh-CN"/>
              </w:rPr>
            </w:pPr>
          </w:p>
        </w:tc>
        <w:tc>
          <w:tcPr>
            <w:tcW w:w="1701" w:type="dxa"/>
            <w:noWrap w:val="0"/>
            <w:vAlign w:val="center"/>
          </w:tcPr>
          <w:p w14:paraId="1D7509FF">
            <w:pPr>
              <w:spacing w:line="276" w:lineRule="auto"/>
              <w:jc w:val="center"/>
              <w:rPr>
                <w:rFonts w:hint="eastAsia" w:ascii="宋体" w:hAnsi="宋体"/>
                <w:highlight w:val="none"/>
                <w:lang w:val="en-US" w:eastAsia="zh-CN"/>
              </w:rPr>
            </w:pPr>
          </w:p>
        </w:tc>
        <w:tc>
          <w:tcPr>
            <w:tcW w:w="5670" w:type="dxa"/>
            <w:gridSpan w:val="2"/>
            <w:noWrap w:val="0"/>
            <w:vAlign w:val="center"/>
          </w:tcPr>
          <w:p w14:paraId="79D7EF3C">
            <w:pPr>
              <w:jc w:val="center"/>
              <w:rPr>
                <w:rFonts w:hint="eastAsia" w:ascii="宋体" w:hAnsi="宋体"/>
                <w:bCs/>
                <w:color w:val="auto"/>
                <w:kern w:val="24"/>
                <w:highlight w:val="none"/>
              </w:rPr>
            </w:pPr>
          </w:p>
        </w:tc>
      </w:tr>
    </w:tbl>
    <w:p w14:paraId="203719FB">
      <w:pPr>
        <w:spacing w:line="360" w:lineRule="exact"/>
        <w:ind w:left="-181" w:right="-328" w:firstLine="2"/>
        <w:jc w:val="center"/>
        <w:rPr>
          <w:rFonts w:hint="eastAsia" w:ascii="黑体" w:eastAsia="黑体"/>
          <w:b/>
          <w:bCs/>
          <w:sz w:val="24"/>
          <w:szCs w:val="24"/>
          <w:highlight w:val="none"/>
        </w:rPr>
      </w:pPr>
    </w:p>
    <w:p w14:paraId="50F9B3B0">
      <w:pPr>
        <w:pStyle w:val="20"/>
        <w:spacing w:before="120" w:beforeLines="50" w:after="120" w:afterLines="50" w:line="400" w:lineRule="atLeast"/>
        <w:ind w:firstLine="426" w:firstLineChars="177"/>
        <w:rPr>
          <w:rFonts w:hint="eastAsia" w:ascii="黑体" w:hAnsi="黑体" w:eastAsia="黑体"/>
          <w:sz w:val="24"/>
          <w:szCs w:val="30"/>
          <w:highlight w:val="none"/>
        </w:rPr>
        <w:sectPr>
          <w:headerReference r:id="rId4" w:type="first"/>
          <w:footerReference r:id="rId6" w:type="first"/>
          <w:headerReference r:id="rId3" w:type="default"/>
          <w:footerReference r:id="rId5" w:type="default"/>
          <w:pgSz w:w="11906" w:h="16838"/>
          <w:pgMar w:top="1440" w:right="1418" w:bottom="1440" w:left="1418" w:header="851" w:footer="992" w:gutter="0"/>
          <w:cols w:space="720" w:num="1"/>
          <w:titlePg/>
          <w:docGrid w:linePitch="312" w:charSpace="0"/>
        </w:sectPr>
      </w:pPr>
      <w:bookmarkStart w:id="0" w:name="_Toc467237374"/>
    </w:p>
    <w:p w14:paraId="653A9DD6">
      <w:pPr>
        <w:pStyle w:val="20"/>
        <w:spacing w:before="120" w:beforeLines="50" w:after="120" w:afterLines="50" w:line="400" w:lineRule="atLeast"/>
        <w:ind w:firstLine="426" w:firstLineChars="177"/>
        <w:rPr>
          <w:rFonts w:hint="eastAsia" w:ascii="黑体" w:hAnsi="黑体" w:eastAsia="黑体"/>
          <w:sz w:val="24"/>
          <w:szCs w:val="30"/>
          <w:highlight w:val="none"/>
          <w:lang w:eastAsia="zh-CN"/>
        </w:rPr>
      </w:pPr>
      <w:r>
        <w:rPr>
          <w:rFonts w:hint="eastAsia" w:ascii="黑体" w:hAnsi="黑体" w:eastAsia="黑体"/>
          <w:sz w:val="24"/>
          <w:szCs w:val="30"/>
          <w:highlight w:val="none"/>
        </w:rPr>
        <w:t>风险分级管控与事故隐患排查治理及安全检查</w:t>
      </w:r>
      <w:bookmarkEnd w:id="0"/>
      <w:r>
        <w:rPr>
          <w:rFonts w:hint="eastAsia" w:ascii="黑体" w:hAnsi="黑体" w:eastAsia="黑体"/>
          <w:sz w:val="24"/>
          <w:szCs w:val="30"/>
          <w:highlight w:val="none"/>
          <w:lang w:val="en-US" w:eastAsia="zh-CN"/>
        </w:rPr>
        <w:t>办法</w:t>
      </w:r>
    </w:p>
    <w:p w14:paraId="23001728">
      <w:pPr>
        <w:adjustRightInd w:val="0"/>
        <w:snapToGrid w:val="0"/>
        <w:spacing w:line="440" w:lineRule="exact"/>
        <w:ind w:firstLine="422" w:firstLineChars="200"/>
        <w:rPr>
          <w:rFonts w:hint="eastAsia" w:ascii="宋体" w:hAnsi="宋体" w:cs="宋体"/>
          <w:b/>
          <w:kern w:val="0"/>
          <w:highlight w:val="none"/>
        </w:rPr>
      </w:pPr>
      <w:r>
        <w:rPr>
          <w:rFonts w:hint="eastAsia" w:ascii="宋体" w:hAnsi="宋体" w:cs="宋体"/>
          <w:b/>
          <w:kern w:val="0"/>
          <w:highlight w:val="none"/>
        </w:rPr>
        <w:t>1目的</w:t>
      </w:r>
    </w:p>
    <w:p w14:paraId="4D33F5AD">
      <w:pPr>
        <w:adjustRightInd w:val="0"/>
        <w:snapToGrid w:val="0"/>
        <w:spacing w:line="440" w:lineRule="exact"/>
        <w:ind w:firstLine="420" w:firstLineChars="200"/>
        <w:rPr>
          <w:rFonts w:hint="eastAsia" w:ascii="宋体" w:hAnsi="宋体" w:cs="Tahoma"/>
          <w:kern w:val="0"/>
          <w:highlight w:val="none"/>
        </w:rPr>
      </w:pPr>
      <w:r>
        <w:rPr>
          <w:rFonts w:ascii="宋体" w:hAnsi="宋体" w:cs="Tahoma"/>
          <w:kern w:val="0"/>
          <w:highlight w:val="none"/>
        </w:rPr>
        <w:t>1.1</w:t>
      </w:r>
      <w:r>
        <w:rPr>
          <w:rFonts w:hint="eastAsia" w:ascii="宋体" w:hAnsi="宋体" w:cs="Tahoma"/>
          <w:kern w:val="0"/>
          <w:highlight w:val="none"/>
        </w:rPr>
        <w:t>目的：为进一步</w:t>
      </w:r>
      <w:r>
        <w:rPr>
          <w:rFonts w:hint="eastAsia" w:ascii="宋体" w:hAnsi="宋体" w:cs="Tahoma"/>
          <w:kern w:val="0"/>
          <w:highlight w:val="none"/>
          <w:lang w:eastAsia="zh-CN"/>
        </w:rPr>
        <w:t>促进</w:t>
      </w:r>
      <w:r>
        <w:rPr>
          <w:rFonts w:hint="eastAsia" w:ascii="宋体" w:hAnsi="宋体" w:cs="Tahoma"/>
          <w:kern w:val="0"/>
          <w:highlight w:val="none"/>
        </w:rPr>
        <w:t>风帆储能科技有限公司（以下简称“公司”）</w:t>
      </w:r>
      <w:r>
        <w:rPr>
          <w:rFonts w:hint="eastAsia" w:ascii="Verdana" w:hAnsi="Verdana"/>
          <w:highlight w:val="none"/>
          <w:shd w:val="clear" w:color="auto" w:fill="FFFFFF"/>
        </w:rPr>
        <w:t>风险分级管控和隐患排查治理双重预防体系（以下简称“风险管控体系”）正常运行，提高风险管控体系的针对性、实用性及可操作性，把风险预控放在隐患治理前面，把隐患治理放在事故前面，做好</w:t>
      </w:r>
      <w:r>
        <w:rPr>
          <w:rFonts w:hint="eastAsia" w:ascii="宋体" w:hAnsi="宋体" w:cs="Tahoma"/>
          <w:kern w:val="0"/>
          <w:highlight w:val="none"/>
        </w:rPr>
        <w:t>安全生产检查工作，强化对各类生产事故隐患（以下简称“事故隐患”）的排查和整改，</w:t>
      </w:r>
      <w:r>
        <w:rPr>
          <w:rFonts w:hint="eastAsia" w:ascii="Verdana" w:hAnsi="Verdana"/>
          <w:highlight w:val="none"/>
          <w:shd w:val="clear" w:color="auto" w:fill="FFFFFF"/>
        </w:rPr>
        <w:t>确保</w:t>
      </w:r>
      <w:r>
        <w:rPr>
          <w:rFonts w:hint="eastAsia" w:ascii="宋体" w:hAnsi="宋体" w:cs="Tahoma"/>
          <w:kern w:val="0"/>
          <w:highlight w:val="none"/>
        </w:rPr>
        <w:t xml:space="preserve">对事故隐患实行分部门管理和分级负责制度；有效控制和彻底消除事故隐患及杜绝安全生产事故。 </w:t>
      </w:r>
    </w:p>
    <w:p w14:paraId="7F866752">
      <w:pPr>
        <w:adjustRightInd w:val="0"/>
        <w:snapToGrid w:val="0"/>
        <w:spacing w:line="440" w:lineRule="exact"/>
        <w:ind w:firstLine="422" w:firstLineChars="200"/>
        <w:rPr>
          <w:rFonts w:hint="eastAsia" w:ascii="宋体" w:hAnsi="宋体" w:cs="Tahoma"/>
          <w:b/>
          <w:kern w:val="0"/>
          <w:highlight w:val="none"/>
        </w:rPr>
      </w:pPr>
      <w:r>
        <w:rPr>
          <w:rFonts w:hint="eastAsia" w:ascii="宋体" w:hAnsi="宋体" w:cs="Tahoma"/>
          <w:b/>
          <w:kern w:val="0"/>
          <w:highlight w:val="none"/>
        </w:rPr>
        <w:t>2适用范围</w:t>
      </w:r>
    </w:p>
    <w:p w14:paraId="3235231B">
      <w:pPr>
        <w:adjustRightInd w:val="0"/>
        <w:snapToGrid w:val="0"/>
        <w:spacing w:line="440" w:lineRule="exact"/>
        <w:ind w:firstLine="420" w:firstLineChars="200"/>
        <w:rPr>
          <w:rFonts w:hint="eastAsia" w:ascii="宋体" w:hAnsi="宋体" w:cs="Tahoma"/>
          <w:kern w:val="0"/>
          <w:highlight w:val="none"/>
        </w:rPr>
      </w:pPr>
      <w:r>
        <w:rPr>
          <w:rFonts w:hint="eastAsia" w:ascii="宋体" w:hAnsi="宋体" w:cs="Tahoma"/>
          <w:kern w:val="0"/>
          <w:highlight w:val="none"/>
        </w:rPr>
        <w:t>本制度适用于公司</w:t>
      </w:r>
      <w:r>
        <w:rPr>
          <w:rFonts w:hint="eastAsia" w:ascii="宋体" w:hAnsi="宋体" w:cs="Tahoma"/>
          <w:kern w:val="0"/>
          <w:highlight w:val="none"/>
          <w:lang w:val="en-US" w:eastAsia="zh-CN"/>
        </w:rPr>
        <w:t>各部门、分子公司、建设项目、科研项目以及产品交付项目等各类型项目部（组）等</w:t>
      </w:r>
      <w:r>
        <w:rPr>
          <w:rFonts w:hint="eastAsia" w:ascii="宋体" w:hAnsi="宋体" w:cs="Tahoma"/>
          <w:kern w:val="0"/>
          <w:highlight w:val="none"/>
        </w:rPr>
        <w:t>各单位的生产、科研、服务等作业活动和过程。</w:t>
      </w:r>
    </w:p>
    <w:p w14:paraId="50587811">
      <w:pPr>
        <w:adjustRightInd w:val="0"/>
        <w:snapToGrid w:val="0"/>
        <w:spacing w:line="440" w:lineRule="exact"/>
        <w:ind w:firstLine="422" w:firstLineChars="200"/>
        <w:rPr>
          <w:rFonts w:hint="eastAsia" w:ascii="宋体" w:hAnsi="宋体" w:cs="宋体"/>
          <w:b/>
          <w:kern w:val="0"/>
          <w:highlight w:val="none"/>
        </w:rPr>
      </w:pPr>
      <w:r>
        <w:rPr>
          <w:rFonts w:hint="eastAsia" w:ascii="宋体" w:hAnsi="宋体" w:cs="宋体"/>
          <w:b/>
          <w:kern w:val="0"/>
          <w:highlight w:val="none"/>
        </w:rPr>
        <w:t>3职责</w:t>
      </w:r>
    </w:p>
    <w:p w14:paraId="5BE2ECC3">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3.1公司主要负责人组织制定风险分级管控与事故隐患排查治理及安全检查制度并督促实施。</w:t>
      </w:r>
    </w:p>
    <w:p w14:paraId="62EDA966">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3.2安全生产管理部</w:t>
      </w:r>
      <w:r>
        <w:rPr>
          <w:rFonts w:hint="eastAsia" w:ascii="宋体" w:hAnsi="宋体"/>
          <w:color w:val="000000"/>
          <w:highlight w:val="none"/>
          <w:shd w:val="clear" w:color="auto" w:fill="FFFFFF"/>
          <w:lang w:val="en-US" w:eastAsia="zh-CN"/>
        </w:rPr>
        <w:t>门</w:t>
      </w:r>
      <w:r>
        <w:rPr>
          <w:rFonts w:hint="eastAsia" w:ascii="宋体" w:hAnsi="宋体"/>
          <w:color w:val="000000"/>
          <w:highlight w:val="none"/>
          <w:shd w:val="clear" w:color="auto" w:fill="FFFFFF"/>
        </w:rPr>
        <w:t>负责督导风险分级管控与事故隐患排查治理及安全检查制度的落实。</w:t>
      </w:r>
    </w:p>
    <w:p w14:paraId="466927D6">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3.3</w:t>
      </w:r>
      <w:r>
        <w:rPr>
          <w:rFonts w:hint="eastAsia" w:ascii="宋体" w:hAnsi="宋体"/>
          <w:color w:val="000000"/>
          <w:highlight w:val="none"/>
          <w:shd w:val="clear" w:color="auto" w:fill="FFFFFF"/>
          <w:lang w:val="en-US" w:eastAsia="zh-CN"/>
        </w:rPr>
        <w:t>储能公司以及</w:t>
      </w:r>
      <w:r>
        <w:rPr>
          <w:rFonts w:hint="eastAsia" w:ascii="宋体" w:hAnsi="宋体" w:cs="Tahoma"/>
          <w:kern w:val="0"/>
          <w:highlight w:val="none"/>
          <w:lang w:val="en-US" w:eastAsia="zh-CN"/>
        </w:rPr>
        <w:t>各部门、分子公司、项目部（组）等</w:t>
      </w:r>
      <w:r>
        <w:rPr>
          <w:rFonts w:hint="eastAsia" w:ascii="宋体" w:hAnsi="宋体" w:cs="Tahoma"/>
          <w:kern w:val="0"/>
          <w:highlight w:val="none"/>
        </w:rPr>
        <w:t>各单位</w:t>
      </w:r>
      <w:r>
        <w:rPr>
          <w:rFonts w:hint="eastAsia" w:ascii="宋体" w:hAnsi="宋体"/>
          <w:color w:val="000000"/>
          <w:highlight w:val="none"/>
          <w:shd w:val="clear" w:color="auto" w:fill="FFFFFF"/>
        </w:rPr>
        <w:t>主要负责人是安全生产的第一责任者，负责全方位落实本单位安全生产风险辨识、分级管控和事故隐患检查和排查整改工作，建立健全风险辨识风险分级管控和隐患排查整改工作机制，完善组织机构，建立健全重大事故隐患排查整改情况登记档案和信息管理系统，按照国家、行业、地方、</w:t>
      </w:r>
      <w:r>
        <w:rPr>
          <w:rFonts w:hint="eastAsia" w:ascii="宋体" w:hAnsi="宋体"/>
          <w:color w:val="000000"/>
          <w:highlight w:val="none"/>
          <w:shd w:val="clear" w:color="auto" w:fill="FFFFFF"/>
          <w:lang w:val="en-US" w:eastAsia="zh-CN"/>
        </w:rPr>
        <w:t>风帆有限</w:t>
      </w:r>
      <w:r>
        <w:rPr>
          <w:rFonts w:hint="eastAsia" w:ascii="宋体" w:hAnsi="宋体"/>
          <w:color w:val="000000"/>
          <w:highlight w:val="none"/>
          <w:shd w:val="clear" w:color="auto" w:fill="FFFFFF"/>
        </w:rPr>
        <w:t>责任公司</w:t>
      </w:r>
      <w:r>
        <w:rPr>
          <w:rFonts w:hint="eastAsia" w:ascii="宋体" w:hAnsi="宋体"/>
          <w:color w:val="000000"/>
          <w:highlight w:val="none"/>
          <w:shd w:val="clear" w:color="auto" w:fill="FFFFFF"/>
          <w:lang w:eastAsia="zh-CN"/>
        </w:rPr>
        <w:t>、</w:t>
      </w:r>
      <w:r>
        <w:rPr>
          <w:rFonts w:hint="eastAsia" w:ascii="宋体" w:hAnsi="宋体"/>
          <w:color w:val="000000"/>
          <w:highlight w:val="none"/>
          <w:shd w:val="clear" w:color="auto" w:fill="FFFFFF"/>
          <w:lang w:val="en-US" w:eastAsia="zh-CN"/>
        </w:rPr>
        <w:t>储能公司</w:t>
      </w:r>
      <w:r>
        <w:rPr>
          <w:rFonts w:hint="eastAsia" w:ascii="宋体" w:hAnsi="宋体"/>
          <w:color w:val="000000"/>
          <w:highlight w:val="none"/>
          <w:shd w:val="clear" w:color="auto" w:fill="FFFFFF"/>
        </w:rPr>
        <w:t>和本单位的相关规定，切实做好风险辨识风险分级管控和事故隐患排查整改的全过程管理工作。及时、准确地向</w:t>
      </w:r>
      <w:r>
        <w:rPr>
          <w:rFonts w:hint="eastAsia" w:ascii="宋体" w:hAnsi="宋体"/>
          <w:color w:val="000000"/>
          <w:highlight w:val="none"/>
          <w:shd w:val="clear" w:color="auto" w:fill="FFFFFF"/>
          <w:lang w:val="en-US" w:eastAsia="zh-CN"/>
        </w:rPr>
        <w:t>上级单位</w:t>
      </w:r>
      <w:r>
        <w:rPr>
          <w:rFonts w:hint="eastAsia" w:ascii="宋体" w:hAnsi="宋体"/>
          <w:color w:val="000000"/>
          <w:highlight w:val="none"/>
          <w:shd w:val="clear" w:color="auto" w:fill="FFFFFF"/>
        </w:rPr>
        <w:t>安全管理部门报告隐患信息，并保证整改事故隐患所需的安全资金投入、物资设备。</w:t>
      </w:r>
    </w:p>
    <w:p w14:paraId="5AA6C050">
      <w:pPr>
        <w:adjustRightInd w:val="0"/>
        <w:snapToGrid w:val="0"/>
        <w:spacing w:line="440" w:lineRule="exact"/>
        <w:ind w:firstLine="422" w:firstLineChars="200"/>
        <w:rPr>
          <w:rFonts w:hint="eastAsia" w:ascii="宋体" w:hAnsi="宋体" w:cs="Tahoma"/>
          <w:b/>
          <w:kern w:val="0"/>
          <w:highlight w:val="none"/>
        </w:rPr>
      </w:pPr>
      <w:r>
        <w:rPr>
          <w:rFonts w:hint="eastAsia" w:ascii="宋体" w:hAnsi="宋体" w:cs="Tahoma"/>
          <w:b/>
          <w:kern w:val="0"/>
          <w:highlight w:val="none"/>
        </w:rPr>
        <w:t>4.管理要求</w:t>
      </w:r>
    </w:p>
    <w:p w14:paraId="36BEB154">
      <w:pPr>
        <w:adjustRightInd w:val="0"/>
        <w:snapToGrid w:val="0"/>
        <w:spacing w:line="440" w:lineRule="exact"/>
        <w:ind w:firstLine="422" w:firstLineChars="200"/>
        <w:rPr>
          <w:rFonts w:hint="eastAsia" w:ascii="宋体" w:hAnsi="宋体" w:cs="Arial"/>
          <w:b/>
          <w:highlight w:val="none"/>
          <w:shd w:val="clear" w:color="auto" w:fill="FFFFFF"/>
        </w:rPr>
      </w:pPr>
      <w:r>
        <w:rPr>
          <w:rFonts w:hint="eastAsia" w:ascii="宋体" w:hAnsi="宋体" w:cs="Arial"/>
          <w:b/>
          <w:highlight w:val="none"/>
          <w:shd w:val="clear" w:color="auto" w:fill="FFFFFF"/>
        </w:rPr>
        <w:t>4.1概念解释</w:t>
      </w:r>
    </w:p>
    <w:p w14:paraId="7BD6D9E4">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4.1.1风险、风险辨识、风险控制</w:t>
      </w:r>
    </w:p>
    <w:p w14:paraId="6CB3FE32">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风险是指</w:t>
      </w:r>
      <w:r>
        <w:rPr>
          <w:rFonts w:ascii="宋体" w:hAnsi="宋体"/>
          <w:highlight w:val="none"/>
          <w:shd w:val="clear" w:color="auto" w:fill="FFFFFF"/>
        </w:rPr>
        <w:t>生产安</w:t>
      </w:r>
      <w:r>
        <w:rPr>
          <w:rFonts w:hint="eastAsia" w:ascii="宋体" w:hAnsi="宋体"/>
          <w:highlight w:val="none"/>
          <w:shd w:val="clear" w:color="auto" w:fill="FFFFFF"/>
        </w:rPr>
        <w:t>全</w:t>
      </w:r>
      <w:r>
        <w:rPr>
          <w:rFonts w:ascii="宋体" w:hAnsi="宋体"/>
          <w:highlight w:val="none"/>
          <w:shd w:val="clear" w:color="auto" w:fill="FFFFFF"/>
        </w:rPr>
        <w:t>事</w:t>
      </w:r>
      <w:r>
        <w:rPr>
          <w:rFonts w:hint="eastAsia" w:ascii="宋体" w:hAnsi="宋体"/>
          <w:highlight w:val="none"/>
          <w:shd w:val="clear" w:color="auto" w:fill="FFFFFF"/>
        </w:rPr>
        <w:t>故或健康损害事件发生的可能性和后果的组合。风险有两个主要特性，即可能性和严重性。可能性，是指事故（事件）的发生概率。严重性，是指事故（事件）一旦发生后，将造成的人员伤害和经济损失的严重程度。风险=可能性</w:t>
      </w:r>
      <w:r>
        <w:rPr>
          <w:rFonts w:hint="eastAsia" w:ascii="宋体" w:hAnsi="宋体" w:cs="仿宋_GB2312"/>
          <w:highlight w:val="none"/>
        </w:rPr>
        <w:t>×</w:t>
      </w:r>
      <w:r>
        <w:rPr>
          <w:rFonts w:hint="eastAsia" w:ascii="宋体" w:hAnsi="宋体"/>
          <w:highlight w:val="none"/>
          <w:shd w:val="clear" w:color="auto" w:fill="FFFFFF"/>
        </w:rPr>
        <w:t>严重性。</w:t>
      </w:r>
    </w:p>
    <w:p w14:paraId="551D938E">
      <w:pPr>
        <w:adjustRightInd w:val="0"/>
        <w:snapToGrid w:val="0"/>
        <w:spacing w:line="440" w:lineRule="exact"/>
        <w:ind w:firstLine="420" w:firstLineChars="200"/>
        <w:rPr>
          <w:rFonts w:hint="eastAsia" w:ascii="宋体" w:hAnsi="宋体"/>
          <w:bCs/>
          <w:color w:val="auto"/>
          <w:kern w:val="24"/>
          <w:highlight w:val="none"/>
        </w:rPr>
      </w:pPr>
      <w:r>
        <w:rPr>
          <w:rFonts w:hint="eastAsia" w:ascii="宋体" w:hAnsi="宋体"/>
          <w:highlight w:val="none"/>
          <w:shd w:val="clear" w:color="auto" w:fill="FFFFFF"/>
        </w:rPr>
        <w:t>风险辨识就是识别危险源的风险、风险程度评估的过程。</w:t>
      </w:r>
      <w:r>
        <w:rPr>
          <w:rFonts w:hint="eastAsia" w:ascii="宋体" w:hAnsi="宋体"/>
          <w:bCs/>
          <w:color w:val="auto"/>
          <w:kern w:val="24"/>
          <w:highlight w:val="none"/>
        </w:rPr>
        <w:t>风险控制是指采取各种措施和方法，消灭或减少风险事件发生的各种可能性，或者减少风险事件发生时造成的损失；风险总是存在的，减小风险事件发生的可能性把损失控制在一定范围内，避免在风险事件发生时带来难以承担的损失。</w:t>
      </w:r>
    </w:p>
    <w:p w14:paraId="21FA59BB">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4.1.2危险源、风险点</w:t>
      </w:r>
    </w:p>
    <w:p w14:paraId="35DADC3E">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危险源</w:t>
      </w:r>
      <w:r>
        <w:rPr>
          <w:rFonts w:ascii="宋体" w:hAnsi="宋体"/>
          <w:highlight w:val="none"/>
          <w:shd w:val="clear" w:color="auto" w:fill="FFFFFF"/>
        </w:rPr>
        <w:t>是指可能导</w:t>
      </w:r>
      <w:r>
        <w:rPr>
          <w:rFonts w:hint="eastAsia" w:ascii="宋体" w:hAnsi="宋体"/>
          <w:highlight w:val="none"/>
          <w:shd w:val="clear" w:color="auto" w:fill="FFFFFF"/>
        </w:rPr>
        <w:t>致</w:t>
      </w:r>
      <w:r>
        <w:rPr>
          <w:rFonts w:ascii="宋体" w:hAnsi="宋体"/>
          <w:highlight w:val="none"/>
          <w:shd w:val="clear" w:color="auto" w:fill="FFFFFF"/>
        </w:rPr>
        <w:t>人身</w:t>
      </w:r>
      <w:r>
        <w:rPr>
          <w:rFonts w:hint="eastAsia" w:ascii="宋体" w:hAnsi="宋体"/>
          <w:highlight w:val="none"/>
          <w:shd w:val="clear" w:color="auto" w:fill="FFFFFF"/>
        </w:rPr>
        <w:t>伤害</w:t>
      </w:r>
      <w:r>
        <w:rPr>
          <w:rFonts w:ascii="宋体" w:hAnsi="宋体"/>
          <w:highlight w:val="none"/>
          <w:shd w:val="clear" w:color="auto" w:fill="FFFFFF"/>
        </w:rPr>
        <w:t>和</w:t>
      </w:r>
      <w:r>
        <w:rPr>
          <w:rFonts w:hint="eastAsia" w:ascii="宋体" w:hAnsi="宋体"/>
          <w:highlight w:val="none"/>
          <w:shd w:val="clear" w:color="auto" w:fill="FFFFFF"/>
        </w:rPr>
        <w:t>（或）财产损失的根源、状态或行为，或它们的组合。</w:t>
      </w:r>
      <w:r>
        <w:rPr>
          <w:rFonts w:ascii="宋体" w:hAnsi="宋体"/>
          <w:highlight w:val="none"/>
          <w:shd w:val="clear" w:color="auto" w:fill="FFFFFF"/>
        </w:rPr>
        <w:t>其中</w:t>
      </w:r>
      <w:r>
        <w:rPr>
          <w:rFonts w:hint="eastAsia" w:ascii="宋体" w:hAnsi="宋体"/>
          <w:highlight w:val="none"/>
          <w:shd w:val="clear" w:color="auto" w:fill="FFFFFF"/>
        </w:rPr>
        <w:t>：根源是指具有能量或产生、释放能量的物理实体。如起重设备、电气设备、压力容器等等。行为是指决策人员、管理人员以及从业人员的决策行为、管理行为以及作业行为。状态是指物的状态和环境的状态等；</w:t>
      </w:r>
    </w:p>
    <w:p w14:paraId="3C6C0A70">
      <w:pPr>
        <w:adjustRightInd w:val="0"/>
        <w:snapToGrid w:val="0"/>
        <w:spacing w:line="440" w:lineRule="exact"/>
        <w:ind w:firstLine="420" w:firstLineChars="200"/>
        <w:rPr>
          <w:rFonts w:ascii="宋体" w:hAnsi="宋体"/>
          <w:highlight w:val="none"/>
          <w:shd w:val="clear" w:color="auto" w:fill="FFFFFF"/>
        </w:rPr>
      </w:pPr>
      <w:r>
        <w:rPr>
          <w:rFonts w:hint="eastAsia" w:ascii="宋体" w:hAnsi="宋体"/>
          <w:highlight w:val="none"/>
          <w:shd w:val="clear" w:color="auto" w:fill="FFFFFF"/>
        </w:rPr>
        <w:t>风险点是指伴随风险的部位、设施、场所和区域，以及在特定的部位、设施、场所和区域实施的伴随风险的作业过程，或以上两者的组合，风险点有时也称为危险源。</w:t>
      </w:r>
    </w:p>
    <w:p w14:paraId="4EE23D3C">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风险是危险源的属性，危险源是风险的载体。</w:t>
      </w:r>
    </w:p>
    <w:p w14:paraId="30FDD832">
      <w:pPr>
        <w:adjustRightInd w:val="0"/>
        <w:snapToGrid w:val="0"/>
        <w:spacing w:line="440" w:lineRule="exact"/>
        <w:ind w:firstLine="420" w:firstLineChars="200"/>
        <w:rPr>
          <w:rFonts w:hint="eastAsia" w:ascii="宋体" w:hAnsi="宋体"/>
          <w:b/>
          <w:color w:val="000000"/>
          <w:highlight w:val="none"/>
          <w:shd w:val="clear" w:color="auto" w:fill="FFFFFF"/>
        </w:rPr>
      </w:pPr>
      <w:r>
        <w:rPr>
          <w:rFonts w:hint="eastAsia" w:ascii="宋体" w:hAnsi="宋体"/>
          <w:color w:val="000000"/>
          <w:highlight w:val="none"/>
          <w:shd w:val="clear" w:color="auto" w:fill="FFFFFF"/>
        </w:rPr>
        <w:t>4.1.3</w:t>
      </w:r>
      <w:r>
        <w:rPr>
          <w:rFonts w:hint="eastAsia" w:ascii="宋体" w:hAnsi="宋体"/>
          <w:b/>
          <w:color w:val="000000"/>
          <w:highlight w:val="none"/>
          <w:shd w:val="clear" w:color="auto" w:fill="FFFFFF"/>
        </w:rPr>
        <w:t>风险辨识</w:t>
      </w:r>
    </w:p>
    <w:p w14:paraId="652B15DF">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风险辨识</w:t>
      </w:r>
      <w:r>
        <w:rPr>
          <w:rFonts w:ascii="宋体" w:hAnsi="宋体"/>
          <w:color w:val="000000"/>
          <w:highlight w:val="none"/>
          <w:shd w:val="clear" w:color="auto" w:fill="FFFFFF"/>
        </w:rPr>
        <w:t>是</w:t>
      </w:r>
      <w:r>
        <w:rPr>
          <w:rFonts w:hint="eastAsia" w:ascii="宋体" w:hAnsi="宋体"/>
          <w:color w:val="000000"/>
          <w:highlight w:val="none"/>
          <w:shd w:val="clear" w:color="auto" w:fill="FFFFFF"/>
        </w:rPr>
        <w:t>指</w:t>
      </w:r>
      <w:r>
        <w:rPr>
          <w:rFonts w:ascii="宋体" w:hAnsi="宋体"/>
          <w:color w:val="000000"/>
          <w:highlight w:val="none"/>
          <w:shd w:val="clear" w:color="auto" w:fill="FFFFFF"/>
        </w:rPr>
        <w:t>识别企业</w:t>
      </w:r>
      <w:r>
        <w:rPr>
          <w:rFonts w:hint="eastAsia" w:ascii="宋体" w:hAnsi="宋体"/>
          <w:color w:val="000000"/>
          <w:highlight w:val="none"/>
          <w:shd w:val="clear" w:color="auto" w:fill="FFFFFF"/>
          <w:lang w:val="en-US" w:eastAsia="zh-CN"/>
        </w:rPr>
        <w:t>或本单位</w:t>
      </w:r>
      <w:r>
        <w:rPr>
          <w:rFonts w:ascii="宋体" w:hAnsi="宋体"/>
          <w:color w:val="000000"/>
          <w:highlight w:val="none"/>
          <w:shd w:val="clear" w:color="auto" w:fill="FFFFFF"/>
        </w:rPr>
        <w:t>整个</w:t>
      </w:r>
      <w:r>
        <w:rPr>
          <w:rFonts w:hint="eastAsia" w:ascii="宋体" w:hAnsi="宋体"/>
          <w:color w:val="000000"/>
          <w:highlight w:val="none"/>
          <w:shd w:val="clear" w:color="auto" w:fill="FFFFFF"/>
        </w:rPr>
        <w:t>范围</w:t>
      </w:r>
      <w:r>
        <w:rPr>
          <w:rFonts w:ascii="宋体" w:hAnsi="宋体"/>
          <w:color w:val="000000"/>
          <w:highlight w:val="none"/>
          <w:shd w:val="clear" w:color="auto" w:fill="FFFFFF"/>
        </w:rPr>
        <w:t>内所有存在的</w:t>
      </w:r>
      <w:r>
        <w:rPr>
          <w:rFonts w:hint="eastAsia" w:ascii="宋体" w:hAnsi="宋体"/>
          <w:color w:val="000000"/>
          <w:highlight w:val="none"/>
          <w:shd w:val="clear" w:color="auto" w:fill="FFFFFF"/>
        </w:rPr>
        <w:t>风险并确定其特性的过程。新产品、新工艺、新材料设计前的风险辨识评估。由各单位分管技术的负责人组织相部门，重点对新产品、新工艺、新材料的安全性及生产过程存在的安全风险进行一次专项辨识，辨识评估结果用于完善设计方案，指导生产工艺选择、生产系统布置、设备选型、劳动组织确定等。</w:t>
      </w:r>
    </w:p>
    <w:p w14:paraId="77961E7D">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4.1.4</w:t>
      </w:r>
      <w:r>
        <w:rPr>
          <w:rFonts w:ascii="宋体" w:hAnsi="宋体"/>
          <w:color w:val="000000"/>
          <w:highlight w:val="none"/>
          <w:shd w:val="clear" w:color="auto" w:fill="FFFFFF"/>
        </w:rPr>
        <w:t>事故隐患</w:t>
      </w:r>
      <w:r>
        <w:rPr>
          <w:rFonts w:hint="eastAsia" w:ascii="宋体" w:hAnsi="宋体"/>
          <w:color w:val="000000"/>
          <w:highlight w:val="none"/>
          <w:shd w:val="clear" w:color="auto" w:fill="FFFFFF"/>
        </w:rPr>
        <w:t>(即</w:t>
      </w:r>
      <w:r>
        <w:rPr>
          <w:rFonts w:ascii="宋体" w:hAnsi="宋体"/>
          <w:color w:val="000000"/>
          <w:highlight w:val="none"/>
          <w:shd w:val="clear" w:color="auto" w:fill="FFFFFF"/>
        </w:rPr>
        <w:t>安全生产事故隐患</w:t>
      </w:r>
      <w:r>
        <w:rPr>
          <w:rFonts w:hint="eastAsia" w:ascii="宋体" w:hAnsi="宋体"/>
          <w:color w:val="000000"/>
          <w:highlight w:val="none"/>
          <w:shd w:val="clear" w:color="auto" w:fill="FFFFFF"/>
        </w:rPr>
        <w:t>)</w:t>
      </w:r>
    </w:p>
    <w:p w14:paraId="4840BCD3">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事故隐患(即安全生产事故隐患)</w:t>
      </w:r>
      <w:r>
        <w:rPr>
          <w:rFonts w:ascii="宋体" w:hAnsi="宋体"/>
          <w:color w:val="000000"/>
          <w:highlight w:val="none"/>
          <w:shd w:val="clear" w:color="auto" w:fill="FFFFFF"/>
        </w:rPr>
        <w:t>是指违反安全生产法律、法规、规章、标准、规程和</w:t>
      </w:r>
      <w:r>
        <w:rPr>
          <w:rFonts w:hint="eastAsia" w:ascii="宋体" w:hAnsi="宋体"/>
          <w:color w:val="000000"/>
          <w:highlight w:val="none"/>
          <w:shd w:val="clear" w:color="auto" w:fill="FFFFFF"/>
        </w:rPr>
        <w:t>安全生产管理制度</w:t>
      </w:r>
      <w:r>
        <w:rPr>
          <w:rFonts w:ascii="宋体" w:hAnsi="宋体"/>
          <w:color w:val="000000"/>
          <w:highlight w:val="none"/>
          <w:shd w:val="clear" w:color="auto" w:fill="FFFFFF"/>
        </w:rPr>
        <w:t>的规定，或者因其他因素在生产经营活动中存在可能导致事故发生的物的危险状态、人的不安全行为和管理上的缺陷。</w:t>
      </w:r>
    </w:p>
    <w:p w14:paraId="68F66226">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4.1.5安全检查、事故隐患排查</w:t>
      </w:r>
    </w:p>
    <w:p w14:paraId="2C89C40D">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安全检查、事故隐患排查是指根据国家安全生产法律、法规，利用安全生产管理相关方法，对生产经营单位的人、机械设备设施、工作环境和生产管理进行逐项检查、排查活动是为了消除隐患、防止事故发生、改善劳动条件而开展的各项安全检查活动；</w:t>
      </w:r>
      <w:r>
        <w:rPr>
          <w:rFonts w:hint="eastAsia" w:ascii="宋体" w:hAnsi="宋体"/>
          <w:color w:val="000000"/>
          <w:highlight w:val="none"/>
          <w:shd w:val="clear" w:color="auto" w:fill="FFFFFF"/>
          <w:lang w:eastAsia="zh-CN"/>
        </w:rPr>
        <w:t>旨在</w:t>
      </w:r>
      <w:r>
        <w:rPr>
          <w:rFonts w:hint="eastAsia" w:ascii="宋体" w:hAnsi="宋体"/>
          <w:color w:val="000000"/>
          <w:highlight w:val="none"/>
          <w:shd w:val="clear" w:color="auto" w:fill="FFFFFF"/>
        </w:rPr>
        <w:t>去发现和寻找存在或潜在的不安全因素，并进行记录。</w:t>
      </w:r>
    </w:p>
    <w:p w14:paraId="717596C8">
      <w:pPr>
        <w:adjustRightInd w:val="0"/>
        <w:snapToGrid w:val="0"/>
        <w:spacing w:line="440" w:lineRule="exact"/>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安全检查、事故隐患排查的目的是发现安全生产事故隐患。安全检查、事故隐患排查整改管理应贯彻：重心前移、源头控制的原则，早发现、早报告、早综合治理的原则，群防与专防相结合的原则，全方位、全过程动态管理和闭环管理的原则。</w:t>
      </w:r>
    </w:p>
    <w:p w14:paraId="081FB47F">
      <w:pPr>
        <w:adjustRightInd w:val="0"/>
        <w:snapToGrid w:val="0"/>
        <w:spacing w:line="440" w:lineRule="exact"/>
        <w:ind w:firstLine="420" w:firstLineChars="200"/>
        <w:rPr>
          <w:rFonts w:hint="eastAsia" w:ascii="Verdana" w:hAnsi="Verdana"/>
          <w:b/>
          <w:highlight w:val="none"/>
          <w:shd w:val="clear" w:color="auto" w:fill="FFFFFF"/>
        </w:rPr>
      </w:pPr>
      <w:r>
        <w:rPr>
          <w:rFonts w:hint="eastAsia" w:ascii="宋体" w:hAnsi="宋体"/>
          <w:highlight w:val="none"/>
          <w:shd w:val="clear" w:color="auto" w:fill="FFFFFF"/>
        </w:rPr>
        <w:t>4.2</w:t>
      </w:r>
      <w:r>
        <w:rPr>
          <w:rFonts w:hint="eastAsia" w:ascii="Verdana" w:hAnsi="Verdana"/>
          <w:b/>
          <w:highlight w:val="none"/>
          <w:shd w:val="clear" w:color="auto" w:fill="FFFFFF"/>
        </w:rPr>
        <w:t>安全风险辨识有关内容</w:t>
      </w:r>
    </w:p>
    <w:p w14:paraId="1886A750">
      <w:pPr>
        <w:adjustRightInd w:val="0"/>
        <w:snapToGrid w:val="0"/>
        <w:spacing w:line="440" w:lineRule="exact"/>
        <w:ind w:firstLine="420" w:firstLineChars="200"/>
        <w:rPr>
          <w:rFonts w:ascii="宋体" w:hAnsi="宋体"/>
          <w:highlight w:val="none"/>
          <w:shd w:val="clear" w:color="auto" w:fill="FFFFFF"/>
        </w:rPr>
      </w:pPr>
      <w:r>
        <w:rPr>
          <w:rFonts w:hint="eastAsia" w:ascii="宋体" w:hAnsi="宋体" w:cs="Tahoma"/>
          <w:kern w:val="0"/>
          <w:highlight w:val="none"/>
        </w:rPr>
        <w:t>4.2.1安全风险辨识范围与原则：</w:t>
      </w:r>
    </w:p>
    <w:p w14:paraId="321B6DDF">
      <w:pPr>
        <w:adjustRightInd w:val="0"/>
        <w:snapToGrid w:val="0"/>
        <w:spacing w:line="440" w:lineRule="exact"/>
        <w:ind w:firstLine="420" w:firstLineChars="200"/>
        <w:rPr>
          <w:rFonts w:hint="eastAsia" w:ascii="Verdana" w:hAnsi="Verdana"/>
          <w:highlight w:val="none"/>
          <w:shd w:val="clear" w:color="auto" w:fill="FFFFFF"/>
        </w:rPr>
      </w:pPr>
      <w:r>
        <w:rPr>
          <w:rFonts w:hint="eastAsia" w:ascii="宋体" w:hAnsi="宋体" w:cs="Tahoma"/>
          <w:kern w:val="0"/>
          <w:highlight w:val="none"/>
          <w:lang w:val="en-US" w:eastAsia="zh-CN"/>
        </w:rPr>
        <w:t>4.2.1.1</w:t>
      </w:r>
      <w:r>
        <w:rPr>
          <w:rFonts w:hint="eastAsia" w:ascii="宋体" w:hAnsi="宋体" w:cs="Tahoma"/>
          <w:kern w:val="0"/>
          <w:highlight w:val="none"/>
        </w:rPr>
        <w:t>公司</w:t>
      </w:r>
      <w:r>
        <w:rPr>
          <w:rFonts w:hint="eastAsia" w:ascii="Verdana" w:hAnsi="Verdana"/>
          <w:highlight w:val="none"/>
          <w:shd w:val="clear" w:color="auto" w:fill="FFFFFF"/>
        </w:rPr>
        <w:t>内</w:t>
      </w:r>
      <w:r>
        <w:rPr>
          <w:rFonts w:ascii="Verdana" w:hAnsi="Verdana"/>
          <w:highlight w:val="none"/>
          <w:shd w:val="clear" w:color="auto" w:fill="FFFFFF"/>
        </w:rPr>
        <w:t>所有</w:t>
      </w:r>
      <w:r>
        <w:rPr>
          <w:rFonts w:hint="eastAsia" w:ascii="Verdana" w:hAnsi="Verdana"/>
          <w:highlight w:val="none"/>
          <w:shd w:val="clear" w:color="auto" w:fill="FFFFFF"/>
        </w:rPr>
        <w:t>区域及作业活动及</w:t>
      </w:r>
      <w:r>
        <w:rPr>
          <w:rFonts w:hint="eastAsia" w:ascii="Verdana" w:hAnsi="Verdana"/>
          <w:highlight w:val="none"/>
          <w:shd w:val="clear" w:color="auto" w:fill="FFFFFF"/>
          <w:lang w:val="en-US" w:eastAsia="zh-CN"/>
        </w:rPr>
        <w:t>各类</w:t>
      </w:r>
      <w:r>
        <w:rPr>
          <w:rFonts w:hint="eastAsia" w:ascii="Verdana" w:hAnsi="Verdana"/>
          <w:highlight w:val="none"/>
          <w:shd w:val="clear" w:color="auto" w:fill="FFFFFF"/>
        </w:rPr>
        <w:t>项目</w:t>
      </w:r>
      <w:r>
        <w:rPr>
          <w:rFonts w:hint="eastAsia" w:ascii="Verdana" w:hAnsi="Verdana"/>
          <w:highlight w:val="none"/>
          <w:shd w:val="clear" w:color="auto" w:fill="FFFFFF"/>
          <w:lang w:val="en-US" w:eastAsia="zh-CN"/>
        </w:rPr>
        <w:t>实施</w:t>
      </w:r>
      <w:r>
        <w:rPr>
          <w:rFonts w:hint="eastAsia" w:ascii="Verdana" w:hAnsi="Verdana"/>
          <w:highlight w:val="none"/>
          <w:shd w:val="clear" w:color="auto" w:fill="FFFFFF"/>
        </w:rPr>
        <w:t>地</w:t>
      </w:r>
      <w:r>
        <w:rPr>
          <w:rFonts w:hint="eastAsia" w:ascii="Verdana" w:hAnsi="Verdana"/>
          <w:highlight w:val="none"/>
          <w:shd w:val="clear" w:color="auto" w:fill="FFFFFF"/>
          <w:lang w:val="en-US" w:eastAsia="zh-CN"/>
        </w:rPr>
        <w:t>点</w:t>
      </w:r>
      <w:r>
        <w:rPr>
          <w:rFonts w:hint="eastAsia" w:ascii="Verdana" w:hAnsi="Verdana"/>
          <w:highlight w:val="none"/>
          <w:shd w:val="clear" w:color="auto" w:fill="FFFFFF"/>
        </w:rPr>
        <w:t>我公司</w:t>
      </w:r>
      <w:r>
        <w:rPr>
          <w:rFonts w:hint="eastAsia" w:ascii="Verdana" w:hAnsi="Verdana"/>
          <w:highlight w:val="none"/>
          <w:shd w:val="clear" w:color="auto" w:fill="FFFFFF"/>
          <w:lang w:val="en-US" w:eastAsia="zh-CN"/>
        </w:rPr>
        <w:t>工作</w:t>
      </w:r>
      <w:r>
        <w:rPr>
          <w:rFonts w:hint="eastAsia" w:ascii="Verdana" w:hAnsi="Verdana"/>
          <w:highlight w:val="none"/>
          <w:shd w:val="clear" w:color="auto" w:fill="FFFFFF"/>
        </w:rPr>
        <w:t>区域</w:t>
      </w:r>
      <w:r>
        <w:rPr>
          <w:rFonts w:hint="eastAsia" w:ascii="Verdana" w:hAnsi="Verdana"/>
          <w:highlight w:val="none"/>
          <w:shd w:val="clear" w:color="auto" w:fill="FFFFFF"/>
          <w:lang w:val="en-US" w:eastAsia="zh-CN"/>
        </w:rPr>
        <w:t>内作业活动</w:t>
      </w:r>
      <w:r>
        <w:rPr>
          <w:rFonts w:hint="eastAsia" w:ascii="Verdana" w:hAnsi="Verdana"/>
          <w:highlight w:val="none"/>
          <w:shd w:val="clear" w:color="auto" w:fill="FFFFFF"/>
        </w:rPr>
        <w:t>。包括所有系统的生产经营</w:t>
      </w:r>
      <w:r>
        <w:rPr>
          <w:rFonts w:hint="eastAsia" w:ascii="Verdana" w:hAnsi="Verdana"/>
          <w:highlight w:val="none"/>
          <w:shd w:val="clear" w:color="auto" w:fill="FFFFFF"/>
          <w:lang w:val="en-US" w:eastAsia="zh-CN"/>
        </w:rPr>
        <w:t>以及科研及紧密相关</w:t>
      </w:r>
      <w:r>
        <w:rPr>
          <w:rFonts w:hint="eastAsia" w:ascii="Verdana" w:hAnsi="Verdana"/>
          <w:highlight w:val="none"/>
          <w:shd w:val="clear" w:color="auto" w:fill="FFFFFF"/>
        </w:rPr>
        <w:t>活动的区域和地点及作业行为。安全风险辨识要遵循大小适中、便于分类、功能独立、易于管理、范围清晰的原则。</w:t>
      </w:r>
    </w:p>
    <w:p w14:paraId="0078BED4">
      <w:pPr>
        <w:adjustRightInd w:val="0"/>
        <w:snapToGrid w:val="0"/>
        <w:spacing w:line="440" w:lineRule="exact"/>
        <w:ind w:firstLine="420" w:firstLineChars="200"/>
        <w:rPr>
          <w:rFonts w:hint="default" w:ascii="Verdana" w:hAnsi="Verdana" w:eastAsia="宋体"/>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4.2.1.2项目部（组）</w:t>
      </w:r>
      <w:r>
        <w:rPr>
          <w:rFonts w:hint="eastAsia" w:ascii="Verdana" w:hAnsi="Verdana"/>
          <w:highlight w:val="none"/>
          <w:shd w:val="clear" w:color="auto" w:fill="FFFFFF"/>
          <w:lang w:val="en-US" w:eastAsia="zh-CN"/>
        </w:rPr>
        <w:t>按《项目现场管理办法》规定按阶段对项目现场安全风险进行辨识；各部门每季度对业务范围内安全风险进行辨识；安全管理部门每半年组织对公司安全风险进行辨识，公司领导组织每年对安全风险辨识。</w:t>
      </w:r>
    </w:p>
    <w:p w14:paraId="56177A25">
      <w:pPr>
        <w:adjustRightInd w:val="0"/>
        <w:snapToGrid w:val="0"/>
        <w:spacing w:line="440" w:lineRule="exact"/>
        <w:ind w:firstLine="420" w:firstLineChars="200"/>
        <w:rPr>
          <w:rFonts w:ascii="宋体" w:hAnsi="宋体"/>
          <w:highlight w:val="none"/>
          <w:shd w:val="clear" w:color="auto" w:fill="FFFFFF"/>
        </w:rPr>
      </w:pPr>
      <w:r>
        <w:rPr>
          <w:rFonts w:hint="eastAsia" w:ascii="宋体" w:hAnsi="宋体"/>
          <w:highlight w:val="none"/>
          <w:shd w:val="clear" w:color="auto" w:fill="FFFFFF"/>
        </w:rPr>
        <w:t>4.2.2安全风险辨识的方法</w:t>
      </w:r>
    </w:p>
    <w:p w14:paraId="2E031C3B">
      <w:pPr>
        <w:adjustRightInd w:val="0"/>
        <w:snapToGrid w:val="0"/>
        <w:spacing w:line="440" w:lineRule="exact"/>
        <w:ind w:firstLine="420" w:firstLineChars="200"/>
        <w:rPr>
          <w:rFonts w:hint="eastAsia" w:ascii="宋体" w:hAnsi="宋体"/>
          <w:highlight w:val="none"/>
          <w:shd w:val="clear" w:color="auto" w:fill="FFFFFF"/>
        </w:rPr>
      </w:pPr>
      <w:r>
        <w:rPr>
          <w:rFonts w:hint="eastAsia" w:ascii="宋体" w:hAnsi="宋体"/>
          <w:highlight w:val="none"/>
          <w:shd w:val="clear" w:color="auto" w:fill="FFFFFF"/>
        </w:rPr>
        <w:t>风险评价---风险评价是对危险源导致的风险进行分析、分解、分级，对现有控制措施的充分性加以考虑以及对风险是否可以接受予以确定的过程。</w:t>
      </w:r>
    </w:p>
    <w:p w14:paraId="032EEF0D">
      <w:pPr>
        <w:adjustRightInd w:val="0"/>
        <w:snapToGrid w:val="0"/>
        <w:spacing w:line="440" w:lineRule="exact"/>
        <w:ind w:firstLine="420" w:firstLineChars="200"/>
        <w:rPr>
          <w:rFonts w:ascii="宋体" w:hAnsi="宋体"/>
          <w:color w:val="000000"/>
          <w:highlight w:val="none"/>
          <w:shd w:val="clear" w:color="auto" w:fill="FFFFFF"/>
        </w:rPr>
      </w:pPr>
      <w:r>
        <w:rPr>
          <w:rFonts w:hint="eastAsia" w:ascii="宋体" w:hAnsi="宋体"/>
          <w:color w:val="000000"/>
          <w:highlight w:val="none"/>
          <w:shd w:val="clear" w:color="auto" w:fill="FFFFFF"/>
        </w:rPr>
        <w:t>常用的风险评价方法：作业条件危险性分析法（LEC法）、风险矩阵法（L</w:t>
      </w:r>
      <w:r>
        <w:rPr>
          <w:rFonts w:hint="eastAsia" w:ascii="宋体" w:hAnsi="宋体" w:cs="仿宋_GB2312"/>
          <w:highlight w:val="none"/>
        </w:rPr>
        <w:t>×</w:t>
      </w:r>
      <w:r>
        <w:rPr>
          <w:rFonts w:hint="eastAsia" w:ascii="宋体" w:hAnsi="宋体"/>
          <w:color w:val="000000"/>
          <w:highlight w:val="none"/>
          <w:shd w:val="clear" w:color="auto" w:fill="FFFFFF"/>
        </w:rPr>
        <w:t>S）。</w:t>
      </w:r>
    </w:p>
    <w:p w14:paraId="71EEA53F">
      <w:pPr>
        <w:adjustRightInd w:val="0"/>
        <w:snapToGrid w:val="0"/>
        <w:spacing w:line="440" w:lineRule="exact"/>
        <w:ind w:firstLine="420" w:firstLineChars="200"/>
        <w:rPr>
          <w:rFonts w:ascii="宋体" w:hAnsi="宋体"/>
          <w:color w:val="000000"/>
          <w:highlight w:val="none"/>
          <w:shd w:val="clear" w:color="auto" w:fill="FFFFFF"/>
        </w:rPr>
      </w:pPr>
      <w:r>
        <w:rPr>
          <w:rFonts w:hint="eastAsia" w:ascii="宋体" w:hAnsi="宋体"/>
          <w:color w:val="000000"/>
          <w:highlight w:val="none"/>
          <w:shd w:val="clear" w:color="auto" w:fill="FFFFFF"/>
        </w:rPr>
        <w:t>①作业条件危险性分析法（LEC法）</w:t>
      </w:r>
    </w:p>
    <w:p w14:paraId="748DCFF9">
      <w:pPr>
        <w:adjustRightInd w:val="0"/>
        <w:snapToGrid w:val="0"/>
        <w:spacing w:line="440" w:lineRule="exact"/>
        <w:ind w:firstLine="420" w:firstLineChars="200"/>
        <w:rPr>
          <w:rFonts w:ascii="宋体" w:hAnsi="宋体"/>
          <w:color w:val="000000"/>
          <w:highlight w:val="none"/>
          <w:shd w:val="clear" w:color="auto" w:fill="FFFFFF"/>
        </w:rPr>
      </w:pPr>
      <w:r>
        <w:rPr>
          <w:rFonts w:hint="eastAsia" w:ascii="宋体" w:hAnsi="宋体"/>
          <w:color w:val="000000"/>
          <w:highlight w:val="none"/>
          <w:shd w:val="clear" w:color="auto" w:fill="FFFFFF"/>
        </w:rPr>
        <w:t>作业条件危险性分析法用于系统风险有关的三种因素指标值的乘积来评价操作人员伤亡风险大小。三种因素分别是L（事故发生的可能性）、E（人员暴露于风险环境中的频繁程度）和C（一旦发生事故可能造成的后果）。给三种因素的不同等级分别确定不同的分值，再以三个分值的乘积D（危险性）来评价作业条件危险性的大小，即：D=L</w:t>
      </w:r>
      <w:r>
        <w:rPr>
          <w:rFonts w:hint="eastAsia" w:ascii="宋体" w:hAnsi="宋体" w:cs="仿宋_GB2312"/>
          <w:highlight w:val="none"/>
        </w:rPr>
        <w:t>×</w:t>
      </w:r>
      <w:r>
        <w:rPr>
          <w:rFonts w:hint="eastAsia" w:ascii="宋体" w:hAnsi="宋体"/>
          <w:color w:val="000000"/>
          <w:highlight w:val="none"/>
          <w:shd w:val="clear" w:color="auto" w:fill="FFFFFF"/>
        </w:rPr>
        <w:t>E</w:t>
      </w:r>
      <w:r>
        <w:rPr>
          <w:rFonts w:hint="eastAsia" w:ascii="宋体" w:hAnsi="宋体" w:cs="仿宋_GB2312"/>
          <w:highlight w:val="none"/>
        </w:rPr>
        <w:t>×</w:t>
      </w:r>
      <w:r>
        <w:rPr>
          <w:rFonts w:hint="eastAsia" w:ascii="宋体" w:hAnsi="宋体"/>
          <w:color w:val="000000"/>
          <w:highlight w:val="none"/>
          <w:shd w:val="clear" w:color="auto" w:fill="FFFFFF"/>
        </w:rPr>
        <w:t>C。D值越大，说明该系统危险性越大。</w:t>
      </w:r>
    </w:p>
    <w:p w14:paraId="50ED73DD">
      <w:pPr>
        <w:adjustRightInd w:val="0"/>
        <w:snapToGrid w:val="0"/>
        <w:spacing w:line="440" w:lineRule="exact"/>
        <w:ind w:firstLine="420" w:firstLineChars="200"/>
        <w:rPr>
          <w:rFonts w:ascii="宋体" w:hAnsi="宋体"/>
          <w:color w:val="000000"/>
          <w:highlight w:val="none"/>
          <w:shd w:val="clear" w:color="auto" w:fill="FFFFFF"/>
        </w:rPr>
      </w:pPr>
      <w:r>
        <w:rPr>
          <w:rFonts w:hint="eastAsia" w:ascii="宋体" w:hAnsi="宋体"/>
          <w:color w:val="000000"/>
          <w:highlight w:val="none"/>
          <w:shd w:val="clear" w:color="auto" w:fill="FFFFFF"/>
        </w:rPr>
        <w:t>根据以往经验和估计，分别对这三个方面划分不同等级，并赋值，详见表1、表2、表3、表4。</w:t>
      </w:r>
    </w:p>
    <w:p w14:paraId="1004479B">
      <w:pPr>
        <w:spacing w:before="240" w:beforeLines="100" w:line="360" w:lineRule="auto"/>
        <w:ind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表1  事件发生的可能性大小(L)分值</w:t>
      </w:r>
    </w:p>
    <w:tbl>
      <w:tblPr>
        <w:tblStyle w:val="2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269"/>
      </w:tblGrid>
      <w:tr w14:paraId="28AF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044ED18B">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分数值</w:t>
            </w:r>
          </w:p>
        </w:tc>
        <w:tc>
          <w:tcPr>
            <w:tcW w:w="4269" w:type="dxa"/>
            <w:noWrap w:val="0"/>
            <w:vAlign w:val="center"/>
          </w:tcPr>
          <w:p w14:paraId="691EA283">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事故发生的可能性</w:t>
            </w:r>
          </w:p>
        </w:tc>
      </w:tr>
      <w:tr w14:paraId="4C9F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50B3079C">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10</w:t>
            </w:r>
          </w:p>
        </w:tc>
        <w:tc>
          <w:tcPr>
            <w:tcW w:w="4269" w:type="dxa"/>
            <w:noWrap w:val="0"/>
            <w:vAlign w:val="center"/>
          </w:tcPr>
          <w:p w14:paraId="03527087">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完全可以预料</w:t>
            </w:r>
          </w:p>
        </w:tc>
      </w:tr>
      <w:tr w14:paraId="65AB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530009C0">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6</w:t>
            </w:r>
          </w:p>
        </w:tc>
        <w:tc>
          <w:tcPr>
            <w:tcW w:w="4269" w:type="dxa"/>
            <w:noWrap w:val="0"/>
            <w:vAlign w:val="center"/>
          </w:tcPr>
          <w:p w14:paraId="7D61726D">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相当可能</w:t>
            </w:r>
          </w:p>
        </w:tc>
      </w:tr>
      <w:tr w14:paraId="7B4F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3DD86BD7">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4269" w:type="dxa"/>
            <w:noWrap w:val="0"/>
            <w:vAlign w:val="center"/>
          </w:tcPr>
          <w:p w14:paraId="21F853D8">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可能，但不经常</w:t>
            </w:r>
          </w:p>
        </w:tc>
      </w:tr>
      <w:tr w14:paraId="1027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5431D6C3">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4269" w:type="dxa"/>
            <w:noWrap w:val="0"/>
            <w:vAlign w:val="center"/>
          </w:tcPr>
          <w:p w14:paraId="73883EF3">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可能性小，完全意外</w:t>
            </w:r>
          </w:p>
        </w:tc>
      </w:tr>
      <w:tr w14:paraId="77AE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31A4D205">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0.5</w:t>
            </w:r>
          </w:p>
        </w:tc>
        <w:tc>
          <w:tcPr>
            <w:tcW w:w="4269" w:type="dxa"/>
            <w:noWrap w:val="0"/>
            <w:vAlign w:val="center"/>
          </w:tcPr>
          <w:p w14:paraId="267A6D08">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很不可能，可以设想</w:t>
            </w:r>
          </w:p>
        </w:tc>
      </w:tr>
      <w:tr w14:paraId="7CD8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69" w:type="dxa"/>
            <w:noWrap w:val="0"/>
            <w:vAlign w:val="center"/>
          </w:tcPr>
          <w:p w14:paraId="0F1A9291">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0.2</w:t>
            </w:r>
          </w:p>
        </w:tc>
        <w:tc>
          <w:tcPr>
            <w:tcW w:w="4269" w:type="dxa"/>
            <w:noWrap w:val="0"/>
            <w:vAlign w:val="center"/>
          </w:tcPr>
          <w:p w14:paraId="138634C7">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极为不可能</w:t>
            </w:r>
          </w:p>
        </w:tc>
      </w:tr>
      <w:tr w14:paraId="0BA4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69" w:type="dxa"/>
            <w:noWrap w:val="0"/>
            <w:vAlign w:val="center"/>
          </w:tcPr>
          <w:p w14:paraId="6AD80B66">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0.1</w:t>
            </w:r>
          </w:p>
        </w:tc>
        <w:tc>
          <w:tcPr>
            <w:tcW w:w="4269" w:type="dxa"/>
            <w:noWrap w:val="0"/>
            <w:vAlign w:val="center"/>
          </w:tcPr>
          <w:p w14:paraId="6C054411">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实际不可能</w:t>
            </w:r>
          </w:p>
        </w:tc>
      </w:tr>
    </w:tbl>
    <w:p w14:paraId="37FAC19C">
      <w:pPr>
        <w:spacing w:line="360" w:lineRule="auto"/>
        <w:ind w:left="-281" w:leftChars="-134" w:right="-197" w:rightChars="-94" w:firstLine="371" w:firstLineChars="177"/>
        <w:jc w:val="center"/>
        <w:rPr>
          <w:rFonts w:ascii="宋体" w:hAnsi="宋体"/>
          <w:color w:val="000000"/>
          <w:highlight w:val="none"/>
          <w:shd w:val="clear" w:color="auto" w:fill="FFFFFF"/>
        </w:rPr>
      </w:pPr>
    </w:p>
    <w:p w14:paraId="2AE161C1">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表2  人员暴露于危险环境中的频繁程度(E)分值</w:t>
      </w:r>
    </w:p>
    <w:tbl>
      <w:tblPr>
        <w:tblStyle w:val="21"/>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3"/>
      </w:tblGrid>
      <w:tr w14:paraId="19E6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253" w:type="dxa"/>
            <w:noWrap w:val="0"/>
            <w:vAlign w:val="center"/>
          </w:tcPr>
          <w:p w14:paraId="39B0637C">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分数值</w:t>
            </w:r>
          </w:p>
        </w:tc>
        <w:tc>
          <w:tcPr>
            <w:tcW w:w="4253" w:type="dxa"/>
            <w:noWrap w:val="0"/>
            <w:vAlign w:val="center"/>
          </w:tcPr>
          <w:p w14:paraId="303A34DF">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暴露于风险环境的频繁程度</w:t>
            </w:r>
          </w:p>
        </w:tc>
      </w:tr>
      <w:tr w14:paraId="09A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253" w:type="dxa"/>
            <w:noWrap w:val="0"/>
            <w:vAlign w:val="center"/>
          </w:tcPr>
          <w:p w14:paraId="639F3C12">
            <w:pPr>
              <w:ind w:left="-281" w:leftChars="-134" w:right="-197" w:rightChars="-94" w:firstLine="371" w:firstLineChars="177"/>
              <w:jc w:val="center"/>
              <w:rPr>
                <w:rFonts w:hint="eastAsia" w:ascii="宋体" w:hAnsi="宋体"/>
                <w:color w:val="000000"/>
                <w:highlight w:val="none"/>
                <w:shd w:val="clear" w:color="auto" w:fill="FFFFFF"/>
              </w:rPr>
            </w:pPr>
            <w:r>
              <w:rPr>
                <w:rFonts w:hint="eastAsia" w:ascii="宋体" w:hAnsi="宋体"/>
                <w:color w:val="000000"/>
                <w:highlight w:val="none"/>
                <w:shd w:val="clear" w:color="auto" w:fill="FFFFFF"/>
              </w:rPr>
              <w:t>10</w:t>
            </w:r>
          </w:p>
        </w:tc>
        <w:tc>
          <w:tcPr>
            <w:tcW w:w="4253" w:type="dxa"/>
            <w:noWrap w:val="0"/>
            <w:vAlign w:val="center"/>
          </w:tcPr>
          <w:p w14:paraId="5E1DA9B8">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连续暴露</w:t>
            </w:r>
          </w:p>
        </w:tc>
      </w:tr>
      <w:tr w14:paraId="5E08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253" w:type="dxa"/>
            <w:noWrap w:val="0"/>
            <w:vAlign w:val="center"/>
          </w:tcPr>
          <w:p w14:paraId="4A85295B">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6</w:t>
            </w:r>
          </w:p>
        </w:tc>
        <w:tc>
          <w:tcPr>
            <w:tcW w:w="4253" w:type="dxa"/>
            <w:noWrap w:val="0"/>
            <w:vAlign w:val="center"/>
          </w:tcPr>
          <w:p w14:paraId="2D1BFA29">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每天工作时间暴露</w:t>
            </w:r>
          </w:p>
        </w:tc>
      </w:tr>
      <w:tr w14:paraId="322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3" w:type="dxa"/>
            <w:noWrap w:val="0"/>
            <w:vAlign w:val="center"/>
          </w:tcPr>
          <w:p w14:paraId="5F8B53F1">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4253" w:type="dxa"/>
            <w:noWrap w:val="0"/>
            <w:vAlign w:val="center"/>
          </w:tcPr>
          <w:p w14:paraId="3A912B22">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每周一次，或偶然暴露</w:t>
            </w:r>
          </w:p>
        </w:tc>
      </w:tr>
      <w:tr w14:paraId="560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3" w:type="dxa"/>
            <w:noWrap w:val="0"/>
            <w:vAlign w:val="center"/>
          </w:tcPr>
          <w:p w14:paraId="03E8CAAF">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4253" w:type="dxa"/>
            <w:noWrap w:val="0"/>
            <w:vAlign w:val="center"/>
          </w:tcPr>
          <w:p w14:paraId="54E4A990">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每月一次暴露</w:t>
            </w:r>
          </w:p>
        </w:tc>
      </w:tr>
      <w:tr w14:paraId="0BB4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3" w:type="dxa"/>
            <w:noWrap w:val="0"/>
            <w:vAlign w:val="center"/>
          </w:tcPr>
          <w:p w14:paraId="52CE3027">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4253" w:type="dxa"/>
            <w:noWrap w:val="0"/>
            <w:vAlign w:val="center"/>
          </w:tcPr>
          <w:p w14:paraId="61294966">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每年几次暴露</w:t>
            </w:r>
          </w:p>
        </w:tc>
      </w:tr>
      <w:tr w14:paraId="0090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253" w:type="dxa"/>
            <w:noWrap w:val="0"/>
            <w:vAlign w:val="center"/>
          </w:tcPr>
          <w:p w14:paraId="005DBC73">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0.5</w:t>
            </w:r>
          </w:p>
        </w:tc>
        <w:tc>
          <w:tcPr>
            <w:tcW w:w="4253" w:type="dxa"/>
            <w:noWrap w:val="0"/>
            <w:vAlign w:val="center"/>
          </w:tcPr>
          <w:p w14:paraId="6CE273FB">
            <w:pPr>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非常罕见地暴露</w:t>
            </w:r>
          </w:p>
        </w:tc>
      </w:tr>
    </w:tbl>
    <w:p w14:paraId="268075C2">
      <w:pPr>
        <w:spacing w:line="360" w:lineRule="auto"/>
        <w:ind w:right="-197" w:rightChars="-94"/>
        <w:rPr>
          <w:rFonts w:hint="eastAsia" w:ascii="宋体" w:hAnsi="宋体"/>
          <w:color w:val="000000"/>
          <w:highlight w:val="none"/>
          <w:shd w:val="clear" w:color="auto" w:fill="FFFFFF"/>
        </w:rPr>
      </w:pPr>
    </w:p>
    <w:p w14:paraId="267CD5BF">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表3  事件发生的后果(C)的分值确定</w:t>
      </w:r>
    </w:p>
    <w:tbl>
      <w:tblPr>
        <w:tblStyle w:val="21"/>
        <w:tblW w:w="88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556"/>
      </w:tblGrid>
      <w:tr w14:paraId="2479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3" w:type="dxa"/>
            <w:noWrap w:val="0"/>
            <w:vAlign w:val="center"/>
          </w:tcPr>
          <w:p w14:paraId="5249A5E6">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分数值</w:t>
            </w:r>
          </w:p>
        </w:tc>
        <w:tc>
          <w:tcPr>
            <w:tcW w:w="7556" w:type="dxa"/>
            <w:noWrap w:val="0"/>
            <w:vAlign w:val="center"/>
          </w:tcPr>
          <w:p w14:paraId="041E62DD">
            <w:pPr>
              <w:spacing w:line="276"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发生事故产生的后果</w:t>
            </w:r>
          </w:p>
        </w:tc>
      </w:tr>
      <w:tr w14:paraId="0102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83" w:type="dxa"/>
            <w:noWrap w:val="0"/>
            <w:vAlign w:val="center"/>
          </w:tcPr>
          <w:p w14:paraId="2C62037E">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100</w:t>
            </w:r>
          </w:p>
        </w:tc>
        <w:tc>
          <w:tcPr>
            <w:tcW w:w="7556" w:type="dxa"/>
            <w:noWrap w:val="0"/>
            <w:vAlign w:val="center"/>
          </w:tcPr>
          <w:p w14:paraId="2F31FDB2">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10人以上死亡或50人以上重伤或直接经济损失5000万元以上</w:t>
            </w:r>
          </w:p>
        </w:tc>
      </w:tr>
      <w:tr w14:paraId="5EB2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3" w:type="dxa"/>
            <w:noWrap w:val="0"/>
            <w:vAlign w:val="center"/>
          </w:tcPr>
          <w:p w14:paraId="493452BE">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40</w:t>
            </w:r>
          </w:p>
        </w:tc>
        <w:tc>
          <w:tcPr>
            <w:tcW w:w="7556" w:type="dxa"/>
            <w:noWrap w:val="0"/>
            <w:vAlign w:val="center"/>
          </w:tcPr>
          <w:p w14:paraId="102AF2DE">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3-9人死亡或10-49人重伤或直接经济损失</w:t>
            </w:r>
            <w:r>
              <w:rPr>
                <w:rFonts w:hint="eastAsia" w:ascii="宋体" w:hAnsi="宋体"/>
                <w:color w:val="000000"/>
                <w:highlight w:val="none"/>
                <w:shd w:val="clear" w:color="auto" w:fill="FFFFFF"/>
                <w:lang w:eastAsia="zh-CN"/>
              </w:rPr>
              <w:t>1000万-5000万</w:t>
            </w:r>
            <w:r>
              <w:rPr>
                <w:rFonts w:hint="eastAsia" w:ascii="宋体" w:hAnsi="宋体"/>
                <w:color w:val="000000"/>
                <w:highlight w:val="none"/>
                <w:shd w:val="clear" w:color="auto" w:fill="FFFFFF"/>
              </w:rPr>
              <w:t>元</w:t>
            </w:r>
          </w:p>
        </w:tc>
      </w:tr>
      <w:tr w14:paraId="3E27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3" w:type="dxa"/>
            <w:noWrap w:val="0"/>
            <w:vAlign w:val="center"/>
          </w:tcPr>
          <w:p w14:paraId="2346DAAF">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15</w:t>
            </w:r>
          </w:p>
        </w:tc>
        <w:tc>
          <w:tcPr>
            <w:tcW w:w="7556" w:type="dxa"/>
            <w:noWrap w:val="0"/>
            <w:vAlign w:val="center"/>
          </w:tcPr>
          <w:p w14:paraId="15FDD7E6">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1-2人死亡或10人以下重伤或直接经济损失</w:t>
            </w:r>
            <w:r>
              <w:rPr>
                <w:rFonts w:hint="eastAsia" w:ascii="宋体" w:hAnsi="宋体"/>
                <w:color w:val="000000"/>
                <w:highlight w:val="none"/>
                <w:shd w:val="clear" w:color="auto" w:fill="FFFFFF"/>
                <w:lang w:eastAsia="zh-CN"/>
              </w:rPr>
              <w:t>100万-1000万</w:t>
            </w:r>
            <w:r>
              <w:rPr>
                <w:rFonts w:hint="eastAsia" w:ascii="宋体" w:hAnsi="宋体"/>
                <w:color w:val="000000"/>
                <w:highlight w:val="none"/>
                <w:shd w:val="clear" w:color="auto" w:fill="FFFFFF"/>
              </w:rPr>
              <w:t>元（不含1000万元）</w:t>
            </w:r>
          </w:p>
        </w:tc>
      </w:tr>
      <w:tr w14:paraId="25F0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83" w:type="dxa"/>
            <w:noWrap w:val="0"/>
            <w:vAlign w:val="center"/>
          </w:tcPr>
          <w:p w14:paraId="0422F0A3">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7</w:t>
            </w:r>
          </w:p>
        </w:tc>
        <w:tc>
          <w:tcPr>
            <w:tcW w:w="7556" w:type="dxa"/>
            <w:noWrap w:val="0"/>
            <w:vAlign w:val="center"/>
          </w:tcPr>
          <w:p w14:paraId="4197EC5A">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丧失劳动力、截肢、骨折、听力丧失、慢性病或直接经济损失10万元以上</w:t>
            </w:r>
          </w:p>
        </w:tc>
      </w:tr>
      <w:tr w14:paraId="1DDA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3" w:type="dxa"/>
            <w:noWrap w:val="0"/>
            <w:vAlign w:val="center"/>
          </w:tcPr>
          <w:p w14:paraId="509E362F">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7556" w:type="dxa"/>
            <w:noWrap w:val="0"/>
            <w:vAlign w:val="center"/>
          </w:tcPr>
          <w:p w14:paraId="7F76532B">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轻微受伤、间歇不舒服或直接经济损失1万元以上</w:t>
            </w:r>
          </w:p>
        </w:tc>
      </w:tr>
      <w:tr w14:paraId="2CA5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83" w:type="dxa"/>
            <w:noWrap w:val="0"/>
            <w:vAlign w:val="center"/>
          </w:tcPr>
          <w:p w14:paraId="29142579">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7556" w:type="dxa"/>
            <w:noWrap w:val="0"/>
            <w:vAlign w:val="center"/>
          </w:tcPr>
          <w:p w14:paraId="2A352949">
            <w:pPr>
              <w:spacing w:line="276" w:lineRule="auto"/>
              <w:ind w:left="-281" w:leftChars="-134" w:right="-197" w:rightChars="-94"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无伤亡，直接经济损失1万元以下</w:t>
            </w:r>
          </w:p>
        </w:tc>
      </w:tr>
    </w:tbl>
    <w:p w14:paraId="1D0F7429">
      <w:pPr>
        <w:spacing w:line="360" w:lineRule="auto"/>
        <w:ind w:left="-281" w:leftChars="-134" w:right="-197" w:rightChars="-94" w:firstLine="371" w:firstLineChars="177"/>
        <w:jc w:val="center"/>
        <w:rPr>
          <w:rFonts w:hint="eastAsia" w:ascii="宋体" w:hAnsi="宋体"/>
          <w:color w:val="000000"/>
          <w:highlight w:val="none"/>
          <w:shd w:val="clear" w:color="auto" w:fill="FFFFFF"/>
        </w:rPr>
      </w:pPr>
    </w:p>
    <w:p w14:paraId="4BE22264">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表4  风险等级评定标准（D）</w:t>
      </w:r>
    </w:p>
    <w:tbl>
      <w:tblPr>
        <w:tblStyle w:val="21"/>
        <w:tblW w:w="824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34"/>
        <w:gridCol w:w="2268"/>
        <w:gridCol w:w="3119"/>
      </w:tblGrid>
      <w:tr w14:paraId="0901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25" w:type="dxa"/>
            <w:noWrap w:val="0"/>
            <w:vAlign w:val="center"/>
          </w:tcPr>
          <w:p w14:paraId="67256F7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分数值</w:t>
            </w:r>
          </w:p>
        </w:tc>
        <w:tc>
          <w:tcPr>
            <w:tcW w:w="3402" w:type="dxa"/>
            <w:gridSpan w:val="2"/>
            <w:noWrap w:val="0"/>
            <w:vAlign w:val="center"/>
          </w:tcPr>
          <w:p w14:paraId="520E61F9">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风险等级</w:t>
            </w:r>
          </w:p>
        </w:tc>
        <w:tc>
          <w:tcPr>
            <w:tcW w:w="3119" w:type="dxa"/>
            <w:noWrap w:val="0"/>
            <w:vAlign w:val="center"/>
          </w:tcPr>
          <w:p w14:paraId="67723ED2">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预警颜色</w:t>
            </w:r>
          </w:p>
        </w:tc>
      </w:tr>
      <w:tr w14:paraId="2FD9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auto"/>
            <w:noWrap w:val="0"/>
            <w:vAlign w:val="center"/>
          </w:tcPr>
          <w:p w14:paraId="4F46602A">
            <w:pPr>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D＞320</w:t>
            </w:r>
          </w:p>
        </w:tc>
        <w:tc>
          <w:tcPr>
            <w:tcW w:w="1134" w:type="dxa"/>
            <w:shd w:val="clear" w:color="auto" w:fill="auto"/>
            <w:noWrap w:val="0"/>
            <w:vAlign w:val="center"/>
          </w:tcPr>
          <w:p w14:paraId="0F64B103">
            <w:pPr>
              <w:ind w:right="-197" w:rightChars="-94"/>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1级</w:t>
            </w:r>
          </w:p>
        </w:tc>
        <w:tc>
          <w:tcPr>
            <w:tcW w:w="2268" w:type="dxa"/>
            <w:shd w:val="clear" w:color="auto" w:fill="auto"/>
            <w:noWrap w:val="0"/>
            <w:vAlign w:val="center"/>
          </w:tcPr>
          <w:p w14:paraId="1F238C53">
            <w:pPr>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极其危险-重大风险</w:t>
            </w:r>
          </w:p>
        </w:tc>
        <w:tc>
          <w:tcPr>
            <w:tcW w:w="3119" w:type="dxa"/>
            <w:shd w:val="clear" w:color="auto" w:fill="FF0000"/>
            <w:noWrap w:val="0"/>
            <w:vAlign w:val="center"/>
          </w:tcPr>
          <w:p w14:paraId="2F4C2039">
            <w:pPr>
              <w:spacing w:line="360" w:lineRule="auto"/>
              <w:ind w:left="-281" w:leftChars="-134" w:right="-197" w:rightChars="-94" w:firstLine="371" w:firstLineChars="177"/>
              <w:jc w:val="center"/>
              <w:rPr>
                <w:rFonts w:ascii="宋体" w:hAnsi="宋体"/>
                <w:color w:val="000000"/>
                <w:highlight w:val="none"/>
                <w:shd w:val="clear" w:color="auto" w:fill="FFFFFF"/>
              </w:rPr>
            </w:pPr>
          </w:p>
        </w:tc>
      </w:tr>
      <w:tr w14:paraId="0694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auto"/>
            <w:noWrap w:val="0"/>
            <w:vAlign w:val="center"/>
          </w:tcPr>
          <w:p w14:paraId="1BA3DA96">
            <w:pPr>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160≤D&lt;320</w:t>
            </w:r>
          </w:p>
        </w:tc>
        <w:tc>
          <w:tcPr>
            <w:tcW w:w="1134" w:type="dxa"/>
            <w:shd w:val="clear" w:color="auto" w:fill="auto"/>
            <w:noWrap w:val="0"/>
            <w:vAlign w:val="center"/>
          </w:tcPr>
          <w:p w14:paraId="655F1E31">
            <w:pPr>
              <w:ind w:right="-197" w:rightChars="-94"/>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2级</w:t>
            </w:r>
          </w:p>
        </w:tc>
        <w:tc>
          <w:tcPr>
            <w:tcW w:w="2268" w:type="dxa"/>
            <w:shd w:val="clear" w:color="auto" w:fill="auto"/>
            <w:noWrap w:val="0"/>
            <w:vAlign w:val="center"/>
          </w:tcPr>
          <w:p w14:paraId="382A195F">
            <w:pPr>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高度危险-较大风险</w:t>
            </w:r>
          </w:p>
        </w:tc>
        <w:tc>
          <w:tcPr>
            <w:tcW w:w="3119" w:type="dxa"/>
            <w:shd w:val="clear" w:color="auto" w:fill="FF6100"/>
            <w:noWrap w:val="0"/>
            <w:vAlign w:val="center"/>
          </w:tcPr>
          <w:p w14:paraId="706D82A2">
            <w:pPr>
              <w:spacing w:line="360" w:lineRule="auto"/>
              <w:ind w:left="-281" w:leftChars="-134" w:right="-197" w:rightChars="-94" w:firstLine="371" w:firstLineChars="177"/>
              <w:jc w:val="center"/>
              <w:rPr>
                <w:rFonts w:ascii="宋体" w:hAnsi="宋体"/>
                <w:color w:val="000000"/>
                <w:highlight w:val="none"/>
                <w:shd w:val="clear" w:color="auto" w:fill="FFFFFF"/>
              </w:rPr>
            </w:pPr>
          </w:p>
        </w:tc>
      </w:tr>
      <w:tr w14:paraId="0D2C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auto"/>
            <w:noWrap w:val="0"/>
            <w:vAlign w:val="center"/>
          </w:tcPr>
          <w:p w14:paraId="33F84AAC">
            <w:pPr>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70≤D&lt;160</w:t>
            </w:r>
          </w:p>
        </w:tc>
        <w:tc>
          <w:tcPr>
            <w:tcW w:w="1134" w:type="dxa"/>
            <w:shd w:val="clear" w:color="auto" w:fill="auto"/>
            <w:noWrap w:val="0"/>
            <w:vAlign w:val="center"/>
          </w:tcPr>
          <w:p w14:paraId="1DE14194">
            <w:pPr>
              <w:ind w:right="-197" w:rightChars="-94"/>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3级</w:t>
            </w:r>
          </w:p>
        </w:tc>
        <w:tc>
          <w:tcPr>
            <w:tcW w:w="2268" w:type="dxa"/>
            <w:shd w:val="clear" w:color="auto" w:fill="auto"/>
            <w:noWrap w:val="0"/>
            <w:vAlign w:val="center"/>
          </w:tcPr>
          <w:p w14:paraId="51E10302">
            <w:pPr>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显著危险-一般风险</w:t>
            </w:r>
          </w:p>
        </w:tc>
        <w:tc>
          <w:tcPr>
            <w:tcW w:w="3119" w:type="dxa"/>
            <w:shd w:val="clear" w:color="auto" w:fill="FFFF00"/>
            <w:noWrap w:val="0"/>
            <w:vAlign w:val="center"/>
          </w:tcPr>
          <w:p w14:paraId="1DFA21A1">
            <w:pPr>
              <w:spacing w:line="360" w:lineRule="auto"/>
              <w:ind w:left="-281" w:leftChars="-134" w:right="-197" w:rightChars="-94" w:firstLine="371" w:firstLineChars="177"/>
              <w:jc w:val="center"/>
              <w:rPr>
                <w:rFonts w:ascii="宋体" w:hAnsi="宋体"/>
                <w:color w:val="000000"/>
                <w:highlight w:val="none"/>
                <w:shd w:val="clear" w:color="auto" w:fill="FFFFFF"/>
              </w:rPr>
            </w:pPr>
          </w:p>
        </w:tc>
      </w:tr>
      <w:tr w14:paraId="7D22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auto"/>
            <w:noWrap w:val="0"/>
            <w:vAlign w:val="center"/>
          </w:tcPr>
          <w:p w14:paraId="461B6908">
            <w:pPr>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D&lt;70</w:t>
            </w:r>
          </w:p>
        </w:tc>
        <w:tc>
          <w:tcPr>
            <w:tcW w:w="1134" w:type="dxa"/>
            <w:shd w:val="clear" w:color="auto" w:fill="auto"/>
            <w:noWrap w:val="0"/>
            <w:vAlign w:val="center"/>
          </w:tcPr>
          <w:p w14:paraId="63B8F76E">
            <w:pPr>
              <w:ind w:right="-197" w:rightChars="-94"/>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4级</w:t>
            </w:r>
          </w:p>
        </w:tc>
        <w:tc>
          <w:tcPr>
            <w:tcW w:w="2268" w:type="dxa"/>
            <w:shd w:val="clear" w:color="auto" w:fill="auto"/>
            <w:noWrap w:val="0"/>
            <w:vAlign w:val="center"/>
          </w:tcPr>
          <w:p w14:paraId="62CD6AB7">
            <w:pPr>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轻度危险-低风险</w:t>
            </w:r>
          </w:p>
        </w:tc>
        <w:tc>
          <w:tcPr>
            <w:tcW w:w="3119" w:type="dxa"/>
            <w:shd w:val="clear" w:color="auto" w:fill="0000FF"/>
            <w:noWrap w:val="0"/>
            <w:vAlign w:val="center"/>
          </w:tcPr>
          <w:p w14:paraId="00189B4B">
            <w:pPr>
              <w:spacing w:line="360" w:lineRule="auto"/>
              <w:ind w:left="-281" w:leftChars="-134" w:right="-197" w:rightChars="-94" w:firstLine="371" w:firstLineChars="177"/>
              <w:jc w:val="center"/>
              <w:rPr>
                <w:rFonts w:ascii="宋体" w:hAnsi="宋体"/>
                <w:color w:val="000000"/>
                <w:highlight w:val="none"/>
                <w:shd w:val="clear" w:color="auto" w:fill="FFFFFF"/>
              </w:rPr>
            </w:pPr>
          </w:p>
        </w:tc>
      </w:tr>
    </w:tbl>
    <w:p w14:paraId="7D827F2F">
      <w:pPr>
        <w:spacing w:before="240" w:beforeLines="100" w:line="360" w:lineRule="auto"/>
        <w:ind w:firstLine="105" w:firstLineChars="50"/>
        <w:rPr>
          <w:rFonts w:ascii="宋体" w:hAnsi="宋体" w:cs="仿宋_GB2312"/>
          <w:bCs/>
          <w:highlight w:val="none"/>
        </w:rPr>
      </w:pPr>
      <w:r>
        <w:rPr>
          <w:rFonts w:hint="eastAsia" w:ascii="宋体" w:hAnsi="宋体" w:cs="仿宋_GB2312"/>
          <w:bCs/>
          <w:highlight w:val="none"/>
        </w:rPr>
        <w:t>②风险矩阵法（L</w:t>
      </w:r>
      <w:r>
        <w:rPr>
          <w:rFonts w:hint="eastAsia" w:ascii="宋体" w:hAnsi="宋体" w:cs="仿宋_GB2312"/>
          <w:highlight w:val="none"/>
        </w:rPr>
        <w:t>×</w:t>
      </w:r>
      <w:r>
        <w:rPr>
          <w:rFonts w:hint="eastAsia" w:ascii="宋体" w:hAnsi="宋体" w:cs="仿宋_GB2312"/>
          <w:bCs/>
          <w:highlight w:val="none"/>
        </w:rPr>
        <w:t>S）</w:t>
      </w:r>
    </w:p>
    <w:p w14:paraId="486293DF">
      <w:pPr>
        <w:spacing w:line="360" w:lineRule="auto"/>
        <w:ind w:left="-281" w:leftChars="-134" w:right="-197" w:rightChars="-94" w:firstLine="371" w:firstLineChars="177"/>
        <w:rPr>
          <w:rFonts w:ascii="宋体" w:hAnsi="宋体" w:cs="仿宋_GB2312"/>
          <w:highlight w:val="none"/>
        </w:rPr>
      </w:pPr>
      <w:r>
        <w:rPr>
          <w:rFonts w:hint="eastAsia" w:ascii="宋体" w:hAnsi="宋体" w:cs="仿宋_GB2312"/>
          <w:highlight w:val="none"/>
        </w:rPr>
        <w:t xml:space="preserve">风险的数学表达式为：R＝L×S。其中R代表风险值；L代表发生伤害的可能性；S代表发生伤害后果的严重程度。 </w:t>
      </w:r>
    </w:p>
    <w:p w14:paraId="13C83F11">
      <w:pPr>
        <w:spacing w:line="360" w:lineRule="auto"/>
        <w:ind w:left="-281" w:leftChars="-134" w:right="-197" w:rightChars="-94" w:firstLine="371" w:firstLineChars="177"/>
        <w:rPr>
          <w:rFonts w:ascii="宋体" w:hAnsi="宋体" w:cs="仿宋_GB2312"/>
          <w:highlight w:val="none"/>
        </w:rPr>
      </w:pPr>
      <w:r>
        <w:rPr>
          <w:rFonts w:hint="eastAsia" w:ascii="宋体" w:hAnsi="宋体" w:cs="仿宋_GB2312"/>
          <w:highlight w:val="none"/>
        </w:rPr>
        <w:t>从偏差发生频率、安全检查、操作规程、员工胜任程度、控制措施五个方面对危害事件发生的可能性（L）进行评价取值，取五项得分的最高的分值作为其最终的L值，见L、S、R取值范围及风险判定标准见表5、表6、表7、表8。</w:t>
      </w:r>
    </w:p>
    <w:p w14:paraId="65E8DDE1">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表5  事件发生可能性L判定准则</w:t>
      </w:r>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222"/>
      </w:tblGrid>
      <w:tr w14:paraId="6A81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1" w:type="dxa"/>
            <w:noWrap w:val="0"/>
            <w:vAlign w:val="center"/>
          </w:tcPr>
          <w:p w14:paraId="2CEDC12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等级</w:t>
            </w:r>
          </w:p>
        </w:tc>
        <w:tc>
          <w:tcPr>
            <w:tcW w:w="8222" w:type="dxa"/>
            <w:noWrap w:val="0"/>
            <w:vAlign w:val="center"/>
          </w:tcPr>
          <w:p w14:paraId="4FC55692">
            <w:pPr>
              <w:spacing w:line="276"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标准</w:t>
            </w:r>
          </w:p>
        </w:tc>
      </w:tr>
      <w:tr w14:paraId="1CE2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1" w:type="dxa"/>
            <w:noWrap w:val="0"/>
            <w:vAlign w:val="center"/>
          </w:tcPr>
          <w:p w14:paraId="31BA48D3">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5</w:t>
            </w:r>
          </w:p>
        </w:tc>
        <w:tc>
          <w:tcPr>
            <w:tcW w:w="8222" w:type="dxa"/>
            <w:noWrap w:val="0"/>
            <w:vAlign w:val="center"/>
          </w:tcPr>
          <w:p w14:paraId="153E180D">
            <w:pPr>
              <w:spacing w:line="276" w:lineRule="auto"/>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在现场没有采取防范、监测、保护、控制措施，或危险有害因素的发生不能被发现（没有监测系统），或在正常情况下经常发生此类事故或事件。</w:t>
            </w:r>
          </w:p>
        </w:tc>
      </w:tr>
      <w:tr w14:paraId="301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noWrap w:val="0"/>
            <w:vAlign w:val="center"/>
          </w:tcPr>
          <w:p w14:paraId="4390B0E0">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8222" w:type="dxa"/>
            <w:noWrap w:val="0"/>
            <w:vAlign w:val="center"/>
          </w:tcPr>
          <w:p w14:paraId="08A66E4A">
            <w:pPr>
              <w:spacing w:line="276" w:lineRule="auto"/>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危险有害因素的发生不能被发现，现场没有</w:t>
            </w:r>
            <w:r>
              <w:rPr>
                <w:rFonts w:hint="eastAsia" w:ascii="宋体" w:hAnsi="宋体"/>
                <w:color w:val="000000"/>
                <w:highlight w:val="none"/>
                <w:shd w:val="clear" w:color="auto" w:fill="FFFFFF"/>
                <w:lang w:eastAsia="zh-CN"/>
              </w:rPr>
              <w:t>监测</w:t>
            </w:r>
            <w:r>
              <w:rPr>
                <w:rFonts w:hint="eastAsia" w:ascii="宋体" w:hAnsi="宋体"/>
                <w:color w:val="000000"/>
                <w:highlight w:val="none"/>
                <w:shd w:val="clear" w:color="auto" w:fill="FFFFFF"/>
              </w:rPr>
              <w:t>系统，也</w:t>
            </w:r>
            <w:r>
              <w:rPr>
                <w:rFonts w:hint="eastAsia" w:ascii="宋体" w:hAnsi="宋体"/>
                <w:color w:val="000000"/>
                <w:highlight w:val="none"/>
                <w:shd w:val="clear" w:color="auto" w:fill="FFFFFF"/>
                <w:lang w:eastAsia="zh-CN"/>
              </w:rPr>
              <w:t>未做</w:t>
            </w:r>
            <w:r>
              <w:rPr>
                <w:rFonts w:hint="eastAsia" w:ascii="宋体" w:hAnsi="宋体"/>
                <w:color w:val="000000"/>
                <w:highlight w:val="none"/>
                <w:shd w:val="clear" w:color="auto" w:fill="FFFFFF"/>
              </w:rPr>
              <w:t>过任何监测，或在现场有控制措施，但未有效执行或控制措施不当，或危险有害因素常发生或在预期情况下发生。</w:t>
            </w:r>
          </w:p>
        </w:tc>
      </w:tr>
      <w:tr w14:paraId="06FF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51" w:type="dxa"/>
            <w:noWrap w:val="0"/>
            <w:vAlign w:val="center"/>
          </w:tcPr>
          <w:p w14:paraId="4CC8FE3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8222" w:type="dxa"/>
            <w:noWrap w:val="0"/>
            <w:vAlign w:val="center"/>
          </w:tcPr>
          <w:p w14:paraId="7365101E">
            <w:pPr>
              <w:spacing w:line="276" w:lineRule="auto"/>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没有保护措施（如没有防护装置、没有个人防护用品等），或未严格按操作程序执行，或危险、有害因素的发生容易被发现（现场有监测系统），或曾经</w:t>
            </w:r>
            <w:r>
              <w:rPr>
                <w:rFonts w:hint="eastAsia" w:ascii="宋体" w:hAnsi="宋体"/>
                <w:color w:val="000000"/>
                <w:highlight w:val="none"/>
                <w:shd w:val="clear" w:color="auto" w:fill="FFFFFF"/>
                <w:lang w:eastAsia="zh-CN"/>
              </w:rPr>
              <w:t>做过</w:t>
            </w:r>
            <w:r>
              <w:rPr>
                <w:rFonts w:hint="eastAsia" w:ascii="宋体" w:hAnsi="宋体"/>
                <w:color w:val="000000"/>
                <w:highlight w:val="none"/>
                <w:shd w:val="clear" w:color="auto" w:fill="FFFFFF"/>
              </w:rPr>
              <w:t>监测，或过去曾经发生类似事故或事件，或在异常情况下发生过类似事故或事件。</w:t>
            </w:r>
          </w:p>
        </w:tc>
      </w:tr>
      <w:tr w14:paraId="40E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1" w:type="dxa"/>
            <w:noWrap w:val="0"/>
            <w:vAlign w:val="center"/>
          </w:tcPr>
          <w:p w14:paraId="173752C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8222" w:type="dxa"/>
            <w:noWrap w:val="0"/>
            <w:vAlign w:val="center"/>
          </w:tcPr>
          <w:p w14:paraId="153F4246">
            <w:pPr>
              <w:spacing w:line="276" w:lineRule="auto"/>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危险有害因素一旦发生能及时发现，并定期进行监测，或现场有防范控制措施，并</w:t>
            </w:r>
            <w:r>
              <w:rPr>
                <w:rFonts w:hint="eastAsia" w:ascii="宋体" w:hAnsi="宋体"/>
                <w:color w:val="000000"/>
                <w:highlight w:val="none"/>
                <w:shd w:val="clear" w:color="auto" w:fill="FFFFFF"/>
                <w:lang w:val="en-US" w:eastAsia="zh-CN"/>
              </w:rPr>
              <w:t>得到</w:t>
            </w:r>
            <w:r>
              <w:rPr>
                <w:rFonts w:hint="eastAsia" w:ascii="宋体" w:hAnsi="宋体"/>
                <w:color w:val="000000"/>
                <w:highlight w:val="none"/>
                <w:shd w:val="clear" w:color="auto" w:fill="FFFFFF"/>
              </w:rPr>
              <w:t>有效执行或过去偶尔发生危险事故或事件。操作规程齐全，但偶尔不执行。</w:t>
            </w:r>
          </w:p>
        </w:tc>
      </w:tr>
      <w:tr w14:paraId="45D6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1" w:type="dxa"/>
            <w:noWrap w:val="0"/>
            <w:vAlign w:val="center"/>
          </w:tcPr>
          <w:p w14:paraId="2C0CC3A8">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8222" w:type="dxa"/>
            <w:noWrap w:val="0"/>
            <w:vAlign w:val="center"/>
          </w:tcPr>
          <w:p w14:paraId="318E0412">
            <w:pPr>
              <w:spacing w:line="276" w:lineRule="auto"/>
              <w:ind w:firstLine="371" w:firstLineChars="177"/>
              <w:jc w:val="left"/>
              <w:rPr>
                <w:rFonts w:ascii="宋体" w:hAnsi="宋体"/>
                <w:color w:val="000000"/>
                <w:highlight w:val="none"/>
                <w:shd w:val="clear" w:color="auto" w:fill="FFFFFF"/>
              </w:rPr>
            </w:pPr>
            <w:r>
              <w:rPr>
                <w:rFonts w:hint="eastAsia" w:ascii="宋体" w:hAnsi="宋体"/>
                <w:color w:val="000000"/>
                <w:highlight w:val="none"/>
                <w:shd w:val="clear" w:color="auto" w:fill="FFFFFF"/>
              </w:rPr>
              <w:t>有充分、有效的防范、控制、监测、保护措施，或员工安全卫生意识相当高，严格执行操作规程，极不可能发生事故或事件。</w:t>
            </w:r>
          </w:p>
        </w:tc>
      </w:tr>
    </w:tbl>
    <w:p w14:paraId="3AC05735">
      <w:pPr>
        <w:spacing w:line="360" w:lineRule="auto"/>
        <w:ind w:left="-281" w:leftChars="-134" w:right="-197" w:rightChars="-94" w:firstLine="371" w:firstLineChars="177"/>
        <w:jc w:val="center"/>
        <w:rPr>
          <w:rFonts w:hint="eastAsia" w:ascii="宋体" w:hAnsi="宋体"/>
          <w:color w:val="000000"/>
          <w:highlight w:val="none"/>
          <w:shd w:val="clear" w:color="auto" w:fill="FFFFFF"/>
        </w:rPr>
      </w:pPr>
    </w:p>
    <w:p w14:paraId="79812E90">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表6  事件后果严重性S判定准则</w:t>
      </w:r>
    </w:p>
    <w:tbl>
      <w:tblPr>
        <w:tblStyle w:val="2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417"/>
        <w:gridCol w:w="992"/>
        <w:gridCol w:w="1277"/>
        <w:gridCol w:w="1559"/>
        <w:gridCol w:w="1560"/>
      </w:tblGrid>
      <w:tr w14:paraId="12E6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9" w:type="dxa"/>
            <w:noWrap w:val="0"/>
            <w:vAlign w:val="center"/>
          </w:tcPr>
          <w:p w14:paraId="26035775">
            <w:pPr>
              <w:rPr>
                <w:rFonts w:ascii="宋体" w:hAnsi="宋体"/>
                <w:highlight w:val="none"/>
              </w:rPr>
            </w:pPr>
            <w:r>
              <w:rPr>
                <w:rFonts w:hint="eastAsia" w:ascii="宋体" w:hAnsi="宋体"/>
                <w:highlight w:val="none"/>
              </w:rPr>
              <w:t>等级</w:t>
            </w:r>
          </w:p>
        </w:tc>
        <w:tc>
          <w:tcPr>
            <w:tcW w:w="1701" w:type="dxa"/>
            <w:noWrap w:val="0"/>
            <w:vAlign w:val="center"/>
          </w:tcPr>
          <w:p w14:paraId="169DCA34">
            <w:pPr>
              <w:rPr>
                <w:rFonts w:ascii="宋体" w:hAnsi="宋体"/>
                <w:highlight w:val="none"/>
              </w:rPr>
            </w:pPr>
            <w:r>
              <w:rPr>
                <w:rFonts w:hint="eastAsia" w:ascii="宋体" w:hAnsi="宋体"/>
                <w:highlight w:val="none"/>
              </w:rPr>
              <w:t>法律、法规</w:t>
            </w:r>
          </w:p>
          <w:p w14:paraId="45BA1CAC">
            <w:pPr>
              <w:rPr>
                <w:rFonts w:ascii="宋体" w:hAnsi="宋体"/>
                <w:highlight w:val="none"/>
              </w:rPr>
            </w:pPr>
            <w:r>
              <w:rPr>
                <w:rFonts w:hint="eastAsia" w:ascii="宋体" w:hAnsi="宋体"/>
                <w:highlight w:val="none"/>
              </w:rPr>
              <w:t>及其他要求</w:t>
            </w:r>
          </w:p>
        </w:tc>
        <w:tc>
          <w:tcPr>
            <w:tcW w:w="1417" w:type="dxa"/>
            <w:noWrap w:val="0"/>
            <w:vAlign w:val="center"/>
          </w:tcPr>
          <w:p w14:paraId="505983E5">
            <w:pPr>
              <w:rPr>
                <w:rFonts w:ascii="宋体" w:hAnsi="宋体"/>
                <w:highlight w:val="none"/>
              </w:rPr>
            </w:pPr>
            <w:r>
              <w:rPr>
                <w:rFonts w:hint="eastAsia" w:ascii="宋体" w:hAnsi="宋体"/>
                <w:highlight w:val="none"/>
              </w:rPr>
              <w:t>人</w:t>
            </w:r>
          </w:p>
        </w:tc>
        <w:tc>
          <w:tcPr>
            <w:tcW w:w="992" w:type="dxa"/>
            <w:noWrap w:val="0"/>
            <w:vAlign w:val="center"/>
          </w:tcPr>
          <w:p w14:paraId="05DC6960">
            <w:pPr>
              <w:rPr>
                <w:rFonts w:ascii="宋体" w:hAnsi="宋体"/>
                <w:highlight w:val="none"/>
              </w:rPr>
            </w:pPr>
            <w:r>
              <w:rPr>
                <w:rFonts w:hint="eastAsia" w:ascii="宋体" w:hAnsi="宋体"/>
                <w:highlight w:val="none"/>
              </w:rPr>
              <w:t>财产</w:t>
            </w:r>
          </w:p>
          <w:p w14:paraId="7411C45C">
            <w:pPr>
              <w:rPr>
                <w:rFonts w:ascii="宋体" w:hAnsi="宋体"/>
                <w:highlight w:val="none"/>
              </w:rPr>
            </w:pPr>
            <w:r>
              <w:rPr>
                <w:rFonts w:hint="eastAsia" w:ascii="宋体" w:hAnsi="宋体"/>
                <w:highlight w:val="none"/>
              </w:rPr>
              <w:t>损失</w:t>
            </w:r>
          </w:p>
          <w:p w14:paraId="5347C0C7">
            <w:pPr>
              <w:rPr>
                <w:rFonts w:ascii="宋体" w:hAnsi="宋体"/>
                <w:highlight w:val="none"/>
              </w:rPr>
            </w:pPr>
            <w:r>
              <w:rPr>
                <w:rFonts w:hint="eastAsia" w:ascii="宋体" w:hAnsi="宋体"/>
                <w:highlight w:val="none"/>
              </w:rPr>
              <w:t>(万元)</w:t>
            </w:r>
          </w:p>
        </w:tc>
        <w:tc>
          <w:tcPr>
            <w:tcW w:w="1277" w:type="dxa"/>
            <w:noWrap w:val="0"/>
            <w:vAlign w:val="center"/>
          </w:tcPr>
          <w:p w14:paraId="623F328A">
            <w:pPr>
              <w:rPr>
                <w:rFonts w:ascii="宋体" w:hAnsi="宋体"/>
                <w:highlight w:val="none"/>
              </w:rPr>
            </w:pPr>
            <w:r>
              <w:rPr>
                <w:rFonts w:hint="eastAsia" w:ascii="宋体" w:hAnsi="宋体"/>
                <w:highlight w:val="none"/>
              </w:rPr>
              <w:t>环境影响</w:t>
            </w:r>
          </w:p>
        </w:tc>
        <w:tc>
          <w:tcPr>
            <w:tcW w:w="1559" w:type="dxa"/>
            <w:noWrap w:val="0"/>
            <w:vAlign w:val="center"/>
          </w:tcPr>
          <w:p w14:paraId="5BA24600">
            <w:pPr>
              <w:rPr>
                <w:rFonts w:ascii="宋体" w:hAnsi="宋体"/>
                <w:highlight w:val="none"/>
              </w:rPr>
            </w:pPr>
            <w:r>
              <w:rPr>
                <w:rFonts w:hint="eastAsia" w:ascii="宋体" w:hAnsi="宋体"/>
                <w:highlight w:val="none"/>
              </w:rPr>
              <w:t>停工</w:t>
            </w:r>
          </w:p>
        </w:tc>
        <w:tc>
          <w:tcPr>
            <w:tcW w:w="1560" w:type="dxa"/>
            <w:noWrap w:val="0"/>
            <w:vAlign w:val="center"/>
          </w:tcPr>
          <w:p w14:paraId="01F51B76">
            <w:pPr>
              <w:rPr>
                <w:rFonts w:ascii="宋体" w:hAnsi="宋体"/>
                <w:highlight w:val="none"/>
              </w:rPr>
            </w:pPr>
            <w:r>
              <w:rPr>
                <w:rFonts w:hint="eastAsia" w:ascii="宋体" w:hAnsi="宋体"/>
                <w:highlight w:val="none"/>
              </w:rPr>
              <w:t>公司形象</w:t>
            </w:r>
          </w:p>
        </w:tc>
      </w:tr>
      <w:tr w14:paraId="0BA2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noWrap w:val="0"/>
            <w:vAlign w:val="center"/>
          </w:tcPr>
          <w:p w14:paraId="01F7B0A2">
            <w:pPr>
              <w:jc w:val="center"/>
              <w:rPr>
                <w:rFonts w:ascii="宋体" w:hAnsi="宋体"/>
                <w:highlight w:val="none"/>
              </w:rPr>
            </w:pPr>
            <w:r>
              <w:rPr>
                <w:rFonts w:hint="eastAsia" w:ascii="宋体" w:hAnsi="宋体"/>
                <w:highlight w:val="none"/>
              </w:rPr>
              <w:t>5</w:t>
            </w:r>
          </w:p>
        </w:tc>
        <w:tc>
          <w:tcPr>
            <w:tcW w:w="1701" w:type="dxa"/>
            <w:noWrap w:val="0"/>
            <w:vAlign w:val="center"/>
          </w:tcPr>
          <w:p w14:paraId="2E54D3A1">
            <w:pPr>
              <w:rPr>
                <w:rFonts w:ascii="宋体" w:hAnsi="宋体"/>
                <w:highlight w:val="none"/>
              </w:rPr>
            </w:pPr>
            <w:r>
              <w:rPr>
                <w:rFonts w:hint="eastAsia" w:ascii="宋体" w:hAnsi="宋体"/>
                <w:highlight w:val="none"/>
              </w:rPr>
              <w:t>违反法律、</w:t>
            </w:r>
          </w:p>
          <w:p w14:paraId="6DF44801">
            <w:pPr>
              <w:rPr>
                <w:rFonts w:ascii="宋体" w:hAnsi="宋体"/>
                <w:highlight w:val="none"/>
              </w:rPr>
            </w:pPr>
            <w:r>
              <w:rPr>
                <w:rFonts w:hint="eastAsia" w:ascii="宋体" w:hAnsi="宋体"/>
                <w:highlight w:val="none"/>
              </w:rPr>
              <w:t>法规、标准</w:t>
            </w:r>
          </w:p>
        </w:tc>
        <w:tc>
          <w:tcPr>
            <w:tcW w:w="1417" w:type="dxa"/>
            <w:noWrap w:val="0"/>
            <w:vAlign w:val="center"/>
          </w:tcPr>
          <w:p w14:paraId="6C2A9BBC">
            <w:pPr>
              <w:rPr>
                <w:rFonts w:ascii="宋体" w:hAnsi="宋体"/>
                <w:highlight w:val="none"/>
              </w:rPr>
            </w:pPr>
            <w:r>
              <w:rPr>
                <w:rFonts w:hint="eastAsia" w:ascii="宋体" w:hAnsi="宋体"/>
                <w:highlight w:val="none"/>
              </w:rPr>
              <w:t>死亡</w:t>
            </w:r>
          </w:p>
        </w:tc>
        <w:tc>
          <w:tcPr>
            <w:tcW w:w="992" w:type="dxa"/>
            <w:noWrap w:val="0"/>
            <w:vAlign w:val="center"/>
          </w:tcPr>
          <w:p w14:paraId="5B387FC0">
            <w:pPr>
              <w:rPr>
                <w:rFonts w:ascii="宋体" w:hAnsi="宋体"/>
                <w:highlight w:val="none"/>
              </w:rPr>
            </w:pPr>
            <w:r>
              <w:rPr>
                <w:rFonts w:hint="eastAsia" w:ascii="宋体" w:hAnsi="宋体"/>
                <w:highlight w:val="none"/>
              </w:rPr>
              <w:t>＞100</w:t>
            </w:r>
          </w:p>
        </w:tc>
        <w:tc>
          <w:tcPr>
            <w:tcW w:w="1277" w:type="dxa"/>
            <w:noWrap w:val="0"/>
            <w:vAlign w:val="center"/>
          </w:tcPr>
          <w:p w14:paraId="3B4751FB">
            <w:pPr>
              <w:rPr>
                <w:rFonts w:ascii="宋体" w:hAnsi="宋体"/>
                <w:highlight w:val="none"/>
              </w:rPr>
            </w:pPr>
            <w:r>
              <w:rPr>
                <w:rFonts w:hint="eastAsia" w:ascii="宋体" w:hAnsi="宋体"/>
                <w:highlight w:val="none"/>
              </w:rPr>
              <w:t>大规模</w:t>
            </w:r>
          </w:p>
          <w:p w14:paraId="2F6A0AB1">
            <w:pPr>
              <w:rPr>
                <w:rFonts w:ascii="宋体" w:hAnsi="宋体"/>
                <w:highlight w:val="none"/>
              </w:rPr>
            </w:pPr>
            <w:r>
              <w:rPr>
                <w:rFonts w:hint="eastAsia" w:ascii="宋体" w:hAnsi="宋体"/>
                <w:highlight w:val="none"/>
              </w:rPr>
              <w:t>公司外</w:t>
            </w:r>
          </w:p>
        </w:tc>
        <w:tc>
          <w:tcPr>
            <w:tcW w:w="1559" w:type="dxa"/>
            <w:noWrap w:val="0"/>
            <w:vAlign w:val="center"/>
          </w:tcPr>
          <w:p w14:paraId="1B63B266">
            <w:pPr>
              <w:rPr>
                <w:rFonts w:ascii="宋体" w:hAnsi="宋体"/>
                <w:highlight w:val="none"/>
              </w:rPr>
            </w:pPr>
            <w:r>
              <w:rPr>
                <w:rFonts w:hint="eastAsia" w:ascii="宋体" w:hAnsi="宋体"/>
                <w:highlight w:val="none"/>
              </w:rPr>
              <w:t>部分装置</w:t>
            </w:r>
          </w:p>
          <w:p w14:paraId="0F6EC516">
            <w:pPr>
              <w:rPr>
                <w:rFonts w:ascii="宋体" w:hAnsi="宋体"/>
                <w:highlight w:val="none"/>
              </w:rPr>
            </w:pPr>
            <w:r>
              <w:rPr>
                <w:rFonts w:hint="eastAsia" w:ascii="宋体" w:hAnsi="宋体"/>
                <w:highlight w:val="none"/>
              </w:rPr>
              <w:t>（大于2套）</w:t>
            </w:r>
          </w:p>
          <w:p w14:paraId="5221952C">
            <w:pPr>
              <w:rPr>
                <w:rFonts w:ascii="宋体" w:hAnsi="宋体"/>
                <w:highlight w:val="none"/>
              </w:rPr>
            </w:pPr>
            <w:r>
              <w:rPr>
                <w:rFonts w:hint="eastAsia" w:ascii="宋体" w:hAnsi="宋体"/>
                <w:highlight w:val="none"/>
              </w:rPr>
              <w:t>或设备停工</w:t>
            </w:r>
          </w:p>
        </w:tc>
        <w:tc>
          <w:tcPr>
            <w:tcW w:w="1560" w:type="dxa"/>
            <w:noWrap w:val="0"/>
            <w:vAlign w:val="center"/>
          </w:tcPr>
          <w:p w14:paraId="3C5D45B9">
            <w:pPr>
              <w:rPr>
                <w:rFonts w:ascii="宋体" w:hAnsi="宋体"/>
                <w:highlight w:val="none"/>
              </w:rPr>
            </w:pPr>
            <w:r>
              <w:rPr>
                <w:rFonts w:hint="eastAsia" w:ascii="宋体" w:hAnsi="宋体"/>
                <w:highlight w:val="none"/>
              </w:rPr>
              <w:t>重大国际</w:t>
            </w:r>
          </w:p>
          <w:p w14:paraId="73CB940D">
            <w:pPr>
              <w:rPr>
                <w:rFonts w:ascii="宋体" w:hAnsi="宋体"/>
                <w:highlight w:val="none"/>
              </w:rPr>
            </w:pPr>
            <w:r>
              <w:rPr>
                <w:rFonts w:hint="eastAsia" w:ascii="宋体" w:hAnsi="宋体"/>
                <w:highlight w:val="none"/>
              </w:rPr>
              <w:t>国内影响</w:t>
            </w:r>
          </w:p>
        </w:tc>
      </w:tr>
      <w:tr w14:paraId="7EB9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noWrap w:val="0"/>
            <w:vAlign w:val="center"/>
          </w:tcPr>
          <w:p w14:paraId="1D4CF9AB">
            <w:pPr>
              <w:jc w:val="center"/>
              <w:rPr>
                <w:rFonts w:ascii="宋体" w:hAnsi="宋体"/>
                <w:highlight w:val="none"/>
              </w:rPr>
            </w:pPr>
            <w:r>
              <w:rPr>
                <w:rFonts w:hint="eastAsia" w:ascii="宋体" w:hAnsi="宋体"/>
                <w:highlight w:val="none"/>
              </w:rPr>
              <w:t>4</w:t>
            </w:r>
          </w:p>
        </w:tc>
        <w:tc>
          <w:tcPr>
            <w:tcW w:w="1701" w:type="dxa"/>
            <w:noWrap w:val="0"/>
            <w:vAlign w:val="center"/>
          </w:tcPr>
          <w:p w14:paraId="3D7427F7">
            <w:pPr>
              <w:rPr>
                <w:rFonts w:hint="eastAsia" w:ascii="宋体" w:hAnsi="宋体"/>
                <w:highlight w:val="none"/>
              </w:rPr>
            </w:pPr>
            <w:r>
              <w:rPr>
                <w:rFonts w:hint="eastAsia" w:ascii="宋体" w:hAnsi="宋体"/>
                <w:highlight w:val="none"/>
              </w:rPr>
              <w:t>潜在违反法规、</w:t>
            </w:r>
          </w:p>
          <w:p w14:paraId="0D99F652">
            <w:pPr>
              <w:rPr>
                <w:rFonts w:ascii="宋体" w:hAnsi="宋体"/>
                <w:highlight w:val="none"/>
              </w:rPr>
            </w:pPr>
            <w:r>
              <w:rPr>
                <w:rFonts w:hint="eastAsia" w:ascii="宋体" w:hAnsi="宋体"/>
                <w:highlight w:val="none"/>
              </w:rPr>
              <w:t>标准</w:t>
            </w:r>
          </w:p>
        </w:tc>
        <w:tc>
          <w:tcPr>
            <w:tcW w:w="1417" w:type="dxa"/>
            <w:noWrap w:val="0"/>
            <w:vAlign w:val="center"/>
          </w:tcPr>
          <w:p w14:paraId="30B0D760">
            <w:pPr>
              <w:rPr>
                <w:rFonts w:ascii="宋体" w:hAnsi="宋体"/>
                <w:highlight w:val="none"/>
              </w:rPr>
            </w:pPr>
            <w:r>
              <w:rPr>
                <w:rFonts w:hint="eastAsia" w:ascii="宋体" w:hAnsi="宋体"/>
                <w:highlight w:val="none"/>
              </w:rPr>
              <w:t>丧失</w:t>
            </w:r>
          </w:p>
          <w:p w14:paraId="233B3278">
            <w:pPr>
              <w:rPr>
                <w:rFonts w:ascii="宋体" w:hAnsi="宋体"/>
                <w:highlight w:val="none"/>
              </w:rPr>
            </w:pPr>
            <w:r>
              <w:rPr>
                <w:rFonts w:hint="eastAsia" w:ascii="宋体" w:hAnsi="宋体"/>
                <w:highlight w:val="none"/>
              </w:rPr>
              <w:t>劳动能力</w:t>
            </w:r>
          </w:p>
        </w:tc>
        <w:tc>
          <w:tcPr>
            <w:tcW w:w="992" w:type="dxa"/>
            <w:noWrap w:val="0"/>
            <w:vAlign w:val="center"/>
          </w:tcPr>
          <w:p w14:paraId="3FE2C30B">
            <w:pPr>
              <w:rPr>
                <w:rFonts w:ascii="宋体" w:hAnsi="宋体"/>
                <w:highlight w:val="none"/>
              </w:rPr>
            </w:pPr>
            <w:r>
              <w:rPr>
                <w:rFonts w:hint="eastAsia" w:ascii="宋体" w:hAnsi="宋体"/>
                <w:highlight w:val="none"/>
              </w:rPr>
              <w:t>＞50</w:t>
            </w:r>
          </w:p>
        </w:tc>
        <w:tc>
          <w:tcPr>
            <w:tcW w:w="1277" w:type="dxa"/>
            <w:noWrap w:val="0"/>
            <w:vAlign w:val="center"/>
          </w:tcPr>
          <w:p w14:paraId="6C6A0312">
            <w:pPr>
              <w:rPr>
                <w:rFonts w:ascii="宋体" w:hAnsi="宋体"/>
                <w:highlight w:val="none"/>
              </w:rPr>
            </w:pPr>
            <w:r>
              <w:rPr>
                <w:rFonts w:hint="eastAsia" w:ascii="宋体" w:hAnsi="宋体"/>
                <w:highlight w:val="none"/>
              </w:rPr>
              <w:t>公司内</w:t>
            </w:r>
          </w:p>
          <w:p w14:paraId="56F805FF">
            <w:pPr>
              <w:rPr>
                <w:rFonts w:ascii="宋体" w:hAnsi="宋体"/>
                <w:highlight w:val="none"/>
              </w:rPr>
            </w:pPr>
            <w:r>
              <w:rPr>
                <w:rFonts w:hint="eastAsia" w:ascii="宋体" w:hAnsi="宋体"/>
                <w:highlight w:val="none"/>
              </w:rPr>
              <w:t>严重污染</w:t>
            </w:r>
          </w:p>
        </w:tc>
        <w:tc>
          <w:tcPr>
            <w:tcW w:w="1559" w:type="dxa"/>
            <w:noWrap w:val="0"/>
            <w:vAlign w:val="center"/>
          </w:tcPr>
          <w:p w14:paraId="34CEB4ED">
            <w:pPr>
              <w:rPr>
                <w:rFonts w:ascii="宋体" w:hAnsi="宋体"/>
                <w:highlight w:val="none"/>
              </w:rPr>
            </w:pPr>
            <w:r>
              <w:rPr>
                <w:rFonts w:hint="eastAsia" w:ascii="宋体" w:hAnsi="宋体"/>
                <w:highlight w:val="none"/>
              </w:rPr>
              <w:t>2套装置停工</w:t>
            </w:r>
          </w:p>
          <w:p w14:paraId="35FEB0DB">
            <w:pPr>
              <w:rPr>
                <w:rFonts w:ascii="宋体" w:hAnsi="宋体"/>
                <w:highlight w:val="none"/>
              </w:rPr>
            </w:pPr>
            <w:r>
              <w:rPr>
                <w:rFonts w:hint="eastAsia" w:ascii="宋体" w:hAnsi="宋体"/>
                <w:highlight w:val="none"/>
              </w:rPr>
              <w:t>或设备停工</w:t>
            </w:r>
          </w:p>
        </w:tc>
        <w:tc>
          <w:tcPr>
            <w:tcW w:w="1560" w:type="dxa"/>
            <w:noWrap w:val="0"/>
            <w:vAlign w:val="center"/>
          </w:tcPr>
          <w:p w14:paraId="01116D4E">
            <w:pPr>
              <w:rPr>
                <w:rFonts w:ascii="宋体" w:hAnsi="宋体"/>
                <w:highlight w:val="none"/>
              </w:rPr>
            </w:pPr>
            <w:r>
              <w:rPr>
                <w:rFonts w:hint="eastAsia" w:ascii="宋体" w:hAnsi="宋体"/>
                <w:highlight w:val="none"/>
              </w:rPr>
              <w:t>行业内、</w:t>
            </w:r>
          </w:p>
          <w:p w14:paraId="0DCCD191">
            <w:pPr>
              <w:rPr>
                <w:rFonts w:ascii="宋体" w:hAnsi="宋体"/>
                <w:highlight w:val="none"/>
              </w:rPr>
            </w:pPr>
            <w:r>
              <w:rPr>
                <w:rFonts w:hint="eastAsia" w:ascii="宋体" w:hAnsi="宋体"/>
                <w:highlight w:val="none"/>
              </w:rPr>
              <w:t>省内影响</w:t>
            </w:r>
          </w:p>
        </w:tc>
      </w:tr>
      <w:tr w14:paraId="458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noWrap w:val="0"/>
            <w:vAlign w:val="center"/>
          </w:tcPr>
          <w:p w14:paraId="4D704225">
            <w:pPr>
              <w:jc w:val="center"/>
              <w:rPr>
                <w:rFonts w:ascii="宋体" w:hAnsi="宋体"/>
                <w:highlight w:val="none"/>
              </w:rPr>
            </w:pPr>
            <w:r>
              <w:rPr>
                <w:rFonts w:hint="eastAsia" w:ascii="宋体" w:hAnsi="宋体"/>
                <w:highlight w:val="none"/>
              </w:rPr>
              <w:t>3</w:t>
            </w:r>
          </w:p>
        </w:tc>
        <w:tc>
          <w:tcPr>
            <w:tcW w:w="1701" w:type="dxa"/>
            <w:noWrap w:val="0"/>
            <w:vAlign w:val="center"/>
          </w:tcPr>
          <w:p w14:paraId="47490257">
            <w:pPr>
              <w:rPr>
                <w:rFonts w:ascii="宋体" w:hAnsi="宋体"/>
                <w:highlight w:val="none"/>
              </w:rPr>
            </w:pPr>
            <w:r>
              <w:rPr>
                <w:rFonts w:hint="eastAsia" w:ascii="宋体" w:hAnsi="宋体"/>
                <w:highlight w:val="none"/>
              </w:rPr>
              <w:t>不符合上级公司或行业的安全方针、制度、规定等</w:t>
            </w:r>
          </w:p>
        </w:tc>
        <w:tc>
          <w:tcPr>
            <w:tcW w:w="1417" w:type="dxa"/>
            <w:noWrap w:val="0"/>
            <w:vAlign w:val="center"/>
          </w:tcPr>
          <w:p w14:paraId="41DFBAF1">
            <w:pPr>
              <w:rPr>
                <w:rFonts w:ascii="宋体" w:hAnsi="宋体"/>
                <w:highlight w:val="none"/>
              </w:rPr>
            </w:pPr>
            <w:r>
              <w:rPr>
                <w:rFonts w:hint="eastAsia" w:ascii="宋体" w:hAnsi="宋体"/>
                <w:highlight w:val="none"/>
              </w:rPr>
              <w:t>截肢、骨折</w:t>
            </w:r>
          </w:p>
          <w:p w14:paraId="4919CC87">
            <w:pPr>
              <w:rPr>
                <w:rFonts w:ascii="宋体" w:hAnsi="宋体"/>
                <w:highlight w:val="none"/>
              </w:rPr>
            </w:pPr>
            <w:r>
              <w:rPr>
                <w:rFonts w:hint="eastAsia" w:ascii="宋体" w:hAnsi="宋体"/>
                <w:highlight w:val="none"/>
              </w:rPr>
              <w:t>、听力丧失、慢性病</w:t>
            </w:r>
          </w:p>
        </w:tc>
        <w:tc>
          <w:tcPr>
            <w:tcW w:w="992" w:type="dxa"/>
            <w:noWrap w:val="0"/>
            <w:vAlign w:val="center"/>
          </w:tcPr>
          <w:p w14:paraId="137B0225">
            <w:pPr>
              <w:rPr>
                <w:rFonts w:ascii="宋体" w:hAnsi="宋体"/>
                <w:highlight w:val="none"/>
              </w:rPr>
            </w:pPr>
            <w:r>
              <w:rPr>
                <w:rFonts w:hint="eastAsia" w:ascii="宋体" w:hAnsi="宋体"/>
                <w:highlight w:val="none"/>
              </w:rPr>
              <w:t>＞1</w:t>
            </w:r>
          </w:p>
        </w:tc>
        <w:tc>
          <w:tcPr>
            <w:tcW w:w="1277" w:type="dxa"/>
            <w:noWrap w:val="0"/>
            <w:vAlign w:val="center"/>
          </w:tcPr>
          <w:p w14:paraId="2B6A5D88">
            <w:pPr>
              <w:rPr>
                <w:rFonts w:ascii="宋体" w:hAnsi="宋体"/>
                <w:highlight w:val="none"/>
              </w:rPr>
            </w:pPr>
            <w:r>
              <w:rPr>
                <w:rFonts w:hint="eastAsia" w:ascii="宋体" w:hAnsi="宋体"/>
                <w:highlight w:val="none"/>
              </w:rPr>
              <w:t>公司范围内</w:t>
            </w:r>
          </w:p>
          <w:p w14:paraId="7062879A">
            <w:pPr>
              <w:rPr>
                <w:rFonts w:ascii="宋体" w:hAnsi="宋体"/>
                <w:highlight w:val="none"/>
              </w:rPr>
            </w:pPr>
            <w:r>
              <w:rPr>
                <w:rFonts w:hint="eastAsia" w:ascii="宋体" w:hAnsi="宋体"/>
                <w:highlight w:val="none"/>
              </w:rPr>
              <w:t>中等污染</w:t>
            </w:r>
          </w:p>
        </w:tc>
        <w:tc>
          <w:tcPr>
            <w:tcW w:w="1559" w:type="dxa"/>
            <w:noWrap w:val="0"/>
            <w:vAlign w:val="center"/>
          </w:tcPr>
          <w:p w14:paraId="09F7A52D">
            <w:pPr>
              <w:rPr>
                <w:rFonts w:ascii="宋体" w:hAnsi="宋体"/>
                <w:highlight w:val="none"/>
              </w:rPr>
            </w:pPr>
            <w:r>
              <w:rPr>
                <w:rFonts w:hint="eastAsia" w:ascii="宋体" w:hAnsi="宋体"/>
                <w:highlight w:val="none"/>
              </w:rPr>
              <w:t>一套装置</w:t>
            </w:r>
          </w:p>
          <w:p w14:paraId="02A1FE5B">
            <w:pPr>
              <w:rPr>
                <w:rFonts w:ascii="宋体" w:hAnsi="宋体"/>
                <w:highlight w:val="none"/>
              </w:rPr>
            </w:pPr>
            <w:r>
              <w:rPr>
                <w:rFonts w:hint="eastAsia" w:ascii="宋体" w:hAnsi="宋体"/>
                <w:highlight w:val="none"/>
              </w:rPr>
              <w:t>或设备停工</w:t>
            </w:r>
          </w:p>
        </w:tc>
        <w:tc>
          <w:tcPr>
            <w:tcW w:w="1560" w:type="dxa"/>
            <w:noWrap w:val="0"/>
            <w:vAlign w:val="center"/>
          </w:tcPr>
          <w:p w14:paraId="556B2879">
            <w:pPr>
              <w:rPr>
                <w:rFonts w:ascii="宋体" w:hAnsi="宋体"/>
                <w:highlight w:val="none"/>
              </w:rPr>
            </w:pPr>
            <w:r>
              <w:rPr>
                <w:rFonts w:hint="eastAsia" w:ascii="宋体" w:hAnsi="宋体"/>
                <w:highlight w:val="none"/>
              </w:rPr>
              <w:t>地区影响</w:t>
            </w:r>
          </w:p>
        </w:tc>
      </w:tr>
      <w:tr w14:paraId="2995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14:paraId="552283A2">
            <w:pPr>
              <w:jc w:val="center"/>
              <w:rPr>
                <w:rFonts w:ascii="宋体" w:hAnsi="宋体"/>
                <w:highlight w:val="none"/>
              </w:rPr>
            </w:pPr>
            <w:r>
              <w:rPr>
                <w:rFonts w:hint="eastAsia" w:ascii="宋体" w:hAnsi="宋体"/>
                <w:highlight w:val="none"/>
              </w:rPr>
              <w:t>2</w:t>
            </w:r>
          </w:p>
        </w:tc>
        <w:tc>
          <w:tcPr>
            <w:tcW w:w="1701" w:type="dxa"/>
            <w:noWrap w:val="0"/>
            <w:vAlign w:val="center"/>
          </w:tcPr>
          <w:p w14:paraId="409AE8A5">
            <w:pPr>
              <w:rPr>
                <w:rFonts w:ascii="宋体" w:hAnsi="宋体"/>
                <w:highlight w:val="none"/>
              </w:rPr>
            </w:pPr>
            <w:r>
              <w:rPr>
                <w:rFonts w:hint="eastAsia" w:ascii="宋体" w:hAnsi="宋体"/>
                <w:highlight w:val="none"/>
              </w:rPr>
              <w:t>不符合公司的安全操作规程</w:t>
            </w:r>
          </w:p>
        </w:tc>
        <w:tc>
          <w:tcPr>
            <w:tcW w:w="1417" w:type="dxa"/>
            <w:noWrap w:val="0"/>
            <w:vAlign w:val="center"/>
          </w:tcPr>
          <w:p w14:paraId="4663CD35">
            <w:pPr>
              <w:rPr>
                <w:rFonts w:ascii="宋体" w:hAnsi="宋体"/>
                <w:highlight w:val="none"/>
              </w:rPr>
            </w:pPr>
            <w:r>
              <w:rPr>
                <w:rFonts w:hint="eastAsia" w:ascii="宋体" w:hAnsi="宋体"/>
                <w:highlight w:val="none"/>
              </w:rPr>
              <w:t>轻微受伤、</w:t>
            </w:r>
          </w:p>
          <w:p w14:paraId="77096753">
            <w:pPr>
              <w:rPr>
                <w:rFonts w:ascii="宋体" w:hAnsi="宋体"/>
                <w:highlight w:val="none"/>
              </w:rPr>
            </w:pPr>
            <w:r>
              <w:rPr>
                <w:rFonts w:hint="eastAsia" w:ascii="宋体" w:hAnsi="宋体"/>
                <w:highlight w:val="none"/>
              </w:rPr>
              <w:t>间歇不舒服</w:t>
            </w:r>
          </w:p>
        </w:tc>
        <w:tc>
          <w:tcPr>
            <w:tcW w:w="992" w:type="dxa"/>
            <w:noWrap w:val="0"/>
            <w:vAlign w:val="center"/>
          </w:tcPr>
          <w:p w14:paraId="73171D24">
            <w:pPr>
              <w:rPr>
                <w:rFonts w:ascii="宋体" w:hAnsi="宋体"/>
                <w:highlight w:val="none"/>
              </w:rPr>
            </w:pPr>
            <w:r>
              <w:rPr>
                <w:rFonts w:hint="eastAsia" w:ascii="宋体" w:hAnsi="宋体"/>
                <w:highlight w:val="none"/>
              </w:rPr>
              <w:t>＜1</w:t>
            </w:r>
          </w:p>
        </w:tc>
        <w:tc>
          <w:tcPr>
            <w:tcW w:w="1277" w:type="dxa"/>
            <w:noWrap w:val="0"/>
            <w:vAlign w:val="center"/>
          </w:tcPr>
          <w:p w14:paraId="2A6EC958">
            <w:pPr>
              <w:rPr>
                <w:rFonts w:ascii="宋体" w:hAnsi="宋体"/>
                <w:highlight w:val="none"/>
              </w:rPr>
            </w:pPr>
            <w:r>
              <w:rPr>
                <w:rFonts w:hint="eastAsia" w:ascii="宋体" w:hAnsi="宋体"/>
                <w:highlight w:val="none"/>
              </w:rPr>
              <w:t>装置范围污染</w:t>
            </w:r>
          </w:p>
        </w:tc>
        <w:tc>
          <w:tcPr>
            <w:tcW w:w="1559" w:type="dxa"/>
            <w:noWrap w:val="0"/>
            <w:vAlign w:val="center"/>
          </w:tcPr>
          <w:p w14:paraId="05A8F09E">
            <w:pPr>
              <w:rPr>
                <w:rFonts w:ascii="宋体" w:hAnsi="宋体"/>
                <w:highlight w:val="none"/>
              </w:rPr>
            </w:pPr>
            <w:r>
              <w:rPr>
                <w:rFonts w:hint="eastAsia" w:ascii="宋体" w:hAnsi="宋体"/>
                <w:highlight w:val="none"/>
              </w:rPr>
              <w:t>受影响不大，</w:t>
            </w:r>
          </w:p>
          <w:p w14:paraId="2E0E1E45">
            <w:pPr>
              <w:rPr>
                <w:rFonts w:ascii="宋体" w:hAnsi="宋体"/>
                <w:highlight w:val="none"/>
              </w:rPr>
            </w:pPr>
            <w:r>
              <w:rPr>
                <w:rFonts w:hint="eastAsia" w:ascii="宋体" w:hAnsi="宋体"/>
                <w:highlight w:val="none"/>
              </w:rPr>
              <w:t>几乎不停工</w:t>
            </w:r>
          </w:p>
        </w:tc>
        <w:tc>
          <w:tcPr>
            <w:tcW w:w="1560" w:type="dxa"/>
            <w:noWrap w:val="0"/>
            <w:vAlign w:val="center"/>
          </w:tcPr>
          <w:p w14:paraId="7E57DE4B">
            <w:pPr>
              <w:rPr>
                <w:rFonts w:ascii="宋体" w:hAnsi="宋体"/>
                <w:highlight w:val="none"/>
              </w:rPr>
            </w:pPr>
            <w:r>
              <w:rPr>
                <w:rFonts w:hint="eastAsia" w:ascii="宋体" w:hAnsi="宋体"/>
                <w:highlight w:val="none"/>
              </w:rPr>
              <w:t>公司及周边范围</w:t>
            </w:r>
          </w:p>
        </w:tc>
      </w:tr>
      <w:tr w14:paraId="116F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9" w:type="dxa"/>
            <w:noWrap w:val="0"/>
            <w:vAlign w:val="center"/>
          </w:tcPr>
          <w:p w14:paraId="1ADB3546">
            <w:pPr>
              <w:jc w:val="center"/>
              <w:rPr>
                <w:rFonts w:ascii="宋体" w:hAnsi="宋体"/>
                <w:highlight w:val="none"/>
              </w:rPr>
            </w:pPr>
            <w:r>
              <w:rPr>
                <w:rFonts w:hint="eastAsia" w:ascii="宋体" w:hAnsi="宋体"/>
                <w:highlight w:val="none"/>
              </w:rPr>
              <w:t>1</w:t>
            </w:r>
          </w:p>
        </w:tc>
        <w:tc>
          <w:tcPr>
            <w:tcW w:w="1701" w:type="dxa"/>
            <w:noWrap w:val="0"/>
            <w:vAlign w:val="center"/>
          </w:tcPr>
          <w:p w14:paraId="07F68DB7">
            <w:pPr>
              <w:rPr>
                <w:rFonts w:ascii="宋体" w:hAnsi="宋体"/>
                <w:highlight w:val="none"/>
              </w:rPr>
            </w:pPr>
            <w:r>
              <w:rPr>
                <w:rFonts w:hint="eastAsia" w:ascii="宋体" w:hAnsi="宋体"/>
                <w:highlight w:val="none"/>
              </w:rPr>
              <w:t>完全符合</w:t>
            </w:r>
          </w:p>
        </w:tc>
        <w:tc>
          <w:tcPr>
            <w:tcW w:w="1417" w:type="dxa"/>
            <w:noWrap w:val="0"/>
            <w:vAlign w:val="center"/>
          </w:tcPr>
          <w:p w14:paraId="6233B248">
            <w:pPr>
              <w:rPr>
                <w:rFonts w:ascii="宋体" w:hAnsi="宋体"/>
                <w:highlight w:val="none"/>
              </w:rPr>
            </w:pPr>
            <w:r>
              <w:rPr>
                <w:rFonts w:hint="eastAsia" w:ascii="宋体" w:hAnsi="宋体"/>
                <w:highlight w:val="none"/>
              </w:rPr>
              <w:t>无伤亡</w:t>
            </w:r>
          </w:p>
        </w:tc>
        <w:tc>
          <w:tcPr>
            <w:tcW w:w="992" w:type="dxa"/>
            <w:noWrap w:val="0"/>
            <w:vAlign w:val="center"/>
          </w:tcPr>
          <w:p w14:paraId="1B8F61E1">
            <w:pPr>
              <w:rPr>
                <w:rFonts w:ascii="宋体" w:hAnsi="宋体"/>
                <w:highlight w:val="none"/>
              </w:rPr>
            </w:pPr>
            <w:r>
              <w:rPr>
                <w:rFonts w:hint="eastAsia" w:ascii="宋体" w:hAnsi="宋体"/>
                <w:highlight w:val="none"/>
              </w:rPr>
              <w:t>无损失</w:t>
            </w:r>
          </w:p>
        </w:tc>
        <w:tc>
          <w:tcPr>
            <w:tcW w:w="1277" w:type="dxa"/>
            <w:noWrap w:val="0"/>
            <w:vAlign w:val="center"/>
          </w:tcPr>
          <w:p w14:paraId="0C56CC23">
            <w:pPr>
              <w:rPr>
                <w:rFonts w:ascii="宋体" w:hAnsi="宋体"/>
                <w:highlight w:val="none"/>
              </w:rPr>
            </w:pPr>
            <w:r>
              <w:rPr>
                <w:rFonts w:hint="eastAsia" w:ascii="宋体" w:hAnsi="宋体"/>
                <w:highlight w:val="none"/>
              </w:rPr>
              <w:t>没有污染</w:t>
            </w:r>
          </w:p>
        </w:tc>
        <w:tc>
          <w:tcPr>
            <w:tcW w:w="1559" w:type="dxa"/>
            <w:noWrap w:val="0"/>
            <w:vAlign w:val="center"/>
          </w:tcPr>
          <w:p w14:paraId="6FD2AF73">
            <w:pPr>
              <w:rPr>
                <w:rFonts w:ascii="宋体" w:hAnsi="宋体"/>
                <w:highlight w:val="none"/>
              </w:rPr>
            </w:pPr>
            <w:r>
              <w:rPr>
                <w:rFonts w:hint="eastAsia" w:ascii="宋体" w:hAnsi="宋体"/>
                <w:highlight w:val="none"/>
              </w:rPr>
              <w:t>没有停工</w:t>
            </w:r>
          </w:p>
        </w:tc>
        <w:tc>
          <w:tcPr>
            <w:tcW w:w="1560" w:type="dxa"/>
            <w:noWrap w:val="0"/>
            <w:vAlign w:val="center"/>
          </w:tcPr>
          <w:p w14:paraId="3F0A3ED6">
            <w:pPr>
              <w:rPr>
                <w:rFonts w:ascii="宋体" w:hAnsi="宋体"/>
                <w:highlight w:val="none"/>
              </w:rPr>
            </w:pPr>
            <w:r>
              <w:rPr>
                <w:rFonts w:hint="eastAsia" w:ascii="宋体" w:hAnsi="宋体"/>
                <w:highlight w:val="none"/>
              </w:rPr>
              <w:t>没有受损</w:t>
            </w:r>
          </w:p>
        </w:tc>
      </w:tr>
    </w:tbl>
    <w:p w14:paraId="57F8436A">
      <w:pPr>
        <w:spacing w:line="360" w:lineRule="auto"/>
        <w:ind w:left="-281" w:leftChars="-134" w:right="-197" w:rightChars="-94" w:firstLine="371" w:firstLineChars="177"/>
        <w:jc w:val="center"/>
        <w:rPr>
          <w:rFonts w:hint="eastAsia" w:ascii="宋体" w:hAnsi="宋体"/>
          <w:color w:val="000000"/>
          <w:highlight w:val="none"/>
          <w:shd w:val="clear" w:color="auto" w:fill="FFFFFF"/>
        </w:rPr>
      </w:pPr>
    </w:p>
    <w:p w14:paraId="406E5CDF">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 xml:space="preserve">表7  风险等级判定及控制措施 </w:t>
      </w:r>
    </w:p>
    <w:tbl>
      <w:tblPr>
        <w:tblStyle w:val="21"/>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915"/>
        <w:gridCol w:w="1110"/>
        <w:gridCol w:w="3995"/>
        <w:gridCol w:w="1570"/>
      </w:tblGrid>
      <w:tr w14:paraId="11FE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5" w:type="dxa"/>
            <w:noWrap w:val="0"/>
            <w:vAlign w:val="center"/>
          </w:tcPr>
          <w:p w14:paraId="0AC34977">
            <w:pPr>
              <w:rPr>
                <w:rFonts w:ascii="宋体" w:hAnsi="宋体"/>
                <w:highlight w:val="none"/>
              </w:rPr>
            </w:pPr>
            <w:r>
              <w:rPr>
                <w:rFonts w:hint="eastAsia" w:ascii="宋体" w:hAnsi="宋体"/>
                <w:highlight w:val="none"/>
              </w:rPr>
              <w:t>风险程度</w:t>
            </w:r>
          </w:p>
        </w:tc>
        <w:tc>
          <w:tcPr>
            <w:tcW w:w="2025" w:type="dxa"/>
            <w:gridSpan w:val="2"/>
            <w:noWrap w:val="0"/>
            <w:vAlign w:val="center"/>
          </w:tcPr>
          <w:p w14:paraId="48AC46A8">
            <w:pPr>
              <w:jc w:val="center"/>
              <w:rPr>
                <w:rFonts w:ascii="宋体" w:hAnsi="宋体"/>
                <w:highlight w:val="none"/>
              </w:rPr>
            </w:pPr>
            <w:r>
              <w:rPr>
                <w:rFonts w:hint="eastAsia" w:ascii="宋体" w:hAnsi="宋体"/>
                <w:highlight w:val="none"/>
              </w:rPr>
              <w:t>等级</w:t>
            </w:r>
          </w:p>
        </w:tc>
        <w:tc>
          <w:tcPr>
            <w:tcW w:w="3995" w:type="dxa"/>
            <w:noWrap w:val="0"/>
            <w:vAlign w:val="center"/>
          </w:tcPr>
          <w:p w14:paraId="7679CB60">
            <w:pPr>
              <w:rPr>
                <w:rFonts w:ascii="宋体" w:hAnsi="宋体"/>
                <w:highlight w:val="none"/>
              </w:rPr>
            </w:pPr>
            <w:r>
              <w:rPr>
                <w:rFonts w:hint="eastAsia" w:ascii="宋体" w:hAnsi="宋体"/>
                <w:highlight w:val="none"/>
              </w:rPr>
              <w:t>应采取的行动或控制措施</w:t>
            </w:r>
          </w:p>
        </w:tc>
        <w:tc>
          <w:tcPr>
            <w:tcW w:w="1570" w:type="dxa"/>
            <w:noWrap w:val="0"/>
            <w:vAlign w:val="center"/>
          </w:tcPr>
          <w:p w14:paraId="1C1AD89B">
            <w:pPr>
              <w:rPr>
                <w:rFonts w:ascii="宋体" w:hAnsi="宋体"/>
                <w:highlight w:val="none"/>
              </w:rPr>
            </w:pPr>
            <w:r>
              <w:rPr>
                <w:rFonts w:hint="eastAsia" w:ascii="宋体" w:hAnsi="宋体"/>
                <w:highlight w:val="none"/>
              </w:rPr>
              <w:t>实施期限</w:t>
            </w:r>
          </w:p>
        </w:tc>
      </w:tr>
      <w:tr w14:paraId="0A43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685" w:type="dxa"/>
            <w:shd w:val="clear" w:color="auto" w:fill="FF0000"/>
            <w:noWrap w:val="0"/>
            <w:vAlign w:val="center"/>
          </w:tcPr>
          <w:p w14:paraId="19559355">
            <w:pPr>
              <w:spacing w:line="276" w:lineRule="auto"/>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20-25</w:t>
            </w:r>
          </w:p>
          <w:p w14:paraId="6D084872">
            <w:pPr>
              <w:spacing w:line="276" w:lineRule="auto"/>
              <w:ind w:right="-197" w:rightChars="-94"/>
              <w:jc w:val="left"/>
              <w:rPr>
                <w:rFonts w:ascii="宋体" w:hAnsi="宋体"/>
                <w:color w:val="000000"/>
                <w:highlight w:val="none"/>
                <w:shd w:val="clear" w:color="auto" w:fill="FFFFFF"/>
              </w:rPr>
            </w:pPr>
            <w:r>
              <w:rPr>
                <w:rFonts w:hint="eastAsia" w:ascii="宋体" w:hAnsi="宋体"/>
                <w:color w:val="000000"/>
                <w:highlight w:val="none"/>
                <w:shd w:val="clear" w:color="auto" w:fill="FFFFFF"/>
              </w:rPr>
              <w:t>红色标识</w:t>
            </w:r>
          </w:p>
        </w:tc>
        <w:tc>
          <w:tcPr>
            <w:tcW w:w="915" w:type="dxa"/>
            <w:noWrap w:val="0"/>
            <w:vAlign w:val="center"/>
          </w:tcPr>
          <w:p w14:paraId="2A8B8156">
            <w:pPr>
              <w:jc w:val="right"/>
              <w:rPr>
                <w:rFonts w:ascii="宋体" w:hAnsi="宋体"/>
                <w:highlight w:val="none"/>
              </w:rPr>
            </w:pPr>
            <w:r>
              <w:rPr>
                <w:rFonts w:hint="eastAsia" w:ascii="宋体" w:hAnsi="宋体"/>
                <w:highlight w:val="none"/>
              </w:rPr>
              <w:t>A/1级</w:t>
            </w:r>
          </w:p>
        </w:tc>
        <w:tc>
          <w:tcPr>
            <w:tcW w:w="1110" w:type="dxa"/>
            <w:noWrap w:val="0"/>
            <w:vAlign w:val="center"/>
          </w:tcPr>
          <w:p w14:paraId="32A57FF8">
            <w:pPr>
              <w:jc w:val="center"/>
              <w:rPr>
                <w:rFonts w:ascii="宋体" w:hAnsi="宋体"/>
                <w:highlight w:val="none"/>
              </w:rPr>
            </w:pPr>
            <w:r>
              <w:rPr>
                <w:rFonts w:hint="eastAsia" w:ascii="宋体" w:hAnsi="宋体"/>
                <w:highlight w:val="none"/>
              </w:rPr>
              <w:t>重大风险</w:t>
            </w:r>
          </w:p>
        </w:tc>
        <w:tc>
          <w:tcPr>
            <w:tcW w:w="3995" w:type="dxa"/>
            <w:noWrap w:val="0"/>
            <w:vAlign w:val="center"/>
          </w:tcPr>
          <w:p w14:paraId="1029EFA2">
            <w:pPr>
              <w:rPr>
                <w:rFonts w:ascii="宋体" w:hAnsi="宋体"/>
                <w:highlight w:val="none"/>
              </w:rPr>
            </w:pPr>
            <w:r>
              <w:rPr>
                <w:rFonts w:hint="eastAsia" w:ascii="宋体" w:hAnsi="宋体"/>
                <w:highlight w:val="none"/>
              </w:rPr>
              <w:t>在采取措施降低危害前，不能继续作业，对改进措施进行评估</w:t>
            </w:r>
          </w:p>
        </w:tc>
        <w:tc>
          <w:tcPr>
            <w:tcW w:w="1570" w:type="dxa"/>
            <w:noWrap w:val="0"/>
            <w:vAlign w:val="center"/>
          </w:tcPr>
          <w:p w14:paraId="2D367D60">
            <w:pPr>
              <w:rPr>
                <w:rFonts w:ascii="宋体" w:hAnsi="宋体"/>
                <w:highlight w:val="none"/>
              </w:rPr>
            </w:pPr>
            <w:r>
              <w:rPr>
                <w:rFonts w:hint="eastAsia" w:ascii="宋体" w:hAnsi="宋体"/>
                <w:highlight w:val="none"/>
              </w:rPr>
              <w:t>立刻</w:t>
            </w:r>
          </w:p>
        </w:tc>
      </w:tr>
      <w:tr w14:paraId="2F91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685" w:type="dxa"/>
            <w:shd w:val="clear" w:color="auto" w:fill="FFC000"/>
            <w:noWrap w:val="0"/>
            <w:vAlign w:val="center"/>
          </w:tcPr>
          <w:p w14:paraId="64412CCE">
            <w:pPr>
              <w:rPr>
                <w:rFonts w:ascii="宋体" w:hAnsi="宋体"/>
                <w:highlight w:val="none"/>
              </w:rPr>
            </w:pPr>
            <w:r>
              <w:rPr>
                <w:rFonts w:hint="eastAsia" w:ascii="宋体" w:hAnsi="宋体"/>
                <w:highlight w:val="none"/>
              </w:rPr>
              <w:t>15-16</w:t>
            </w:r>
          </w:p>
          <w:p w14:paraId="2D45C703">
            <w:pPr>
              <w:rPr>
                <w:rFonts w:ascii="宋体" w:hAnsi="宋体"/>
                <w:highlight w:val="none"/>
              </w:rPr>
            </w:pPr>
            <w:r>
              <w:rPr>
                <w:rFonts w:hint="eastAsia" w:ascii="宋体" w:hAnsi="宋体"/>
                <w:highlight w:val="none"/>
              </w:rPr>
              <w:t>橙色标识</w:t>
            </w:r>
          </w:p>
        </w:tc>
        <w:tc>
          <w:tcPr>
            <w:tcW w:w="915" w:type="dxa"/>
            <w:noWrap w:val="0"/>
            <w:vAlign w:val="center"/>
          </w:tcPr>
          <w:p w14:paraId="75B72D9B">
            <w:pPr>
              <w:jc w:val="center"/>
              <w:rPr>
                <w:highlight w:val="none"/>
              </w:rPr>
            </w:pPr>
            <w:r>
              <w:rPr>
                <w:rFonts w:hint="eastAsia" w:ascii="宋体" w:hAnsi="宋体"/>
                <w:highlight w:val="none"/>
              </w:rPr>
              <w:t>B/2级</w:t>
            </w:r>
          </w:p>
        </w:tc>
        <w:tc>
          <w:tcPr>
            <w:tcW w:w="1110" w:type="dxa"/>
            <w:noWrap w:val="0"/>
            <w:vAlign w:val="center"/>
          </w:tcPr>
          <w:p w14:paraId="025FA5FC">
            <w:pPr>
              <w:jc w:val="center"/>
              <w:rPr>
                <w:rFonts w:ascii="宋体" w:hAnsi="宋体"/>
                <w:highlight w:val="none"/>
              </w:rPr>
            </w:pPr>
            <w:r>
              <w:rPr>
                <w:rFonts w:hint="eastAsia" w:ascii="宋体" w:hAnsi="宋体"/>
                <w:highlight w:val="none"/>
              </w:rPr>
              <w:t>较大风险</w:t>
            </w:r>
          </w:p>
        </w:tc>
        <w:tc>
          <w:tcPr>
            <w:tcW w:w="3995" w:type="dxa"/>
            <w:noWrap w:val="0"/>
            <w:vAlign w:val="center"/>
          </w:tcPr>
          <w:p w14:paraId="2F457B51">
            <w:pPr>
              <w:rPr>
                <w:rFonts w:ascii="宋体" w:hAnsi="宋体"/>
                <w:highlight w:val="none"/>
              </w:rPr>
            </w:pPr>
            <w:r>
              <w:rPr>
                <w:rFonts w:hint="eastAsia" w:ascii="宋体" w:hAnsi="宋体"/>
                <w:highlight w:val="none"/>
              </w:rPr>
              <w:t>采取紧急措施降低风险，建立运行控制程序，定期检查、测量及评估</w:t>
            </w:r>
          </w:p>
        </w:tc>
        <w:tc>
          <w:tcPr>
            <w:tcW w:w="1570" w:type="dxa"/>
            <w:noWrap w:val="0"/>
            <w:vAlign w:val="center"/>
          </w:tcPr>
          <w:p w14:paraId="100C1CC3">
            <w:pPr>
              <w:rPr>
                <w:rFonts w:ascii="宋体" w:hAnsi="宋体"/>
                <w:highlight w:val="none"/>
              </w:rPr>
            </w:pPr>
            <w:r>
              <w:rPr>
                <w:rFonts w:hint="eastAsia" w:ascii="宋体" w:hAnsi="宋体"/>
                <w:highlight w:val="none"/>
              </w:rPr>
              <w:t>立即或</w:t>
            </w:r>
          </w:p>
          <w:p w14:paraId="5F22DFF7">
            <w:pPr>
              <w:rPr>
                <w:rFonts w:ascii="宋体" w:hAnsi="宋体"/>
                <w:highlight w:val="none"/>
              </w:rPr>
            </w:pPr>
            <w:r>
              <w:rPr>
                <w:rFonts w:hint="eastAsia" w:ascii="宋体" w:hAnsi="宋体"/>
                <w:highlight w:val="none"/>
              </w:rPr>
              <w:t>近期整改</w:t>
            </w:r>
          </w:p>
        </w:tc>
      </w:tr>
      <w:tr w14:paraId="2E1E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85" w:type="dxa"/>
            <w:shd w:val="clear" w:color="auto" w:fill="FFFF00"/>
            <w:noWrap w:val="0"/>
            <w:vAlign w:val="center"/>
          </w:tcPr>
          <w:p w14:paraId="58F368A4">
            <w:pPr>
              <w:rPr>
                <w:rFonts w:ascii="宋体" w:hAnsi="宋体"/>
                <w:highlight w:val="none"/>
              </w:rPr>
            </w:pPr>
            <w:r>
              <w:rPr>
                <w:rFonts w:hint="eastAsia" w:ascii="宋体" w:hAnsi="宋体"/>
                <w:highlight w:val="none"/>
              </w:rPr>
              <w:t>9-12</w:t>
            </w:r>
          </w:p>
          <w:p w14:paraId="5D249EF2">
            <w:pPr>
              <w:rPr>
                <w:rFonts w:ascii="宋体" w:hAnsi="宋体"/>
                <w:highlight w:val="none"/>
              </w:rPr>
            </w:pPr>
            <w:r>
              <w:rPr>
                <w:rFonts w:hint="eastAsia" w:ascii="宋体" w:hAnsi="宋体"/>
                <w:highlight w:val="none"/>
              </w:rPr>
              <w:t>黄色标识</w:t>
            </w:r>
          </w:p>
        </w:tc>
        <w:tc>
          <w:tcPr>
            <w:tcW w:w="915" w:type="dxa"/>
            <w:noWrap w:val="0"/>
            <w:vAlign w:val="center"/>
          </w:tcPr>
          <w:p w14:paraId="3537958B">
            <w:pPr>
              <w:jc w:val="center"/>
              <w:rPr>
                <w:highlight w:val="none"/>
              </w:rPr>
            </w:pPr>
            <w:r>
              <w:rPr>
                <w:rFonts w:hint="eastAsia" w:ascii="宋体" w:hAnsi="宋体"/>
                <w:highlight w:val="none"/>
              </w:rPr>
              <w:t>C/3级</w:t>
            </w:r>
          </w:p>
        </w:tc>
        <w:tc>
          <w:tcPr>
            <w:tcW w:w="1110" w:type="dxa"/>
            <w:noWrap w:val="0"/>
            <w:vAlign w:val="center"/>
          </w:tcPr>
          <w:p w14:paraId="79FC7E2D">
            <w:pPr>
              <w:jc w:val="center"/>
              <w:rPr>
                <w:rFonts w:ascii="宋体" w:hAnsi="宋体"/>
                <w:highlight w:val="none"/>
              </w:rPr>
            </w:pPr>
            <w:r>
              <w:rPr>
                <w:rFonts w:hint="eastAsia" w:ascii="宋体" w:hAnsi="宋体"/>
                <w:highlight w:val="none"/>
              </w:rPr>
              <w:t>一般风险</w:t>
            </w:r>
          </w:p>
        </w:tc>
        <w:tc>
          <w:tcPr>
            <w:tcW w:w="3995" w:type="dxa"/>
            <w:noWrap w:val="0"/>
            <w:vAlign w:val="center"/>
          </w:tcPr>
          <w:p w14:paraId="64E10D60">
            <w:pPr>
              <w:rPr>
                <w:rFonts w:ascii="宋体" w:hAnsi="宋体"/>
                <w:highlight w:val="none"/>
              </w:rPr>
            </w:pPr>
            <w:r>
              <w:rPr>
                <w:rFonts w:hint="eastAsia" w:ascii="宋体" w:hAnsi="宋体"/>
                <w:highlight w:val="none"/>
              </w:rPr>
              <w:t>可考虑建立目标、建立操作规程，加强培训及沟通</w:t>
            </w:r>
          </w:p>
        </w:tc>
        <w:tc>
          <w:tcPr>
            <w:tcW w:w="1570" w:type="dxa"/>
            <w:noWrap w:val="0"/>
            <w:vAlign w:val="center"/>
          </w:tcPr>
          <w:p w14:paraId="495820F9">
            <w:pPr>
              <w:rPr>
                <w:rFonts w:ascii="宋体" w:hAnsi="宋体"/>
                <w:highlight w:val="none"/>
              </w:rPr>
            </w:pPr>
            <w:r>
              <w:rPr>
                <w:rFonts w:hint="eastAsia" w:ascii="宋体" w:hAnsi="宋体"/>
                <w:highlight w:val="none"/>
              </w:rPr>
              <w:t>2年内</w:t>
            </w:r>
          </w:p>
          <w:p w14:paraId="78F99EE2">
            <w:pPr>
              <w:rPr>
                <w:rFonts w:ascii="宋体" w:hAnsi="宋体"/>
                <w:highlight w:val="none"/>
              </w:rPr>
            </w:pPr>
            <w:r>
              <w:rPr>
                <w:rFonts w:hint="eastAsia" w:ascii="宋体" w:hAnsi="宋体"/>
                <w:highlight w:val="none"/>
              </w:rPr>
              <w:t>治理</w:t>
            </w:r>
          </w:p>
        </w:tc>
      </w:tr>
      <w:tr w14:paraId="3FBA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85" w:type="dxa"/>
            <w:shd w:val="clear" w:color="auto" w:fill="0070C0"/>
            <w:noWrap w:val="0"/>
            <w:vAlign w:val="center"/>
          </w:tcPr>
          <w:p w14:paraId="254ECDCC">
            <w:pPr>
              <w:rPr>
                <w:rFonts w:ascii="宋体" w:hAnsi="宋体"/>
                <w:color w:val="FFFFFF"/>
                <w:highlight w:val="none"/>
              </w:rPr>
            </w:pPr>
            <w:r>
              <w:rPr>
                <w:rFonts w:hint="eastAsia" w:ascii="宋体" w:hAnsi="宋体"/>
                <w:color w:val="FFFFFF"/>
                <w:highlight w:val="none"/>
              </w:rPr>
              <w:t>4-8</w:t>
            </w:r>
          </w:p>
          <w:p w14:paraId="3D949F7B">
            <w:pPr>
              <w:rPr>
                <w:rFonts w:ascii="宋体" w:hAnsi="宋体"/>
                <w:highlight w:val="none"/>
              </w:rPr>
            </w:pPr>
            <w:r>
              <w:rPr>
                <w:rFonts w:hint="eastAsia" w:ascii="宋体" w:hAnsi="宋体"/>
                <w:color w:val="FFFFFF"/>
                <w:highlight w:val="none"/>
              </w:rPr>
              <w:t>蓝色标识</w:t>
            </w:r>
          </w:p>
        </w:tc>
        <w:tc>
          <w:tcPr>
            <w:tcW w:w="915" w:type="dxa"/>
            <w:noWrap w:val="0"/>
            <w:vAlign w:val="center"/>
          </w:tcPr>
          <w:p w14:paraId="190A3A3E">
            <w:pPr>
              <w:jc w:val="center"/>
              <w:rPr>
                <w:highlight w:val="none"/>
              </w:rPr>
            </w:pPr>
            <w:r>
              <w:rPr>
                <w:rFonts w:hint="eastAsia" w:ascii="宋体" w:hAnsi="宋体"/>
                <w:highlight w:val="none"/>
              </w:rPr>
              <w:t>D/4级</w:t>
            </w:r>
          </w:p>
        </w:tc>
        <w:tc>
          <w:tcPr>
            <w:tcW w:w="1110" w:type="dxa"/>
            <w:noWrap w:val="0"/>
            <w:vAlign w:val="center"/>
          </w:tcPr>
          <w:p w14:paraId="4538A641">
            <w:pPr>
              <w:jc w:val="center"/>
              <w:rPr>
                <w:rFonts w:ascii="宋体" w:hAnsi="宋体"/>
                <w:highlight w:val="none"/>
              </w:rPr>
            </w:pPr>
            <w:r>
              <w:rPr>
                <w:rFonts w:hint="eastAsia" w:ascii="宋体" w:hAnsi="宋体"/>
                <w:highlight w:val="none"/>
              </w:rPr>
              <w:t>低风险</w:t>
            </w:r>
          </w:p>
        </w:tc>
        <w:tc>
          <w:tcPr>
            <w:tcW w:w="3995" w:type="dxa"/>
            <w:noWrap w:val="0"/>
            <w:vAlign w:val="center"/>
          </w:tcPr>
          <w:p w14:paraId="211A485D">
            <w:pPr>
              <w:rPr>
                <w:rFonts w:ascii="宋体" w:hAnsi="宋体"/>
                <w:highlight w:val="none"/>
              </w:rPr>
            </w:pPr>
            <w:r>
              <w:rPr>
                <w:rFonts w:hint="eastAsia" w:ascii="宋体" w:hAnsi="宋体"/>
                <w:highlight w:val="none"/>
              </w:rPr>
              <w:t>可考虑建立操作规程、作业指导书但需定期检查</w:t>
            </w:r>
          </w:p>
        </w:tc>
        <w:tc>
          <w:tcPr>
            <w:tcW w:w="1570" w:type="dxa"/>
            <w:noWrap w:val="0"/>
            <w:vAlign w:val="center"/>
          </w:tcPr>
          <w:p w14:paraId="2E2DF98C">
            <w:pPr>
              <w:rPr>
                <w:rFonts w:ascii="宋体" w:hAnsi="宋体"/>
                <w:highlight w:val="none"/>
              </w:rPr>
            </w:pPr>
            <w:r>
              <w:rPr>
                <w:rFonts w:hint="eastAsia" w:ascii="宋体" w:hAnsi="宋体"/>
                <w:highlight w:val="none"/>
              </w:rPr>
              <w:t>有条件、有经费时治理</w:t>
            </w:r>
          </w:p>
        </w:tc>
      </w:tr>
      <w:tr w14:paraId="2B5C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85" w:type="dxa"/>
            <w:shd w:val="clear" w:color="auto" w:fill="0070C0"/>
            <w:noWrap w:val="0"/>
            <w:vAlign w:val="center"/>
          </w:tcPr>
          <w:p w14:paraId="3D204AAA">
            <w:pPr>
              <w:rPr>
                <w:rFonts w:hint="eastAsia" w:ascii="宋体" w:hAnsi="宋体"/>
                <w:color w:val="FFFFFF"/>
                <w:highlight w:val="none"/>
              </w:rPr>
            </w:pPr>
            <w:r>
              <w:rPr>
                <w:rFonts w:hint="eastAsia" w:ascii="宋体" w:hAnsi="宋体"/>
                <w:color w:val="FFFFFF"/>
                <w:highlight w:val="none"/>
              </w:rPr>
              <w:t>1-3</w:t>
            </w:r>
          </w:p>
          <w:p w14:paraId="7790F7C7">
            <w:pPr>
              <w:rPr>
                <w:rFonts w:hint="eastAsia" w:ascii="宋体" w:hAnsi="宋体"/>
                <w:highlight w:val="none"/>
              </w:rPr>
            </w:pPr>
            <w:r>
              <w:rPr>
                <w:rFonts w:hint="eastAsia" w:ascii="宋体" w:hAnsi="宋体"/>
                <w:color w:val="FFFFFF"/>
                <w:highlight w:val="none"/>
              </w:rPr>
              <w:t>蓝色标识</w:t>
            </w:r>
          </w:p>
        </w:tc>
        <w:tc>
          <w:tcPr>
            <w:tcW w:w="915" w:type="dxa"/>
            <w:noWrap w:val="0"/>
            <w:vAlign w:val="center"/>
          </w:tcPr>
          <w:p w14:paraId="7D336BE9">
            <w:pPr>
              <w:jc w:val="center"/>
              <w:rPr>
                <w:highlight w:val="none"/>
              </w:rPr>
            </w:pPr>
            <w:r>
              <w:rPr>
                <w:rFonts w:hint="eastAsia" w:ascii="宋体" w:hAnsi="宋体"/>
                <w:highlight w:val="none"/>
              </w:rPr>
              <w:t>E/5级</w:t>
            </w:r>
          </w:p>
        </w:tc>
        <w:tc>
          <w:tcPr>
            <w:tcW w:w="1110" w:type="dxa"/>
            <w:noWrap w:val="0"/>
            <w:vAlign w:val="center"/>
          </w:tcPr>
          <w:p w14:paraId="4CA98461">
            <w:pPr>
              <w:jc w:val="center"/>
              <w:rPr>
                <w:rFonts w:hint="eastAsia" w:ascii="宋体" w:hAnsi="宋体"/>
                <w:highlight w:val="none"/>
              </w:rPr>
            </w:pPr>
            <w:r>
              <w:rPr>
                <w:rFonts w:hint="eastAsia" w:ascii="宋体" w:hAnsi="宋体"/>
                <w:highlight w:val="none"/>
              </w:rPr>
              <w:t>低风险</w:t>
            </w:r>
          </w:p>
        </w:tc>
        <w:tc>
          <w:tcPr>
            <w:tcW w:w="3995" w:type="dxa"/>
            <w:noWrap w:val="0"/>
            <w:vAlign w:val="center"/>
          </w:tcPr>
          <w:p w14:paraId="1215EFEE">
            <w:pPr>
              <w:rPr>
                <w:rFonts w:hint="eastAsia" w:ascii="宋体" w:hAnsi="宋体"/>
                <w:highlight w:val="none"/>
              </w:rPr>
            </w:pPr>
            <w:r>
              <w:rPr>
                <w:rFonts w:hint="eastAsia" w:ascii="宋体" w:hAnsi="宋体"/>
                <w:highlight w:val="none"/>
              </w:rPr>
              <w:t>无需采取控制措施</w:t>
            </w:r>
          </w:p>
        </w:tc>
        <w:tc>
          <w:tcPr>
            <w:tcW w:w="1570" w:type="dxa"/>
            <w:noWrap w:val="0"/>
            <w:vAlign w:val="center"/>
          </w:tcPr>
          <w:p w14:paraId="331758BA">
            <w:pPr>
              <w:rPr>
                <w:rFonts w:hint="eastAsia" w:ascii="宋体" w:hAnsi="宋体"/>
                <w:highlight w:val="none"/>
              </w:rPr>
            </w:pPr>
            <w:r>
              <w:rPr>
                <w:rFonts w:hint="eastAsia" w:ascii="宋体" w:hAnsi="宋体"/>
                <w:highlight w:val="none"/>
              </w:rPr>
              <w:t>需要保存记录</w:t>
            </w:r>
          </w:p>
        </w:tc>
      </w:tr>
    </w:tbl>
    <w:p w14:paraId="168CB07A">
      <w:pPr>
        <w:spacing w:line="360" w:lineRule="auto"/>
        <w:ind w:left="-281" w:leftChars="-134" w:right="-197" w:rightChars="-94" w:firstLine="371" w:firstLineChars="177"/>
        <w:jc w:val="center"/>
        <w:rPr>
          <w:rFonts w:hint="eastAsia" w:ascii="宋体" w:hAnsi="宋体"/>
          <w:color w:val="000000"/>
          <w:highlight w:val="none"/>
          <w:shd w:val="clear" w:color="auto" w:fill="FFFFFF"/>
        </w:rPr>
      </w:pPr>
    </w:p>
    <w:p w14:paraId="2FDD463D">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表8  风险等级判定</w:t>
      </w:r>
    </w:p>
    <w:tbl>
      <w:tblPr>
        <w:tblStyle w:val="21"/>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482"/>
        <w:gridCol w:w="1417"/>
        <w:gridCol w:w="1418"/>
        <w:gridCol w:w="1417"/>
        <w:gridCol w:w="1444"/>
      </w:tblGrid>
      <w:tr w14:paraId="4074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6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7373AF29">
            <w:pPr>
              <w:spacing w:line="360" w:lineRule="auto"/>
              <w:ind w:left="-281" w:leftChars="-134" w:right="-197" w:rightChars="-94" w:firstLine="371" w:firstLineChars="177"/>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 xml:space="preserve"> 严重性S</w:t>
            </w:r>
          </w:p>
          <w:p w14:paraId="1DB8A31D">
            <w:pPr>
              <w:spacing w:line="360" w:lineRule="auto"/>
              <w:ind w:left="-281" w:leftChars="-134" w:right="-197" w:rightChars="-94" w:firstLine="371" w:firstLineChars="177"/>
              <w:rPr>
                <w:rFonts w:ascii="宋体" w:hAnsi="宋体"/>
                <w:color w:val="000000"/>
                <w:highlight w:val="none"/>
                <w:shd w:val="clear" w:color="auto" w:fill="FFFFFF"/>
              </w:rPr>
            </w:pPr>
            <w:r>
              <w:rPr>
                <w:rFonts w:hint="eastAsia" w:ascii="宋体" w:hAnsi="宋体"/>
                <w:color w:val="000000"/>
                <w:highlight w:val="none"/>
                <w:shd w:val="clear" w:color="auto" w:fill="FFFFFF"/>
              </w:rPr>
              <w:t>可能性L</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2BEF1D0">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05F6DD8">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383B08">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5F8516B">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EED29D1">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5</w:t>
            </w:r>
          </w:p>
        </w:tc>
      </w:tr>
      <w:tr w14:paraId="4F3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CAA51">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1482"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7BF5332F">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6D56F796">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29E372F3">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4945CC49">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1444"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75FCCAF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5</w:t>
            </w:r>
          </w:p>
        </w:tc>
      </w:tr>
      <w:tr w14:paraId="58C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86403">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1482"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1515C717">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7243235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1418"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175300C3">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6</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6F271D75">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8</w:t>
            </w:r>
          </w:p>
        </w:tc>
        <w:tc>
          <w:tcPr>
            <w:tcW w:w="1444"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46A96124">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10</w:t>
            </w:r>
          </w:p>
        </w:tc>
      </w:tr>
      <w:tr w14:paraId="5AED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3BC9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1482"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380BC540">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3</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11F55DCA">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6</w:t>
            </w:r>
          </w:p>
        </w:tc>
        <w:tc>
          <w:tcPr>
            <w:tcW w:w="141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4070E3F">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9</w:t>
            </w:r>
          </w:p>
        </w:tc>
        <w:tc>
          <w:tcPr>
            <w:tcW w:w="1417"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BC49C2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12</w:t>
            </w:r>
          </w:p>
        </w:tc>
        <w:tc>
          <w:tcPr>
            <w:tcW w:w="1444" w:type="dxa"/>
            <w:tcBorders>
              <w:top w:val="single" w:color="auto" w:sz="4" w:space="0"/>
              <w:left w:val="single" w:color="auto" w:sz="4" w:space="0"/>
              <w:bottom w:val="single" w:color="auto" w:sz="4" w:space="0"/>
              <w:right w:val="single" w:color="auto" w:sz="4" w:space="0"/>
            </w:tcBorders>
            <w:shd w:val="clear" w:color="auto" w:fill="FFC000"/>
            <w:noWrap w:val="0"/>
            <w:vAlign w:val="center"/>
          </w:tcPr>
          <w:p w14:paraId="356F7C5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15</w:t>
            </w:r>
          </w:p>
        </w:tc>
      </w:tr>
      <w:tr w14:paraId="7D34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B6FEDE">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1482"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21FD09D0">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4</w:t>
            </w:r>
          </w:p>
        </w:tc>
        <w:tc>
          <w:tcPr>
            <w:tcW w:w="1417"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3A771008">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8</w:t>
            </w:r>
          </w:p>
        </w:tc>
        <w:tc>
          <w:tcPr>
            <w:tcW w:w="141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1391700">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12</w:t>
            </w:r>
          </w:p>
        </w:tc>
        <w:tc>
          <w:tcPr>
            <w:tcW w:w="1417" w:type="dxa"/>
            <w:tcBorders>
              <w:top w:val="single" w:color="auto" w:sz="4" w:space="0"/>
              <w:left w:val="single" w:color="auto" w:sz="4" w:space="0"/>
              <w:bottom w:val="single" w:color="auto" w:sz="4" w:space="0"/>
              <w:right w:val="single" w:color="auto" w:sz="4" w:space="0"/>
            </w:tcBorders>
            <w:shd w:val="clear" w:color="auto" w:fill="FFC000"/>
            <w:noWrap w:val="0"/>
            <w:vAlign w:val="center"/>
          </w:tcPr>
          <w:p w14:paraId="5733B01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16</w:t>
            </w:r>
          </w:p>
        </w:tc>
        <w:tc>
          <w:tcPr>
            <w:tcW w:w="1444" w:type="dxa"/>
            <w:tcBorders>
              <w:top w:val="single" w:color="auto" w:sz="4" w:space="0"/>
              <w:left w:val="single" w:color="auto" w:sz="4" w:space="0"/>
              <w:bottom w:val="single" w:color="auto" w:sz="4" w:space="0"/>
              <w:right w:val="single" w:color="auto" w:sz="4" w:space="0"/>
            </w:tcBorders>
            <w:shd w:val="clear" w:color="auto" w:fill="FF0000"/>
            <w:noWrap w:val="0"/>
            <w:vAlign w:val="center"/>
          </w:tcPr>
          <w:p w14:paraId="7848A3AB">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20</w:t>
            </w:r>
          </w:p>
        </w:tc>
      </w:tr>
      <w:tr w14:paraId="1906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5D3AD">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5</w:t>
            </w:r>
          </w:p>
        </w:tc>
        <w:tc>
          <w:tcPr>
            <w:tcW w:w="1482"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64A981B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5</w:t>
            </w:r>
          </w:p>
        </w:tc>
        <w:tc>
          <w:tcPr>
            <w:tcW w:w="1417"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69DF39C">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10</w:t>
            </w:r>
          </w:p>
        </w:tc>
        <w:tc>
          <w:tcPr>
            <w:tcW w:w="1418" w:type="dxa"/>
            <w:tcBorders>
              <w:top w:val="single" w:color="auto" w:sz="4" w:space="0"/>
              <w:left w:val="single" w:color="auto" w:sz="4" w:space="0"/>
              <w:bottom w:val="single" w:color="auto" w:sz="4" w:space="0"/>
              <w:right w:val="single" w:color="auto" w:sz="4" w:space="0"/>
            </w:tcBorders>
            <w:shd w:val="clear" w:color="auto" w:fill="FFC000"/>
            <w:noWrap w:val="0"/>
            <w:vAlign w:val="center"/>
          </w:tcPr>
          <w:p w14:paraId="2C6503B4">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15</w:t>
            </w:r>
          </w:p>
        </w:tc>
        <w:tc>
          <w:tcPr>
            <w:tcW w:w="1417" w:type="dxa"/>
            <w:tcBorders>
              <w:top w:val="single" w:color="auto" w:sz="4" w:space="0"/>
              <w:left w:val="single" w:color="auto" w:sz="4" w:space="0"/>
              <w:bottom w:val="single" w:color="auto" w:sz="4" w:space="0"/>
              <w:right w:val="single" w:color="auto" w:sz="4" w:space="0"/>
            </w:tcBorders>
            <w:shd w:val="clear" w:color="auto" w:fill="FF0000"/>
            <w:noWrap w:val="0"/>
            <w:vAlign w:val="center"/>
          </w:tcPr>
          <w:p w14:paraId="25C4783B">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20</w:t>
            </w:r>
          </w:p>
        </w:tc>
        <w:tc>
          <w:tcPr>
            <w:tcW w:w="1444" w:type="dxa"/>
            <w:tcBorders>
              <w:top w:val="single" w:color="auto" w:sz="4" w:space="0"/>
              <w:left w:val="single" w:color="auto" w:sz="4" w:space="0"/>
              <w:bottom w:val="single" w:color="auto" w:sz="4" w:space="0"/>
              <w:right w:val="single" w:color="auto" w:sz="4" w:space="0"/>
            </w:tcBorders>
            <w:shd w:val="clear" w:color="auto" w:fill="FF0000"/>
            <w:noWrap w:val="0"/>
            <w:vAlign w:val="center"/>
          </w:tcPr>
          <w:p w14:paraId="6E23AC25">
            <w:pPr>
              <w:spacing w:line="276" w:lineRule="auto"/>
              <w:jc w:val="center"/>
              <w:rPr>
                <w:rFonts w:ascii="宋体" w:hAnsi="宋体"/>
                <w:color w:val="000000"/>
                <w:highlight w:val="none"/>
                <w:shd w:val="clear" w:color="auto" w:fill="FFFFFF"/>
              </w:rPr>
            </w:pPr>
            <w:r>
              <w:rPr>
                <w:rFonts w:hint="eastAsia" w:ascii="宋体" w:hAnsi="宋体"/>
                <w:color w:val="000000"/>
                <w:highlight w:val="none"/>
                <w:shd w:val="clear" w:color="auto" w:fill="FFFFFF"/>
              </w:rPr>
              <w:t>25</w:t>
            </w:r>
          </w:p>
        </w:tc>
      </w:tr>
    </w:tbl>
    <w:p w14:paraId="2113E8C6">
      <w:pPr>
        <w:spacing w:line="324" w:lineRule="auto"/>
        <w:ind w:firstLine="420" w:firstLineChars="200"/>
        <w:rPr>
          <w:rFonts w:ascii="宋体" w:hAnsi="宋体" w:cs="黑体"/>
          <w:highlight w:val="none"/>
        </w:rPr>
      </w:pPr>
      <w:r>
        <w:rPr>
          <w:rFonts w:hint="eastAsia" w:ascii="宋体" w:hAnsi="宋体" w:cs="仿宋_GB2312"/>
          <w:bCs/>
          <w:highlight w:val="none"/>
        </w:rPr>
        <w:t>4.2.3</w:t>
      </w:r>
      <w:r>
        <w:rPr>
          <w:rFonts w:hint="eastAsia" w:ascii="宋体" w:hAnsi="宋体" w:cs="仿宋_GB2312"/>
          <w:highlight w:val="none"/>
        </w:rPr>
        <w:t>安全风险分级</w:t>
      </w:r>
    </w:p>
    <w:p w14:paraId="5A8D1A0B">
      <w:pPr>
        <w:spacing w:line="324" w:lineRule="auto"/>
        <w:ind w:firstLine="420" w:firstLineChars="200"/>
        <w:rPr>
          <w:rFonts w:ascii="宋体" w:hAnsi="宋体" w:cs="仿宋_GB2312"/>
          <w:highlight w:val="none"/>
        </w:rPr>
      </w:pPr>
      <w:r>
        <w:rPr>
          <w:rFonts w:hint="eastAsia" w:ascii="宋体" w:hAnsi="宋体" w:cs="仿宋_GB2312"/>
          <w:highlight w:val="none"/>
        </w:rPr>
        <w:t>按照风险辨识方法对危险源所伴随的风险进行定性、定量评价，并根据评价结果划分等级；安全风险等级从高到低划分为重大风险、较大风险、一般风险和低风险，分别用红、橙、黄、蓝四种颜色表示。重大风险、较大风险由</w:t>
      </w:r>
      <w:r>
        <w:rPr>
          <w:rFonts w:hint="eastAsia" w:ascii="宋体" w:hAnsi="宋体" w:cs="仿宋_GB2312"/>
          <w:highlight w:val="none"/>
          <w:lang w:val="en-US" w:eastAsia="zh-CN"/>
        </w:rPr>
        <w:t>储能</w:t>
      </w:r>
      <w:r>
        <w:rPr>
          <w:rFonts w:hint="eastAsia" w:ascii="宋体" w:hAnsi="宋体" w:cs="仿宋_GB2312"/>
          <w:highlight w:val="none"/>
        </w:rPr>
        <w:t>公司进行监管，风险点所在的</w:t>
      </w:r>
      <w:r>
        <w:rPr>
          <w:rFonts w:hint="eastAsia" w:ascii="宋体" w:hAnsi="宋体" w:cs="仿宋_GB2312"/>
          <w:highlight w:val="none"/>
          <w:lang w:val="en-US" w:eastAsia="zh-CN"/>
        </w:rPr>
        <w:t>部门、分子公司或项目部（组）</w:t>
      </w:r>
      <w:r>
        <w:rPr>
          <w:rFonts w:hint="eastAsia" w:ascii="宋体" w:hAnsi="宋体" w:cs="仿宋_GB2312"/>
          <w:highlight w:val="none"/>
        </w:rPr>
        <w:t>总体管控，班组或岗位负责责任范围内的风险管控，一般风险由</w:t>
      </w:r>
      <w:r>
        <w:rPr>
          <w:rFonts w:hint="eastAsia" w:ascii="宋体" w:hAnsi="宋体" w:cs="仿宋_GB2312"/>
          <w:highlight w:val="none"/>
          <w:lang w:val="en-US" w:eastAsia="zh-CN"/>
        </w:rPr>
        <w:t>部门、分子公司或项目部（组）</w:t>
      </w:r>
      <w:r>
        <w:rPr>
          <w:rFonts w:hint="eastAsia" w:ascii="宋体" w:hAnsi="宋体" w:cs="仿宋_GB2312"/>
          <w:highlight w:val="none"/>
        </w:rPr>
        <w:t>直接监管，班组或岗位负责管控，低风险由班组或岗位管控或因风险较小可直接忽略。</w:t>
      </w:r>
    </w:p>
    <w:p w14:paraId="431C3BB0">
      <w:pPr>
        <w:spacing w:line="324" w:lineRule="auto"/>
        <w:ind w:firstLine="420" w:firstLineChars="200"/>
        <w:rPr>
          <w:rFonts w:ascii="宋体" w:hAnsi="宋体" w:cs="黑体"/>
          <w:highlight w:val="none"/>
        </w:rPr>
      </w:pPr>
      <w:r>
        <w:rPr>
          <w:rFonts w:hint="eastAsia" w:ascii="宋体" w:hAnsi="宋体" w:cs="仿宋_GB2312"/>
          <w:bCs/>
          <w:highlight w:val="none"/>
        </w:rPr>
        <w:t xml:space="preserve">4.2.4  </w:t>
      </w:r>
      <w:r>
        <w:rPr>
          <w:rFonts w:hint="eastAsia" w:ascii="宋体" w:hAnsi="宋体" w:cs="仿宋_GB2312"/>
          <w:highlight w:val="none"/>
        </w:rPr>
        <w:t>安全风险数据库</w:t>
      </w:r>
    </w:p>
    <w:p w14:paraId="071CF516">
      <w:pPr>
        <w:spacing w:line="324" w:lineRule="auto"/>
        <w:ind w:firstLine="420" w:firstLineChars="200"/>
        <w:rPr>
          <w:rFonts w:hint="eastAsia" w:ascii="宋体" w:hAnsi="宋体" w:cs="仿宋_GB2312"/>
          <w:highlight w:val="none"/>
        </w:rPr>
      </w:pPr>
      <w:r>
        <w:rPr>
          <w:rFonts w:hint="eastAsia" w:ascii="宋体" w:hAnsi="宋体" w:cs="仿宋_GB2312"/>
          <w:highlight w:val="none"/>
        </w:rPr>
        <w:t>依据安全风险类别和等级建立安全风险数据库，绘制“红橙黄蓝”四色安全风险空间分布图。风险点的定级按照风险点的每个危险源评价做出的最高风险级别作为该风险点的级别，分别为重大风险、较大风险、一般风险和低风险。</w:t>
      </w:r>
    </w:p>
    <w:p w14:paraId="595AABEC">
      <w:pPr>
        <w:spacing w:line="324" w:lineRule="auto"/>
        <w:ind w:firstLine="420" w:firstLineChars="200"/>
        <w:rPr>
          <w:rFonts w:ascii="宋体" w:hAnsi="宋体" w:cs="仿宋_GB2312"/>
          <w:highlight w:val="none"/>
        </w:rPr>
      </w:pPr>
      <w:r>
        <w:rPr>
          <w:rFonts w:hint="eastAsia" w:ascii="宋体" w:hAnsi="宋体" w:cs="仿宋_GB2312"/>
          <w:bCs/>
          <w:highlight w:val="none"/>
        </w:rPr>
        <w:t>4.2.5</w:t>
      </w:r>
      <w:r>
        <w:rPr>
          <w:rFonts w:hint="eastAsia" w:ascii="宋体" w:hAnsi="宋体" w:cs="仿宋_GB2312"/>
          <w:highlight w:val="none"/>
        </w:rPr>
        <w:t>安全风险管控措施</w:t>
      </w:r>
    </w:p>
    <w:p w14:paraId="5A046C2E">
      <w:pPr>
        <w:spacing w:line="324" w:lineRule="auto"/>
        <w:ind w:firstLine="420" w:firstLineChars="200"/>
        <w:rPr>
          <w:rFonts w:hint="eastAsia" w:ascii="宋体" w:hAnsi="宋体" w:cs="仿宋_GB2312"/>
          <w:highlight w:val="none"/>
        </w:rPr>
      </w:pPr>
      <w:r>
        <w:rPr>
          <w:rFonts w:hint="eastAsia" w:ascii="宋体" w:hAnsi="宋体" w:cs="仿宋_GB2312"/>
          <w:highlight w:val="none"/>
        </w:rPr>
        <w:t>根据风险的分级，风险越大，管控级别越高；上级负责管控的风险，下级必须管控。风险控制措施包括工程技术措施、管理措施、培训教育措施、个体防护措施、应急处置措施等。</w:t>
      </w:r>
    </w:p>
    <w:p w14:paraId="39DAE248">
      <w:pPr>
        <w:spacing w:line="324" w:lineRule="auto"/>
        <w:ind w:firstLine="420" w:firstLineChars="200"/>
        <w:rPr>
          <w:rFonts w:hint="eastAsia" w:ascii="宋体" w:hAnsi="宋体" w:cs="仿宋_GB2312"/>
          <w:highlight w:val="none"/>
        </w:rPr>
      </w:pPr>
      <w:r>
        <w:rPr>
          <w:rFonts w:hint="eastAsia" w:ascii="宋体" w:hAnsi="宋体" w:cs="仿宋_GB2312"/>
          <w:highlight w:val="none"/>
        </w:rPr>
        <w:t>4.2.6 安全风险公告警示</w:t>
      </w:r>
    </w:p>
    <w:p w14:paraId="7CAD0D57">
      <w:pPr>
        <w:spacing w:line="324" w:lineRule="auto"/>
        <w:ind w:firstLine="420" w:firstLineChars="200"/>
        <w:rPr>
          <w:rFonts w:hint="eastAsia" w:ascii="宋体" w:hAnsi="宋体" w:cs="仿宋_GB2312"/>
          <w:highlight w:val="none"/>
        </w:rPr>
      </w:pPr>
      <w:r>
        <w:rPr>
          <w:rFonts w:hint="eastAsia" w:ascii="宋体" w:hAnsi="宋体" w:cs="仿宋_GB2312"/>
          <w:highlight w:val="none"/>
        </w:rPr>
        <w:t>完善安全风险公告制度，要在</w:t>
      </w:r>
      <w:r>
        <w:rPr>
          <w:rFonts w:hint="eastAsia" w:ascii="宋体" w:hAnsi="宋体" w:cs="仿宋_GB2312"/>
          <w:highlight w:val="none"/>
          <w:lang w:val="en-US" w:eastAsia="zh-CN"/>
        </w:rPr>
        <w:t>储能公司或分子公司、项目部（组）</w:t>
      </w:r>
      <w:r>
        <w:rPr>
          <w:rFonts w:hint="eastAsia" w:ascii="宋体" w:hAnsi="宋体" w:cs="仿宋_GB2312"/>
          <w:highlight w:val="none"/>
        </w:rPr>
        <w:t>公示栏位置和高安全风险区域的显著位置悬挂安全风险公告的警示牌，公告该区域存在的高安全风险内容、管控责任人和主要管控措施；</w:t>
      </w:r>
    </w:p>
    <w:p w14:paraId="695ADFF1">
      <w:pPr>
        <w:spacing w:line="324" w:lineRule="auto"/>
        <w:ind w:firstLine="420" w:firstLineChars="200"/>
        <w:rPr>
          <w:rFonts w:ascii="宋体" w:hAnsi="宋体" w:cs="仿宋_GB2312"/>
          <w:highlight w:val="none"/>
        </w:rPr>
      </w:pPr>
      <w:r>
        <w:rPr>
          <w:rFonts w:hint="eastAsia" w:ascii="宋体" w:hAnsi="宋体" w:cs="仿宋_GB2312"/>
          <w:highlight w:val="none"/>
        </w:rPr>
        <w:t xml:space="preserve"> 各业务部门</w:t>
      </w:r>
      <w:r>
        <w:rPr>
          <w:rFonts w:hint="eastAsia" w:ascii="宋体" w:hAnsi="宋体" w:cs="仿宋_GB2312"/>
          <w:highlight w:val="none"/>
          <w:lang w:eastAsia="zh-CN"/>
        </w:rPr>
        <w:t>、</w:t>
      </w:r>
      <w:r>
        <w:rPr>
          <w:rFonts w:hint="eastAsia" w:ascii="宋体" w:hAnsi="宋体" w:cs="仿宋_GB2312"/>
          <w:highlight w:val="none"/>
          <w:lang w:val="en-US" w:eastAsia="zh-CN"/>
        </w:rPr>
        <w:t>分子公司</w:t>
      </w:r>
      <w:r>
        <w:rPr>
          <w:rFonts w:hint="eastAsia" w:ascii="宋体" w:hAnsi="宋体" w:cs="仿宋_GB2312"/>
          <w:highlight w:val="none"/>
        </w:rPr>
        <w:t>、</w:t>
      </w:r>
      <w:r>
        <w:rPr>
          <w:rFonts w:hint="eastAsia" w:ascii="宋体" w:hAnsi="宋体" w:cs="仿宋_GB2312"/>
          <w:highlight w:val="none"/>
          <w:lang w:val="en-US" w:eastAsia="zh-CN"/>
        </w:rPr>
        <w:t>项目部（组）</w:t>
      </w:r>
      <w:r>
        <w:rPr>
          <w:rFonts w:hint="eastAsia" w:ascii="宋体" w:hAnsi="宋体" w:cs="仿宋_GB2312"/>
          <w:highlight w:val="none"/>
        </w:rPr>
        <w:t>要积极探索采用信息化管理手段，实现对安全风险的记录、跟踪、统计、监测和预警等全过程的信息化管理。加强信息共享和协调联动，由</w:t>
      </w:r>
      <w:r>
        <w:rPr>
          <w:rFonts w:hint="eastAsia" w:ascii="宋体" w:hAnsi="宋体" w:cs="仿宋_GB2312"/>
          <w:highlight w:val="none"/>
          <w:lang w:val="en-US" w:eastAsia="zh-CN"/>
        </w:rPr>
        <w:t>责任单位的</w:t>
      </w:r>
      <w:r>
        <w:rPr>
          <w:rFonts w:hint="eastAsia" w:ascii="宋体" w:hAnsi="宋体" w:cs="仿宋_GB2312"/>
          <w:highlight w:val="none"/>
        </w:rPr>
        <w:t>安全管理部</w:t>
      </w:r>
      <w:r>
        <w:rPr>
          <w:rFonts w:hint="eastAsia" w:ascii="宋体" w:hAnsi="宋体" w:cs="仿宋_GB2312"/>
          <w:highlight w:val="none"/>
          <w:lang w:val="en-US" w:eastAsia="zh-CN"/>
        </w:rPr>
        <w:t>门或专兼职安全管理人员</w:t>
      </w:r>
      <w:r>
        <w:rPr>
          <w:rFonts w:hint="eastAsia" w:ascii="宋体" w:hAnsi="宋体" w:cs="仿宋_GB2312"/>
          <w:highlight w:val="none"/>
        </w:rPr>
        <w:t>及时将安全风险区域的有关信息及应急处置措施告知受风险危害的相邻作业区域</w:t>
      </w:r>
      <w:r>
        <w:rPr>
          <w:rFonts w:hint="eastAsia" w:ascii="宋体" w:hAnsi="宋体" w:cs="仿宋_GB2312"/>
          <w:highlight w:val="none"/>
          <w:lang w:val="en-US" w:eastAsia="zh-CN"/>
        </w:rPr>
        <w:t>部门</w:t>
      </w:r>
      <w:r>
        <w:rPr>
          <w:rFonts w:hint="eastAsia" w:ascii="宋体" w:hAnsi="宋体" w:cs="仿宋_GB2312"/>
          <w:highlight w:val="none"/>
        </w:rPr>
        <w:t>、班组、岗位。</w:t>
      </w:r>
    </w:p>
    <w:p w14:paraId="7F5F937B">
      <w:pPr>
        <w:spacing w:line="324" w:lineRule="auto"/>
        <w:ind w:firstLine="422" w:firstLineChars="200"/>
        <w:rPr>
          <w:rFonts w:ascii="宋体" w:hAnsi="宋体" w:cs="仿宋_GB2312"/>
          <w:b/>
          <w:highlight w:val="none"/>
        </w:rPr>
      </w:pPr>
      <w:r>
        <w:rPr>
          <w:rFonts w:hint="eastAsia" w:ascii="宋体" w:hAnsi="宋体" w:cs="仿宋_GB2312"/>
          <w:b/>
          <w:bCs/>
          <w:highlight w:val="none"/>
        </w:rPr>
        <w:t>4.3</w:t>
      </w:r>
      <w:r>
        <w:rPr>
          <w:rFonts w:hint="eastAsia" w:ascii="宋体" w:hAnsi="宋体" w:cs="仿宋_GB2312"/>
          <w:b/>
          <w:highlight w:val="none"/>
        </w:rPr>
        <w:t xml:space="preserve">  专项辨识评估</w:t>
      </w:r>
    </w:p>
    <w:p w14:paraId="4337B2C2">
      <w:pPr>
        <w:spacing w:line="324" w:lineRule="auto"/>
        <w:ind w:firstLine="420" w:firstLineChars="200"/>
        <w:rPr>
          <w:rFonts w:ascii="宋体" w:hAnsi="宋体" w:cs="仿宋_GB2312"/>
          <w:highlight w:val="none"/>
        </w:rPr>
      </w:pPr>
      <w:r>
        <w:rPr>
          <w:rFonts w:hint="eastAsia" w:ascii="宋体" w:hAnsi="宋体" w:cs="仿宋_GB2312"/>
          <w:highlight w:val="none"/>
        </w:rPr>
        <w:t>4.3.1年度风险辨识评估，每年由主要负责人亲自组织，制定年度安全风险辨识评估工作方案，抽调各部门技术人员，重点围绕</w:t>
      </w:r>
      <w:r>
        <w:rPr>
          <w:rFonts w:hint="eastAsia" w:ascii="宋体" w:hAnsi="宋体"/>
          <w:highlight w:val="none"/>
          <w:shd w:val="clear" w:color="auto" w:fill="FFFFFF"/>
        </w:rPr>
        <w:t>起重设备、锅炉（压力容器及管道）、电气设备设施以</w:t>
      </w:r>
      <w:r>
        <w:rPr>
          <w:rFonts w:hint="eastAsia" w:ascii="宋体" w:hAnsi="宋体" w:cs="仿宋_GB2312"/>
          <w:highlight w:val="none"/>
        </w:rPr>
        <w:t>及人的不安全行为、物的不安全状态、环境的不良因素和管理缺陷等要素，结合</w:t>
      </w:r>
      <w:r>
        <w:rPr>
          <w:rFonts w:hint="eastAsia" w:ascii="宋体" w:hAnsi="宋体" w:cs="仿宋_GB2312"/>
          <w:highlight w:val="none"/>
          <w:lang w:val="en-US" w:eastAsia="zh-CN"/>
        </w:rPr>
        <w:t>储能</w:t>
      </w:r>
      <w:r>
        <w:rPr>
          <w:rFonts w:hint="eastAsia" w:ascii="宋体" w:hAnsi="宋体" w:cs="仿宋_GB2312"/>
          <w:highlight w:val="none"/>
        </w:rPr>
        <w:t>公司</w:t>
      </w:r>
      <w:r>
        <w:rPr>
          <w:rFonts w:hint="eastAsia" w:ascii="宋体" w:hAnsi="宋体" w:cs="仿宋_GB2312"/>
          <w:highlight w:val="none"/>
          <w:lang w:val="en-US" w:eastAsia="zh-CN"/>
        </w:rPr>
        <w:t>及分子公司、项目部（组）</w:t>
      </w:r>
      <w:r>
        <w:rPr>
          <w:rFonts w:hint="eastAsia" w:ascii="宋体" w:hAnsi="宋体" w:cs="仿宋_GB2312"/>
          <w:highlight w:val="none"/>
        </w:rPr>
        <w:t>生产系统、设备设施、作业场所等部位和环节，进行一次全面、系统的安全风险辨识评估，并对辨识出的各类安全风险进行分类梳理，综合考虑作业场所、受威胁人数、起因物、引起事故的诱导性原因、致害物、伤害方式等，通过对危险源的调查、危险区域的界定、存在条件及触发因素的分析、潜在危险性分析，确定安全风险类别。</w:t>
      </w:r>
    </w:p>
    <w:p w14:paraId="5D428650">
      <w:pPr>
        <w:adjustRightInd w:val="0"/>
        <w:snapToGrid w:val="0"/>
        <w:spacing w:line="440" w:lineRule="exact"/>
        <w:ind w:firstLine="420" w:firstLineChars="200"/>
        <w:rPr>
          <w:rFonts w:ascii="宋体" w:hAnsi="宋体" w:cs="仿宋_GB2312"/>
          <w:highlight w:val="none"/>
        </w:rPr>
      </w:pPr>
      <w:r>
        <w:rPr>
          <w:rFonts w:hint="eastAsia" w:ascii="宋体" w:hAnsi="宋体" w:cs="仿宋_GB2312"/>
          <w:highlight w:val="none"/>
        </w:rPr>
        <w:t>4.3.2</w:t>
      </w:r>
      <w:r>
        <w:rPr>
          <w:rFonts w:hint="eastAsia" w:ascii="宋体" w:hAnsi="宋体"/>
          <w:highlight w:val="none"/>
          <w:shd w:val="clear" w:color="auto" w:fill="FFFFFF"/>
        </w:rPr>
        <w:t>新产品、新工艺、新材料设计前的风险辨识评估。由各单位分管技术的负责人组织相部门，重点对新产品、新工艺、新材料的安全性及生产过程存在的安全风险进行一次专项辨识，辨识评估结果用于完善设计方案，指导生产工艺选择、生产系统布置、设备选型、劳动组织确定等。</w:t>
      </w:r>
    </w:p>
    <w:p w14:paraId="626FD313">
      <w:pPr>
        <w:spacing w:line="324" w:lineRule="auto"/>
        <w:ind w:firstLine="420" w:firstLineChars="200"/>
        <w:rPr>
          <w:rFonts w:ascii="宋体" w:hAnsi="宋体" w:cs="仿宋_GB2312"/>
          <w:highlight w:val="none"/>
        </w:rPr>
      </w:pPr>
      <w:r>
        <w:rPr>
          <w:rFonts w:hint="eastAsia" w:ascii="宋体" w:hAnsi="宋体" w:cs="仿宋_GB2312"/>
          <w:highlight w:val="none"/>
        </w:rPr>
        <w:t>4.3.3生产系统、生产工艺、主要设施设备、潜在安全风险等发生重大变化时的风险辨识评估。由各单位分管设备的负责人和分管技术的负责人组织相关部门，重点对作业环境、生产过程、潜在安全风险因素和设施设备运行等方面存在的安全风险进行一次专项评估，辨识评估结果用于指导重新编制或修订完善作业规程、操作规程。</w:t>
      </w:r>
    </w:p>
    <w:p w14:paraId="146806EB">
      <w:pPr>
        <w:spacing w:line="324" w:lineRule="auto"/>
        <w:ind w:firstLine="420" w:firstLineChars="200"/>
        <w:rPr>
          <w:rFonts w:ascii="宋体" w:hAnsi="宋体" w:cs="仿宋_GB2312"/>
          <w:highlight w:val="none"/>
        </w:rPr>
      </w:pPr>
      <w:r>
        <w:rPr>
          <w:rFonts w:hint="eastAsia" w:ascii="宋体" w:hAnsi="宋体" w:cs="仿宋_GB2312"/>
          <w:highlight w:val="none"/>
        </w:rPr>
        <w:t>4.3.4安全管理重点部位动火、登高及受限空间等高危作业实施前，新技术、新材料试验或推广新应用前的风险辨识，由</w:t>
      </w:r>
      <w:r>
        <w:rPr>
          <w:rFonts w:hint="eastAsia" w:ascii="宋体" w:hAnsi="宋体" w:cs="仿宋_GB2312"/>
          <w:highlight w:val="none"/>
          <w:lang w:val="en-US" w:eastAsia="zh-CN"/>
        </w:rPr>
        <w:t>主管质量工作的公司领导</w:t>
      </w:r>
      <w:r>
        <w:rPr>
          <w:rFonts w:hint="eastAsia" w:ascii="宋体" w:hAnsi="宋体" w:cs="仿宋_GB2312"/>
          <w:highlight w:val="none"/>
        </w:rPr>
        <w:t>组织相关业务部门、车间，重点对作业环境、工程技术、设备设施、现场操作等方面存在的安全风险进行一次专项评估，辨识评估结果作为安全技术措施编制依据。</w:t>
      </w:r>
    </w:p>
    <w:p w14:paraId="16344DC9">
      <w:pPr>
        <w:spacing w:line="324" w:lineRule="auto"/>
        <w:ind w:firstLine="420" w:firstLineChars="200"/>
        <w:rPr>
          <w:rFonts w:ascii="宋体" w:hAnsi="宋体" w:cs="仿宋_GB2312"/>
          <w:highlight w:val="none"/>
        </w:rPr>
      </w:pPr>
      <w:r>
        <w:rPr>
          <w:rFonts w:hint="eastAsia" w:ascii="宋体" w:hAnsi="宋体" w:cs="仿宋_GB2312"/>
          <w:highlight w:val="none"/>
        </w:rPr>
        <w:t>4.3.5.本公司发生死亡事故或涉险事故（或称未遂事故）、出现重大事故隐患或所在省份发生重特大事故后，由主要负责人组织分管负责人和业务部门开展一次针对性的专项辨识。</w:t>
      </w:r>
    </w:p>
    <w:p w14:paraId="78B8CEA0">
      <w:pPr>
        <w:spacing w:line="324" w:lineRule="auto"/>
        <w:ind w:firstLine="422" w:firstLineChars="200"/>
        <w:jc w:val="left"/>
        <w:rPr>
          <w:rFonts w:hint="eastAsia" w:ascii="宋体" w:hAnsi="宋体" w:cs="仿宋_GB2312"/>
          <w:highlight w:val="none"/>
        </w:rPr>
      </w:pPr>
      <w:r>
        <w:rPr>
          <w:rFonts w:hint="eastAsia" w:ascii="宋体" w:hAnsi="宋体" w:cs="宋体"/>
          <w:b/>
          <w:bCs/>
          <w:highlight w:val="none"/>
        </w:rPr>
        <w:t>4.4风险分级管控</w:t>
      </w:r>
    </w:p>
    <w:p w14:paraId="6DD4C62B">
      <w:pPr>
        <w:spacing w:line="324" w:lineRule="auto"/>
        <w:ind w:firstLine="420" w:firstLineChars="200"/>
        <w:rPr>
          <w:rFonts w:ascii="宋体" w:hAnsi="宋体" w:cs="仿宋_GB2312"/>
          <w:highlight w:val="none"/>
        </w:rPr>
      </w:pPr>
      <w:r>
        <w:rPr>
          <w:rFonts w:hint="eastAsia" w:ascii="宋体" w:hAnsi="宋体" w:cs="仿宋_GB2312"/>
          <w:highlight w:val="none"/>
        </w:rPr>
        <w:t>根据安全风险评估，重大风险、较大风险由</w:t>
      </w:r>
      <w:r>
        <w:rPr>
          <w:rFonts w:hint="eastAsia" w:ascii="宋体" w:hAnsi="宋体" w:cs="仿宋_GB2312"/>
          <w:highlight w:val="none"/>
          <w:lang w:val="en-US" w:eastAsia="zh-CN"/>
        </w:rPr>
        <w:t>储能</w:t>
      </w:r>
      <w:r>
        <w:rPr>
          <w:rFonts w:hint="eastAsia" w:ascii="宋体" w:hAnsi="宋体" w:cs="仿宋_GB2312"/>
          <w:highlight w:val="none"/>
        </w:rPr>
        <w:t>公司进行监管，风险点所在的</w:t>
      </w:r>
      <w:r>
        <w:rPr>
          <w:rFonts w:hint="eastAsia" w:ascii="宋体" w:hAnsi="宋体" w:cs="仿宋_GB2312"/>
          <w:highlight w:val="none"/>
          <w:lang w:val="en-US" w:eastAsia="zh-CN"/>
        </w:rPr>
        <w:t>部门分子公司或项目部（组）</w:t>
      </w:r>
      <w:r>
        <w:rPr>
          <w:rFonts w:hint="eastAsia" w:ascii="宋体" w:hAnsi="宋体" w:cs="仿宋_GB2312"/>
          <w:highlight w:val="none"/>
        </w:rPr>
        <w:t>总体管控，班组或岗位负责责任范围内的风险管控，一般风险由</w:t>
      </w:r>
      <w:r>
        <w:rPr>
          <w:rFonts w:hint="eastAsia" w:ascii="宋体" w:hAnsi="宋体" w:cs="仿宋_GB2312"/>
          <w:highlight w:val="none"/>
          <w:lang w:val="en-US" w:eastAsia="zh-CN"/>
        </w:rPr>
        <w:t>部门分子公司或项目部（组）</w:t>
      </w:r>
      <w:r>
        <w:rPr>
          <w:rFonts w:hint="eastAsia" w:ascii="宋体" w:hAnsi="宋体" w:cs="仿宋_GB2312"/>
          <w:highlight w:val="none"/>
        </w:rPr>
        <w:t>直接监管，班组或岗位负责管控，低风险由班组或岗位管控或因风险较小可直接忽略，逐级分解落实到每级岗位和管理人员、作业员工身上，确保每一项风险都有人管理，有人监控，有人负责。</w:t>
      </w:r>
    </w:p>
    <w:p w14:paraId="04F755D5">
      <w:pPr>
        <w:spacing w:line="324" w:lineRule="auto"/>
        <w:ind w:firstLine="420" w:firstLineChars="200"/>
        <w:rPr>
          <w:rFonts w:ascii="宋体" w:hAnsi="宋体" w:cs="黑体"/>
          <w:highlight w:val="none"/>
        </w:rPr>
      </w:pPr>
      <w:r>
        <w:rPr>
          <w:rFonts w:hint="eastAsia" w:ascii="宋体" w:hAnsi="宋体" w:cs="仿宋_GB2312"/>
          <w:highlight w:val="none"/>
        </w:rPr>
        <w:t>4.4.1由主要负责人亲自组织实施，针对重大安全风险等级，按照采取消除、替代、转移、工程、隔离、行政管理、个人防护的顺序制定管控措施和工作方案，人员、资金要有保障，并在划定的重大安全风险区域设定作业人数上限。</w:t>
      </w:r>
    </w:p>
    <w:p w14:paraId="0C9BA72C">
      <w:pPr>
        <w:spacing w:line="324" w:lineRule="auto"/>
        <w:ind w:firstLine="420" w:firstLineChars="200"/>
        <w:rPr>
          <w:rFonts w:ascii="宋体" w:hAnsi="宋体" w:cs="仿宋_GB2312"/>
          <w:highlight w:val="none"/>
        </w:rPr>
      </w:pPr>
      <w:r>
        <w:rPr>
          <w:rFonts w:hint="eastAsia" w:ascii="宋体" w:hAnsi="宋体" w:cs="仿宋_GB2312"/>
          <w:highlight w:val="none"/>
        </w:rPr>
        <w:t>4.4.2由主要负责人牵头组织召开专题会，每年对评估出的重大安全风险管控措施落实情况和管控效果进行检查分析，识别安全风险辨识结果及管控措施是否存在漏洞、盲区，针对管控过程中出现的问题调整完善管控措施，并结合年度和专项安全风险辨识评估结果，布置下阶段安全风险管控重点。</w:t>
      </w:r>
    </w:p>
    <w:p w14:paraId="48CE032C">
      <w:pPr>
        <w:spacing w:line="324" w:lineRule="auto"/>
        <w:ind w:firstLine="420" w:firstLineChars="200"/>
        <w:rPr>
          <w:rFonts w:ascii="宋体" w:hAnsi="宋体" w:cs="仿宋_GB2312"/>
          <w:highlight w:val="none"/>
        </w:rPr>
      </w:pPr>
      <w:r>
        <w:rPr>
          <w:rFonts w:hint="eastAsia" w:ascii="宋体" w:hAnsi="宋体" w:cs="仿宋_GB2312"/>
          <w:bCs/>
          <w:highlight w:val="none"/>
        </w:rPr>
        <w:t>4.4.3</w:t>
      </w:r>
      <w:r>
        <w:rPr>
          <w:rFonts w:hint="eastAsia" w:ascii="宋体" w:hAnsi="宋体" w:cs="仿宋_GB2312"/>
          <w:highlight w:val="none"/>
        </w:rPr>
        <w:t>由分管安全副总牵头组织召开专题会，每季度各专业部门针对本部门存在的每一项安全风险，从制度、管理、措施、装备、应急、责任、考核等方面逐一落实管控措施，组织对月度安全风险重点管控区域措施实施情况进行一次检查分析，落实管控措施是否符合现场实际，不断完善改进管控措施。</w:t>
      </w:r>
    </w:p>
    <w:p w14:paraId="1793879A">
      <w:pPr>
        <w:spacing w:line="324" w:lineRule="auto"/>
        <w:ind w:firstLine="420" w:firstLineChars="200"/>
        <w:rPr>
          <w:rFonts w:ascii="宋体" w:hAnsi="宋体" w:cs="仿宋_GB2312"/>
          <w:highlight w:val="none"/>
        </w:rPr>
      </w:pPr>
      <w:r>
        <w:rPr>
          <w:rFonts w:hint="eastAsia" w:ascii="宋体" w:hAnsi="宋体" w:cs="仿宋_GB2312"/>
          <w:bCs/>
          <w:highlight w:val="none"/>
        </w:rPr>
        <w:t>4.4.5</w:t>
      </w:r>
      <w:r>
        <w:rPr>
          <w:rFonts w:hint="eastAsia" w:ascii="宋体" w:hAnsi="宋体" w:cs="仿宋_GB2312"/>
          <w:highlight w:val="none"/>
        </w:rPr>
        <w:t>安全管理</w:t>
      </w:r>
      <w:r>
        <w:rPr>
          <w:rFonts w:hint="eastAsia" w:ascii="宋体" w:hAnsi="宋体" w:cs="仿宋_GB2312"/>
          <w:highlight w:val="none"/>
          <w:lang w:val="en-US" w:eastAsia="zh-CN"/>
        </w:rPr>
        <w:t>部门</w:t>
      </w:r>
      <w:r>
        <w:rPr>
          <w:rFonts w:hint="eastAsia" w:ascii="宋体" w:hAnsi="宋体" w:cs="仿宋_GB2312"/>
          <w:highlight w:val="none"/>
        </w:rPr>
        <w:t>严格对照每一项安全风险的管控措施，抓好日常监督检查，确保管控措施严格落实到位。</w:t>
      </w:r>
    </w:p>
    <w:p w14:paraId="3F1BF29C">
      <w:pPr>
        <w:spacing w:line="324" w:lineRule="auto"/>
        <w:ind w:firstLine="420" w:firstLineChars="200"/>
        <w:rPr>
          <w:rFonts w:ascii="宋体" w:hAnsi="宋体" w:cs="仿宋_GB2312"/>
          <w:highlight w:val="none"/>
        </w:rPr>
      </w:pPr>
      <w:r>
        <w:rPr>
          <w:rFonts w:hint="eastAsia" w:ascii="宋体" w:hAnsi="宋体" w:cs="仿宋_GB2312"/>
          <w:bCs/>
          <w:highlight w:val="none"/>
        </w:rPr>
        <w:t>4.4.6</w:t>
      </w:r>
      <w:r>
        <w:rPr>
          <w:rFonts w:hint="eastAsia" w:ascii="宋体" w:hAnsi="宋体" w:cs="仿宋_GB2312"/>
          <w:highlight w:val="none"/>
        </w:rPr>
        <w:t xml:space="preserve"> 公司领导下车间</w:t>
      </w:r>
      <w:r>
        <w:rPr>
          <w:rFonts w:hint="eastAsia" w:ascii="宋体" w:hAnsi="宋体" w:cs="仿宋_GB2312"/>
          <w:highlight w:val="none"/>
          <w:lang w:val="en-US" w:eastAsia="zh-CN"/>
        </w:rPr>
        <w:t>或部门</w:t>
      </w:r>
      <w:r>
        <w:rPr>
          <w:rFonts w:hint="eastAsia" w:ascii="宋体" w:hAnsi="宋体" w:cs="仿宋_GB2312"/>
          <w:highlight w:val="none"/>
        </w:rPr>
        <w:t>检查工作过程中，要严格监督检查各区域、作业点安全风险管控措施落实情况，发现问题及时督促整改。</w:t>
      </w:r>
    </w:p>
    <w:p w14:paraId="434A4D33">
      <w:pPr>
        <w:spacing w:line="324" w:lineRule="auto"/>
        <w:ind w:firstLine="420" w:firstLineChars="200"/>
        <w:rPr>
          <w:rFonts w:ascii="宋体" w:hAnsi="宋体" w:cs="仿宋_GB2312"/>
          <w:highlight w:val="none"/>
        </w:rPr>
      </w:pPr>
      <w:r>
        <w:rPr>
          <w:rFonts w:hint="eastAsia" w:ascii="宋体" w:hAnsi="宋体" w:cs="仿宋_GB2312"/>
          <w:bCs/>
          <w:highlight w:val="none"/>
        </w:rPr>
        <w:t>4.4.7</w:t>
      </w:r>
      <w:r>
        <w:rPr>
          <w:rFonts w:hint="eastAsia" w:ascii="宋体" w:hAnsi="宋体" w:cs="仿宋_GB2312"/>
          <w:highlight w:val="none"/>
        </w:rPr>
        <w:t xml:space="preserve"> 各业务部门要突出管控重点，对重大危险源和存在高风险的生产工序、生产区域、岗位实行重点管控，有针对性地开展监督检查等日常管控工作。</w:t>
      </w:r>
    </w:p>
    <w:p w14:paraId="3E94F49C">
      <w:pPr>
        <w:spacing w:line="324" w:lineRule="auto"/>
        <w:ind w:firstLine="420" w:firstLineChars="200"/>
        <w:rPr>
          <w:rFonts w:ascii="宋体" w:hAnsi="宋体" w:cs="仿宋_GB2312"/>
          <w:highlight w:val="none"/>
        </w:rPr>
      </w:pPr>
      <w:r>
        <w:rPr>
          <w:rFonts w:hint="eastAsia" w:ascii="宋体" w:hAnsi="宋体" w:cs="仿宋_GB2312"/>
          <w:bCs/>
          <w:highlight w:val="none"/>
        </w:rPr>
        <w:t>4.4.8</w:t>
      </w:r>
      <w:r>
        <w:rPr>
          <w:rFonts w:hint="eastAsia" w:ascii="宋体" w:hAnsi="宋体" w:cs="仿宋_GB2312"/>
          <w:highlight w:val="none"/>
        </w:rPr>
        <w:t xml:space="preserve"> 实时动态调整，高度关注生产状况和危险源变化后的风险状况，动态评估、调整风险等级和管控措施，实时分析风险的管控能力变化情况，准确掌握实际存在的风险状况等级，并随着风险变化而随时升降等级，防止出现评级“终身制”，确保安全风险始终处于受控范围内。</w:t>
      </w:r>
    </w:p>
    <w:p w14:paraId="70417F10">
      <w:pPr>
        <w:adjustRightInd w:val="0"/>
        <w:snapToGrid w:val="0"/>
        <w:spacing w:line="276" w:lineRule="auto"/>
        <w:jc w:val="center"/>
        <w:rPr>
          <w:rFonts w:hint="eastAsia" w:ascii="宋体" w:hAnsi="宋体"/>
          <w:b/>
          <w:color w:val="000000"/>
          <w:sz w:val="24"/>
          <w:szCs w:val="28"/>
          <w:highlight w:val="none"/>
          <w:shd w:val="clear" w:color="auto" w:fill="FFFFFF"/>
        </w:rPr>
      </w:pPr>
    </w:p>
    <w:p w14:paraId="280F0304">
      <w:pPr>
        <w:adjustRightInd w:val="0"/>
        <w:snapToGrid w:val="0"/>
        <w:spacing w:line="276" w:lineRule="auto"/>
        <w:jc w:val="center"/>
        <w:rPr>
          <w:rFonts w:hint="eastAsia" w:ascii="宋体" w:hAnsi="宋体"/>
          <w:b/>
          <w:color w:val="000000"/>
          <w:sz w:val="24"/>
          <w:szCs w:val="28"/>
          <w:highlight w:val="none"/>
          <w:shd w:val="clear" w:color="auto" w:fill="FFFFFF"/>
        </w:rPr>
      </w:pPr>
    </w:p>
    <w:p w14:paraId="6EC1610D">
      <w:pPr>
        <w:adjustRightInd w:val="0"/>
        <w:snapToGrid w:val="0"/>
        <w:spacing w:line="276" w:lineRule="auto"/>
        <w:jc w:val="center"/>
        <w:rPr>
          <w:rFonts w:hint="eastAsia" w:ascii="宋体" w:hAnsi="宋体"/>
          <w:b/>
          <w:color w:val="000000"/>
          <w:sz w:val="24"/>
          <w:szCs w:val="28"/>
          <w:highlight w:val="none"/>
          <w:shd w:val="clear" w:color="auto" w:fill="FFFFFF"/>
        </w:rPr>
      </w:pPr>
    </w:p>
    <w:p w14:paraId="197188E5">
      <w:pPr>
        <w:adjustRightInd w:val="0"/>
        <w:snapToGrid w:val="0"/>
        <w:spacing w:line="276" w:lineRule="auto"/>
        <w:jc w:val="center"/>
        <w:rPr>
          <w:rFonts w:hint="eastAsia" w:ascii="宋体" w:hAnsi="宋体"/>
          <w:b/>
          <w:color w:val="000000"/>
          <w:sz w:val="24"/>
          <w:szCs w:val="28"/>
          <w:highlight w:val="none"/>
          <w:shd w:val="clear" w:color="auto" w:fill="FFFFFF"/>
        </w:rPr>
      </w:pPr>
    </w:p>
    <w:p w14:paraId="4710E959">
      <w:pPr>
        <w:adjustRightInd w:val="0"/>
        <w:snapToGrid w:val="0"/>
        <w:spacing w:line="276" w:lineRule="auto"/>
        <w:jc w:val="center"/>
        <w:rPr>
          <w:rFonts w:hint="eastAsia" w:ascii="宋体" w:hAnsi="宋体"/>
          <w:b/>
          <w:color w:val="000000"/>
          <w:sz w:val="24"/>
          <w:szCs w:val="28"/>
          <w:highlight w:val="none"/>
          <w:shd w:val="clear" w:color="auto" w:fill="FFFFFF"/>
        </w:rPr>
      </w:pPr>
    </w:p>
    <w:p w14:paraId="6FFA60D3">
      <w:pPr>
        <w:adjustRightInd w:val="0"/>
        <w:snapToGrid w:val="0"/>
        <w:spacing w:line="276" w:lineRule="auto"/>
        <w:jc w:val="center"/>
        <w:rPr>
          <w:rFonts w:hint="eastAsia" w:ascii="宋体" w:hAnsi="宋体"/>
          <w:b/>
          <w:color w:val="000000"/>
          <w:sz w:val="24"/>
          <w:szCs w:val="28"/>
          <w:highlight w:val="none"/>
          <w:shd w:val="clear" w:color="auto" w:fill="FFFFFF"/>
        </w:rPr>
      </w:pPr>
    </w:p>
    <w:p w14:paraId="14E88FE6">
      <w:pPr>
        <w:adjustRightInd w:val="0"/>
        <w:snapToGrid w:val="0"/>
        <w:spacing w:line="276" w:lineRule="auto"/>
        <w:jc w:val="center"/>
        <w:rPr>
          <w:rFonts w:hint="eastAsia" w:ascii="Verdana" w:hAnsi="Verdana"/>
          <w:color w:val="FF0000"/>
          <w:sz w:val="20"/>
          <w:highlight w:val="none"/>
          <w:shd w:val="clear" w:color="auto" w:fill="FFFFFF"/>
        </w:rPr>
      </w:pPr>
      <w:r>
        <w:rPr>
          <w:rFonts w:hint="eastAsia" w:ascii="宋体" w:hAnsi="宋体"/>
          <w:b/>
          <w:color w:val="000000"/>
          <w:sz w:val="24"/>
          <w:szCs w:val="28"/>
          <w:highlight w:val="none"/>
          <w:shd w:val="clear" w:color="auto" w:fill="FFFFFF"/>
        </w:rPr>
        <w:t>风险管控流程图（图1）</w:t>
      </w:r>
    </w:p>
    <w:p w14:paraId="0F23146F">
      <w:pPr>
        <w:spacing w:line="360" w:lineRule="auto"/>
        <w:ind w:left="-281" w:leftChars="-134" w:right="-197" w:rightChars="-94" w:firstLine="371" w:firstLineChars="177"/>
        <w:rPr>
          <w:rFonts w:hint="eastAsia" w:ascii="宋体" w:hAnsi="宋体" w:cs="仿宋_GB2312"/>
          <w:color w:val="FF0000"/>
          <w:highlight w:val="none"/>
        </w:rPr>
      </w:pPr>
    </w:p>
    <w:p w14:paraId="59DB8A4E">
      <w:pPr>
        <w:spacing w:line="360" w:lineRule="auto"/>
        <w:ind w:left="-281" w:leftChars="-134" w:right="-197" w:rightChars="-94" w:firstLine="354" w:firstLineChars="177"/>
        <w:rPr>
          <w:rFonts w:hint="eastAsia" w:ascii="宋体" w:hAnsi="宋体" w:cs="仿宋_GB2312"/>
          <w:color w:val="FF0000"/>
          <w:highlight w:val="none"/>
        </w:rPr>
      </w:pPr>
      <w:r>
        <w:rPr>
          <w:rFonts w:ascii="宋体" w:hAnsi="宋体" w:cs="仿宋_GB2312"/>
          <w:color w:val="FF0000"/>
          <w:sz w:val="20"/>
          <w:highlight w:val="none"/>
        </w:rPr>
        <w:drawing>
          <wp:anchor distT="0" distB="0" distL="114300" distR="114300" simplePos="0" relativeHeight="251659264" behindDoc="0" locked="0" layoutInCell="1" allowOverlap="1">
            <wp:simplePos x="0" y="0"/>
            <wp:positionH relativeFrom="column">
              <wp:posOffset>782320</wp:posOffset>
            </wp:positionH>
            <wp:positionV relativeFrom="paragraph">
              <wp:posOffset>-128905</wp:posOffset>
            </wp:positionV>
            <wp:extent cx="3510915" cy="23272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510915" cy="2327275"/>
                    </a:xfrm>
                    <a:prstGeom prst="rect">
                      <a:avLst/>
                    </a:prstGeom>
                    <a:noFill/>
                    <a:ln>
                      <a:noFill/>
                    </a:ln>
                  </pic:spPr>
                </pic:pic>
              </a:graphicData>
            </a:graphic>
          </wp:anchor>
        </w:drawing>
      </w:r>
    </w:p>
    <w:p w14:paraId="7CD25F64">
      <w:pPr>
        <w:spacing w:line="400" w:lineRule="atLeast"/>
        <w:ind w:right="-334" w:firstLine="373" w:firstLineChars="177"/>
        <w:rPr>
          <w:rFonts w:hint="eastAsia" w:ascii="宋体" w:hAnsi="宋体" w:cs="宋体"/>
          <w:b/>
          <w:kern w:val="0"/>
          <w:highlight w:val="none"/>
        </w:rPr>
      </w:pPr>
    </w:p>
    <w:p w14:paraId="58F81CFA">
      <w:pPr>
        <w:spacing w:line="400" w:lineRule="atLeast"/>
        <w:ind w:right="-334" w:firstLine="373" w:firstLineChars="177"/>
        <w:rPr>
          <w:rFonts w:hint="eastAsia" w:ascii="宋体" w:hAnsi="宋体" w:cs="宋体"/>
          <w:b/>
          <w:kern w:val="0"/>
          <w:highlight w:val="none"/>
        </w:rPr>
      </w:pPr>
    </w:p>
    <w:p w14:paraId="2EEE97BE">
      <w:pPr>
        <w:spacing w:line="400" w:lineRule="atLeast"/>
        <w:ind w:right="-334" w:firstLine="373" w:firstLineChars="177"/>
        <w:rPr>
          <w:rFonts w:hint="eastAsia" w:ascii="宋体" w:hAnsi="宋体" w:cs="宋体"/>
          <w:b/>
          <w:kern w:val="0"/>
          <w:highlight w:val="none"/>
        </w:rPr>
      </w:pPr>
    </w:p>
    <w:p w14:paraId="7D9548AA">
      <w:pPr>
        <w:spacing w:line="360" w:lineRule="auto"/>
        <w:ind w:firstLine="422" w:firstLineChars="200"/>
        <w:rPr>
          <w:rFonts w:hint="eastAsia" w:ascii="宋体" w:hAnsi="宋体" w:cs="宋体"/>
          <w:b/>
          <w:kern w:val="0"/>
          <w:highlight w:val="none"/>
        </w:rPr>
      </w:pPr>
    </w:p>
    <w:p w14:paraId="1A059C99">
      <w:pPr>
        <w:spacing w:line="360" w:lineRule="auto"/>
        <w:ind w:firstLine="422" w:firstLineChars="200"/>
        <w:rPr>
          <w:rFonts w:hint="eastAsia" w:ascii="宋体" w:hAnsi="宋体" w:cs="宋体"/>
          <w:b/>
          <w:kern w:val="0"/>
          <w:highlight w:val="none"/>
        </w:rPr>
      </w:pPr>
    </w:p>
    <w:p w14:paraId="57E38DC1">
      <w:pPr>
        <w:spacing w:line="360" w:lineRule="auto"/>
        <w:ind w:firstLine="422" w:firstLineChars="200"/>
        <w:rPr>
          <w:rFonts w:hint="eastAsia" w:ascii="宋体" w:hAnsi="宋体" w:cs="宋体"/>
          <w:b/>
          <w:kern w:val="0"/>
          <w:highlight w:val="none"/>
        </w:rPr>
      </w:pPr>
    </w:p>
    <w:p w14:paraId="66C23019">
      <w:pPr>
        <w:spacing w:line="360" w:lineRule="auto"/>
        <w:ind w:firstLine="422" w:firstLineChars="200"/>
        <w:rPr>
          <w:rFonts w:hint="eastAsia" w:ascii="宋体" w:hAnsi="宋体" w:cs="宋体"/>
          <w:b/>
          <w:kern w:val="0"/>
          <w:highlight w:val="none"/>
        </w:rPr>
      </w:pPr>
    </w:p>
    <w:p w14:paraId="4C9E5587">
      <w:pPr>
        <w:spacing w:line="360" w:lineRule="auto"/>
        <w:ind w:firstLine="422" w:firstLineChars="200"/>
        <w:rPr>
          <w:rFonts w:hint="eastAsia" w:ascii="宋体" w:hAnsi="宋体" w:cs="宋体"/>
          <w:b/>
          <w:kern w:val="0"/>
          <w:highlight w:val="none"/>
        </w:rPr>
      </w:pPr>
    </w:p>
    <w:p w14:paraId="4322B0F8">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4.5事故隐患</w:t>
      </w:r>
    </w:p>
    <w:p w14:paraId="67AF808E">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4.5.1分类</w:t>
      </w:r>
    </w:p>
    <w:p w14:paraId="638B079D">
      <w:pPr>
        <w:spacing w:line="360" w:lineRule="auto"/>
        <w:ind w:firstLine="420" w:firstLineChars="200"/>
        <w:rPr>
          <w:rFonts w:ascii="宋体" w:hAnsi="宋体" w:cs="Tahoma"/>
          <w:kern w:val="0"/>
          <w:highlight w:val="none"/>
        </w:rPr>
      </w:pPr>
      <w:r>
        <w:rPr>
          <w:rFonts w:hint="eastAsia" w:ascii="宋体" w:hAnsi="宋体" w:cs="Tahoma"/>
          <w:kern w:val="0"/>
          <w:highlight w:val="none"/>
        </w:rPr>
        <w:t>事故隐患按照其可能造成的事故性质和危害程度，分为两类：</w:t>
      </w:r>
    </w:p>
    <w:p w14:paraId="69457D49">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一般事故隐患：指危害和整改难度较小，发现后能够立即整改排除的隐患。</w:t>
      </w:r>
    </w:p>
    <w:p w14:paraId="6EFEA6D4">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重大事故隐患：指危害和整改难度较大，应当全部或者局部停产停业，并经过一定时间整改治理方能排除的隐患，或者因外部因素影响致使生产经营单位自身难以排除的隐患。</w:t>
      </w:r>
    </w:p>
    <w:p w14:paraId="564CBA6E">
      <w:pPr>
        <w:spacing w:line="360" w:lineRule="auto"/>
        <w:ind w:firstLine="420" w:firstLineChars="200"/>
        <w:rPr>
          <w:rFonts w:ascii="宋体" w:hAnsi="宋体" w:cs="Tahoma"/>
          <w:kern w:val="0"/>
          <w:highlight w:val="none"/>
        </w:rPr>
      </w:pPr>
      <w:r>
        <w:rPr>
          <w:rFonts w:hint="eastAsia" w:ascii="宋体" w:hAnsi="宋体" w:cs="Tahoma"/>
          <w:kern w:val="0"/>
          <w:highlight w:val="none"/>
        </w:rPr>
        <w:t>由于场所、设备设施的不安全状态、人的不安全行为或管理上的缺陷，随时可能导致发生重大人员伤亡（伤亡</w:t>
      </w:r>
      <w:r>
        <w:rPr>
          <w:rFonts w:ascii="宋体" w:hAnsi="宋体" w:cs="Tahoma"/>
          <w:kern w:val="0"/>
          <w:highlight w:val="none"/>
        </w:rPr>
        <w:t>3</w:t>
      </w:r>
      <w:r>
        <w:rPr>
          <w:rFonts w:hint="eastAsia" w:ascii="宋体" w:hAnsi="宋体" w:cs="Tahoma"/>
          <w:kern w:val="0"/>
          <w:highlight w:val="none"/>
        </w:rPr>
        <w:t>人以上）或重大经济损失（直接经济损失</w:t>
      </w:r>
      <w:r>
        <w:rPr>
          <w:rFonts w:ascii="宋体" w:hAnsi="宋体" w:cs="Tahoma"/>
          <w:kern w:val="0"/>
          <w:highlight w:val="none"/>
        </w:rPr>
        <w:t>100</w:t>
      </w:r>
      <w:r>
        <w:rPr>
          <w:rFonts w:hint="eastAsia" w:ascii="宋体" w:hAnsi="宋体" w:cs="Tahoma"/>
          <w:kern w:val="0"/>
          <w:highlight w:val="none"/>
        </w:rPr>
        <w:t>万元以上）安全生产事故的隐患。</w:t>
      </w:r>
    </w:p>
    <w:p w14:paraId="0AEBE467">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4.5.2事故隐患排查与安全检查</w:t>
      </w:r>
    </w:p>
    <w:p w14:paraId="49713166">
      <w:pPr>
        <w:spacing w:line="360" w:lineRule="auto"/>
        <w:ind w:firstLine="420" w:firstLineChars="200"/>
        <w:rPr>
          <w:rFonts w:ascii="宋体" w:hAnsi="宋体" w:cs="Tahoma"/>
          <w:kern w:val="0"/>
          <w:highlight w:val="none"/>
        </w:rPr>
      </w:pPr>
      <w:r>
        <w:rPr>
          <w:rFonts w:hint="eastAsia" w:ascii="宋体" w:hAnsi="宋体" w:cs="Tahoma"/>
          <w:kern w:val="0"/>
          <w:highlight w:val="none"/>
        </w:rPr>
        <w:t>4.5.2.1事故隐患排查途径和方式</w:t>
      </w:r>
    </w:p>
    <w:p w14:paraId="6BD5815A">
      <w:pPr>
        <w:spacing w:line="360" w:lineRule="auto"/>
        <w:ind w:firstLine="420" w:firstLineChars="200"/>
        <w:rPr>
          <w:rFonts w:ascii="宋体" w:hAnsi="宋体" w:cs="Tahoma"/>
          <w:kern w:val="0"/>
          <w:highlight w:val="none"/>
        </w:rPr>
      </w:pPr>
      <w:r>
        <w:rPr>
          <w:rFonts w:hint="eastAsia" w:ascii="宋体" w:hAnsi="宋体" w:cs="Tahoma"/>
          <w:kern w:val="0"/>
          <w:highlight w:val="none"/>
        </w:rPr>
        <w:t>公司员工在作业时班前确认中发现的事故隐患；</w:t>
      </w:r>
    </w:p>
    <w:p w14:paraId="312F7F2B">
      <w:pPr>
        <w:spacing w:line="360" w:lineRule="auto"/>
        <w:ind w:firstLine="420" w:firstLineChars="200"/>
        <w:rPr>
          <w:rFonts w:ascii="宋体" w:hAnsi="宋体" w:cs="Tahoma"/>
          <w:kern w:val="0"/>
          <w:highlight w:val="none"/>
        </w:rPr>
      </w:pPr>
      <w:r>
        <w:rPr>
          <w:rFonts w:hint="eastAsia" w:ascii="宋体" w:hAnsi="宋体" w:cs="Tahoma"/>
          <w:kern w:val="0"/>
          <w:highlight w:val="none"/>
        </w:rPr>
        <w:t>安全生产巡回检查过程中发现的事故隐患；</w:t>
      </w:r>
    </w:p>
    <w:p w14:paraId="75749669">
      <w:pPr>
        <w:spacing w:line="360" w:lineRule="auto"/>
        <w:ind w:firstLine="420" w:firstLineChars="200"/>
        <w:rPr>
          <w:rFonts w:ascii="宋体" w:hAnsi="宋体" w:cs="Tahoma"/>
          <w:kern w:val="0"/>
          <w:highlight w:val="none"/>
        </w:rPr>
      </w:pPr>
      <w:r>
        <w:rPr>
          <w:rFonts w:hint="eastAsia" w:ascii="宋体" w:hAnsi="宋体" w:cs="Tahoma"/>
          <w:kern w:val="0"/>
          <w:highlight w:val="none"/>
        </w:rPr>
        <w:t>有关职能部门专项检查时发现的隐患；</w:t>
      </w:r>
    </w:p>
    <w:p w14:paraId="1DC2623C">
      <w:pPr>
        <w:spacing w:line="360" w:lineRule="auto"/>
        <w:ind w:firstLine="420" w:firstLineChars="200"/>
        <w:rPr>
          <w:rFonts w:ascii="宋体" w:hAnsi="宋体" w:cs="Tahoma"/>
          <w:kern w:val="0"/>
          <w:highlight w:val="none"/>
        </w:rPr>
      </w:pPr>
      <w:r>
        <w:rPr>
          <w:rFonts w:hint="eastAsia" w:ascii="宋体" w:hAnsi="宋体" w:cs="Tahoma"/>
          <w:kern w:val="0"/>
          <w:highlight w:val="none"/>
        </w:rPr>
        <w:t>有关部门或人员上报的事故隐患（包括书面或口头反映）。</w:t>
      </w:r>
    </w:p>
    <w:p w14:paraId="692B367A">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各有关部门定期不定期的对从事危险作业班组、特种作业班组、人员进行排查、报告事故隐患的责任教育和技能培训，并依法告知拒绝冒险作业的法定权利。</w:t>
      </w:r>
    </w:p>
    <w:p w14:paraId="7057D9D8">
      <w:pPr>
        <w:spacing w:line="360" w:lineRule="auto"/>
        <w:ind w:firstLine="420" w:firstLineChars="200"/>
        <w:rPr>
          <w:rFonts w:hint="default" w:ascii="宋体" w:hAnsi="宋体" w:cs="Tahoma"/>
          <w:kern w:val="0"/>
          <w:highlight w:val="none"/>
          <w:lang w:val="en-US" w:eastAsia="zh-CN"/>
        </w:rPr>
      </w:pPr>
      <w:r>
        <w:rPr>
          <w:rFonts w:hint="eastAsia" w:ascii="宋体" w:hAnsi="宋体" w:cs="Tahoma"/>
          <w:kern w:val="0"/>
          <w:highlight w:val="none"/>
          <w:lang w:val="en-US" w:eastAsia="zh-CN"/>
        </w:rPr>
        <w:t>4.5.2.2各项目部（组）应按《项目现场安全管理办法》规定进行事故隐患排查；各部门应每季度对业务范围内安全隐患进行排查，安全管理部门应每半年对安全隐患进行排查，储能公司及各子分公司领导应每年组织安全隐患排查。隐患排查完成后应及时更新事故隐患清单与隐患信息台账。</w:t>
      </w:r>
    </w:p>
    <w:p w14:paraId="425AED60">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4.5.3事故隐患的分级报告方式</w:t>
      </w:r>
    </w:p>
    <w:p w14:paraId="1D2E717D">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4.5.3.1一般事故隐患：由隐患责任</w:t>
      </w:r>
      <w:r>
        <w:rPr>
          <w:rFonts w:hint="eastAsia" w:ascii="宋体" w:hAnsi="宋体" w:cs="Tahoma"/>
          <w:kern w:val="0"/>
          <w:highlight w:val="none"/>
          <w:lang w:val="en-US" w:eastAsia="zh-CN"/>
        </w:rPr>
        <w:t>部门</w:t>
      </w:r>
      <w:r>
        <w:rPr>
          <w:rFonts w:hint="eastAsia" w:ascii="宋体" w:hAnsi="宋体" w:cs="Tahoma"/>
          <w:kern w:val="0"/>
          <w:highlight w:val="none"/>
        </w:rPr>
        <w:t>负责人</w:t>
      </w:r>
      <w:r>
        <w:rPr>
          <w:rFonts w:hint="eastAsia" w:ascii="宋体" w:hAnsi="宋体" w:cs="Tahoma"/>
          <w:kern w:val="0"/>
          <w:highlight w:val="none"/>
          <w:lang w:eastAsia="zh-CN"/>
        </w:rPr>
        <w:t>、</w:t>
      </w:r>
      <w:r>
        <w:rPr>
          <w:rFonts w:hint="eastAsia" w:ascii="宋体" w:hAnsi="宋体" w:cs="Tahoma"/>
          <w:kern w:val="0"/>
          <w:highlight w:val="none"/>
          <w:lang w:val="en-US" w:eastAsia="zh-CN"/>
        </w:rPr>
        <w:t>项目经理</w:t>
      </w:r>
      <w:r>
        <w:rPr>
          <w:rFonts w:hint="eastAsia" w:ascii="宋体" w:hAnsi="宋体" w:cs="Tahoma"/>
          <w:kern w:val="0"/>
          <w:highlight w:val="none"/>
        </w:rPr>
        <w:t>或有关人员立即组织整改。</w:t>
      </w:r>
    </w:p>
    <w:p w14:paraId="5B40C61B">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4.5.3.2重大事故隐患：由隐患责任单位主要负责人组织制定并实施事故隐患治理方案，同时立即上报</w:t>
      </w:r>
      <w:r>
        <w:rPr>
          <w:rFonts w:hint="eastAsia" w:ascii="宋体" w:hAnsi="宋体" w:cs="Tahoma"/>
          <w:kern w:val="0"/>
          <w:highlight w:val="none"/>
          <w:lang w:val="en-US" w:eastAsia="zh-CN"/>
        </w:rPr>
        <w:t>储能</w:t>
      </w:r>
      <w:r>
        <w:rPr>
          <w:rFonts w:hint="eastAsia" w:ascii="宋体" w:hAnsi="宋体" w:cs="Tahoma"/>
          <w:kern w:val="0"/>
          <w:highlight w:val="none"/>
        </w:rPr>
        <w:t>公司安全生产管理部门和当地安全监管部门及相关部门，重大事故隐患治理方案应当包括以下内容：</w:t>
      </w:r>
    </w:p>
    <w:p w14:paraId="716CDCAC">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（1）治理的目标和任务；</w:t>
      </w:r>
    </w:p>
    <w:p w14:paraId="36F5C6DD">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（2）采取的方法和措施； </w:t>
      </w:r>
    </w:p>
    <w:p w14:paraId="1E6E7AF7">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（3）经费和物资的落实；</w:t>
      </w:r>
    </w:p>
    <w:p w14:paraId="3C15CD07">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（4）负责治理的机构和人员；</w:t>
      </w:r>
    </w:p>
    <w:p w14:paraId="31AAB987">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（5）治理的时限和要求； </w:t>
      </w:r>
    </w:p>
    <w:p w14:paraId="0DCB3DBF">
      <w:pPr>
        <w:spacing w:line="360" w:lineRule="auto"/>
        <w:ind w:firstLine="420" w:firstLineChars="200"/>
        <w:rPr>
          <w:rFonts w:hint="eastAsia" w:ascii="宋体" w:hAnsi="宋体" w:cs="Tahoma"/>
          <w:kern w:val="0"/>
          <w:highlight w:val="none"/>
        </w:rPr>
      </w:pPr>
      <w:r>
        <w:rPr>
          <w:rFonts w:hint="eastAsia" w:ascii="宋体" w:hAnsi="宋体" w:cs="Tahoma"/>
          <w:kern w:val="0"/>
          <w:highlight w:val="none"/>
        </w:rPr>
        <w:t>（6）安全措施和应急预案。</w:t>
      </w:r>
    </w:p>
    <w:p w14:paraId="30A21B18">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4.6安全生产检查和事故隐患排查</w:t>
      </w:r>
    </w:p>
    <w:p w14:paraId="1FF5837E">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4.6.1安全生产检查和事故隐患排查的内容</w:t>
      </w:r>
    </w:p>
    <w:p w14:paraId="7DD96EFD">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编制安全检查、隐患排查</w:t>
      </w:r>
      <w:r>
        <w:rPr>
          <w:rFonts w:hint="default" w:ascii="宋体" w:hAnsi="宋体" w:cs="宋体"/>
          <w:kern w:val="0"/>
          <w:highlight w:val="none"/>
          <w:lang w:val="en-US"/>
        </w:rPr>
        <w:t>清单</w:t>
      </w:r>
      <w:r>
        <w:rPr>
          <w:rFonts w:hint="eastAsia" w:ascii="宋体" w:hAnsi="宋体" w:cs="宋体"/>
          <w:kern w:val="0"/>
          <w:highlight w:val="none"/>
        </w:rPr>
        <w:t>，清单可分为基础管理和现场管理两大类。</w:t>
      </w:r>
    </w:p>
    <w:p w14:paraId="1B50C46F">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基础管理类隐患排查</w:t>
      </w:r>
      <w:r>
        <w:rPr>
          <w:rFonts w:hint="default" w:ascii="宋体" w:hAnsi="宋体" w:cs="宋体"/>
          <w:kern w:val="0"/>
          <w:highlight w:val="none"/>
          <w:lang w:val="en-US"/>
        </w:rPr>
        <w:t>清单</w:t>
      </w:r>
      <w:r>
        <w:rPr>
          <w:rFonts w:hint="eastAsia" w:ascii="宋体" w:hAnsi="宋体" w:cs="宋体"/>
          <w:kern w:val="0"/>
          <w:highlight w:val="none"/>
        </w:rPr>
        <w:t>，以基础管理项目为单元，依据相关法律、法规、技术标准、规程要求编制，包括：资质证照、安全管理机构及人员、安全责任制及规章、安全培训教育、安全投入、重大危险源管理、个体防护、职业健康卫生、相关方管理、应急管理、隐患排查治理等内容。</w:t>
      </w:r>
    </w:p>
    <w:p w14:paraId="202A2BEF">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现场管理类隐患排查</w:t>
      </w:r>
      <w:r>
        <w:rPr>
          <w:rFonts w:hint="default" w:ascii="宋体" w:hAnsi="宋体" w:cs="宋体"/>
          <w:kern w:val="0"/>
          <w:highlight w:val="none"/>
          <w:lang w:val="en-US"/>
        </w:rPr>
        <w:t>清单</w:t>
      </w:r>
      <w:r>
        <w:rPr>
          <w:rFonts w:hint="eastAsia" w:ascii="宋体" w:hAnsi="宋体" w:cs="宋体"/>
          <w:kern w:val="0"/>
          <w:highlight w:val="none"/>
        </w:rPr>
        <w:t>，以各类风险点为基本单元，依据风险分级管控体系中各风险点的控制措施和标准、规程要求编制，可包括：工艺操作、个体防护、特殊作业、开停车、设备（特种）、电气、消防、人员管理等内容。</w:t>
      </w:r>
    </w:p>
    <w:p w14:paraId="4C5EDF90">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4.6.2安全检查与事故隐患排查的方式</w:t>
      </w:r>
    </w:p>
    <w:p w14:paraId="628518C2">
      <w:pPr>
        <w:spacing w:line="360" w:lineRule="auto"/>
        <w:ind w:firstLine="420" w:firstLineChars="200"/>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6.2.</w:t>
      </w:r>
      <w:r>
        <w:rPr>
          <w:rFonts w:ascii="宋体" w:hAnsi="宋体"/>
          <w:highlight w:val="none"/>
        </w:rPr>
        <w:t xml:space="preserve">1 </w:t>
      </w:r>
      <w:r>
        <w:rPr>
          <w:rFonts w:hint="eastAsia" w:ascii="宋体" w:hAnsi="宋体"/>
          <w:highlight w:val="none"/>
        </w:rPr>
        <w:t>巡回检查</w:t>
      </w:r>
    </w:p>
    <w:p w14:paraId="2436F315">
      <w:pPr>
        <w:spacing w:line="360" w:lineRule="auto"/>
        <w:ind w:firstLine="420" w:firstLineChars="200"/>
        <w:rPr>
          <w:rFonts w:hint="eastAsia" w:ascii="宋体" w:hAnsi="宋体"/>
          <w:highlight w:val="none"/>
        </w:rPr>
      </w:pPr>
      <w:r>
        <w:rPr>
          <w:rFonts w:hint="eastAsia" w:ascii="宋体" w:hAnsi="宋体"/>
          <w:highlight w:val="none"/>
          <w:lang w:val="en-US" w:eastAsia="zh-CN"/>
        </w:rPr>
        <w:t>储能</w:t>
      </w:r>
      <w:r>
        <w:rPr>
          <w:rFonts w:hint="eastAsia" w:ascii="宋体" w:hAnsi="宋体"/>
          <w:highlight w:val="none"/>
        </w:rPr>
        <w:t>公司</w:t>
      </w:r>
      <w:r>
        <w:rPr>
          <w:rFonts w:hint="eastAsia" w:ascii="宋体" w:hAnsi="宋体"/>
          <w:highlight w:val="none"/>
          <w:lang w:val="en-US" w:eastAsia="zh-CN"/>
        </w:rPr>
        <w:t>及</w:t>
      </w:r>
      <w:r>
        <w:rPr>
          <w:rFonts w:hint="eastAsia" w:ascii="宋体" w:hAnsi="宋体"/>
          <w:highlight w:val="none"/>
        </w:rPr>
        <w:t>各子、分公司</w:t>
      </w:r>
      <w:r>
        <w:rPr>
          <w:rFonts w:hint="default" w:ascii="宋体" w:hAnsi="宋体"/>
          <w:highlight w:val="none"/>
          <w:lang w:val="en-US"/>
        </w:rPr>
        <w:t>领导</w:t>
      </w:r>
      <w:r>
        <w:rPr>
          <w:rFonts w:hint="eastAsia" w:ascii="宋体" w:hAnsi="宋体"/>
          <w:highlight w:val="none"/>
        </w:rPr>
        <w:t>均应组织并参加所辖区域的巡回检查。</w:t>
      </w:r>
    </w:p>
    <w:p w14:paraId="43281427">
      <w:pPr>
        <w:spacing w:line="360" w:lineRule="auto"/>
        <w:ind w:firstLine="420" w:firstLineChars="200"/>
        <w:rPr>
          <w:rFonts w:hint="eastAsia" w:ascii="宋体" w:hAnsi="宋体"/>
          <w:highlight w:val="none"/>
        </w:rPr>
      </w:pPr>
      <w:r>
        <w:rPr>
          <w:rFonts w:hint="eastAsia" w:ascii="宋体" w:hAnsi="宋体"/>
          <w:highlight w:val="none"/>
        </w:rPr>
        <w:t>4.6.2.2巡回检查的内容为</w:t>
      </w:r>
    </w:p>
    <w:p w14:paraId="1331EFEC">
      <w:pPr>
        <w:spacing w:line="360" w:lineRule="auto"/>
        <w:ind w:firstLine="420" w:firstLineChars="200"/>
        <w:rPr>
          <w:rFonts w:hint="eastAsia" w:ascii="宋体" w:hAnsi="宋体"/>
          <w:highlight w:val="none"/>
        </w:rPr>
      </w:pPr>
      <w:r>
        <w:rPr>
          <w:rFonts w:hint="eastAsia" w:ascii="宋体" w:hAnsi="宋体"/>
          <w:highlight w:val="none"/>
        </w:rPr>
        <w:t>（1）个人防护用品使用情况；</w:t>
      </w:r>
    </w:p>
    <w:p w14:paraId="63064CEC">
      <w:pPr>
        <w:spacing w:line="360" w:lineRule="auto"/>
        <w:ind w:firstLine="420" w:firstLineChars="200"/>
        <w:rPr>
          <w:rFonts w:hint="eastAsia" w:ascii="宋体" w:hAnsi="宋体"/>
          <w:highlight w:val="none"/>
        </w:rPr>
      </w:pPr>
      <w:r>
        <w:rPr>
          <w:rFonts w:hint="eastAsia" w:ascii="宋体" w:hAnsi="宋体"/>
          <w:highlight w:val="none"/>
        </w:rPr>
        <w:t>（2）违章指挥、违章操作行为；</w:t>
      </w:r>
    </w:p>
    <w:p w14:paraId="74B881EA">
      <w:pPr>
        <w:spacing w:line="360" w:lineRule="auto"/>
        <w:ind w:firstLine="420" w:firstLineChars="200"/>
        <w:rPr>
          <w:rFonts w:hint="eastAsia" w:ascii="宋体" w:hAnsi="宋体"/>
          <w:highlight w:val="none"/>
        </w:rPr>
      </w:pPr>
      <w:r>
        <w:rPr>
          <w:rFonts w:hint="eastAsia" w:ascii="宋体" w:hAnsi="宋体"/>
          <w:highlight w:val="none"/>
        </w:rPr>
        <w:t>（3）设施、设备隐患；</w:t>
      </w:r>
    </w:p>
    <w:p w14:paraId="36E702C3">
      <w:pPr>
        <w:spacing w:line="360" w:lineRule="auto"/>
        <w:ind w:firstLine="420" w:firstLineChars="200"/>
        <w:rPr>
          <w:rFonts w:hint="eastAsia" w:ascii="宋体" w:hAnsi="宋体"/>
          <w:highlight w:val="none"/>
        </w:rPr>
      </w:pPr>
      <w:r>
        <w:rPr>
          <w:rFonts w:hint="eastAsia" w:ascii="宋体" w:hAnsi="宋体"/>
          <w:highlight w:val="none"/>
        </w:rPr>
        <w:t>（4）整改通知单落实情况；</w:t>
      </w:r>
    </w:p>
    <w:p w14:paraId="7B61D891">
      <w:pPr>
        <w:spacing w:line="360" w:lineRule="auto"/>
        <w:ind w:firstLine="420" w:firstLineChars="200"/>
        <w:rPr>
          <w:rFonts w:ascii="宋体" w:hAnsi="宋体"/>
          <w:highlight w:val="none"/>
        </w:rPr>
      </w:pPr>
      <w:r>
        <w:rPr>
          <w:rFonts w:hint="eastAsia" w:ascii="宋体" w:hAnsi="宋体"/>
          <w:highlight w:val="none"/>
        </w:rPr>
        <w:t>（5）岗位风险管控措施落实情况。</w:t>
      </w:r>
    </w:p>
    <w:p w14:paraId="0382BADA">
      <w:pPr>
        <w:spacing w:line="360" w:lineRule="auto"/>
        <w:ind w:firstLine="420" w:firstLineChars="200"/>
        <w:rPr>
          <w:rFonts w:hint="default" w:ascii="宋体" w:hAnsi="宋体"/>
          <w:highlight w:val="none"/>
          <w:lang w:val="en-US" w:eastAsia="zh-CN"/>
        </w:rPr>
      </w:pPr>
      <w:r>
        <w:rPr>
          <w:rFonts w:hint="eastAsia" w:ascii="宋体" w:hAnsi="宋体"/>
          <w:highlight w:val="none"/>
        </w:rPr>
        <w:t>4.6.2.3月度安全生产联合检查</w:t>
      </w:r>
      <w:r>
        <w:rPr>
          <w:rFonts w:hint="eastAsia" w:ascii="宋体" w:hAnsi="宋体"/>
          <w:highlight w:val="none"/>
          <w:lang w:eastAsia="zh-CN"/>
        </w:rPr>
        <w:t>（</w:t>
      </w:r>
      <w:r>
        <w:rPr>
          <w:rFonts w:hint="eastAsia" w:ascii="宋体" w:hAnsi="宋体"/>
          <w:highlight w:val="none"/>
          <w:lang w:val="en-US" w:eastAsia="zh-CN"/>
        </w:rPr>
        <w:t>有生产或科研试验场所并开展生产活动的分子公司参照执行</w:t>
      </w:r>
      <w:r>
        <w:rPr>
          <w:rFonts w:hint="eastAsia" w:ascii="宋体" w:hAnsi="宋体"/>
          <w:highlight w:val="none"/>
          <w:lang w:eastAsia="zh-CN"/>
        </w:rPr>
        <w:t>）</w:t>
      </w:r>
    </w:p>
    <w:p w14:paraId="3F60935B">
      <w:pPr>
        <w:spacing w:line="360" w:lineRule="auto"/>
        <w:ind w:firstLine="420" w:firstLineChars="200"/>
        <w:rPr>
          <w:rFonts w:ascii="宋体" w:hAnsi="宋体"/>
          <w:highlight w:val="none"/>
        </w:rPr>
      </w:pPr>
      <w:r>
        <w:rPr>
          <w:rFonts w:hint="default" w:ascii="宋体" w:hAnsi="宋体"/>
          <w:highlight w:val="none"/>
          <w:lang w:val="en-US"/>
        </w:rPr>
        <w:t>公司</w:t>
      </w:r>
      <w:r>
        <w:rPr>
          <w:rFonts w:hint="eastAsia" w:ascii="宋体" w:hAnsi="宋体"/>
          <w:highlight w:val="none"/>
        </w:rPr>
        <w:t>月度安全生产联合检查由</w:t>
      </w:r>
      <w:r>
        <w:rPr>
          <w:rFonts w:hint="eastAsia" w:ascii="宋体" w:hAnsi="宋体"/>
          <w:highlight w:val="none"/>
          <w:lang w:val="en-US" w:eastAsia="zh-CN"/>
        </w:rPr>
        <w:t>公司安委会主任</w:t>
      </w:r>
      <w:r>
        <w:rPr>
          <w:rFonts w:hint="eastAsia" w:ascii="宋体" w:hAnsi="宋体"/>
          <w:highlight w:val="none"/>
        </w:rPr>
        <w:t>主持</w:t>
      </w:r>
      <w:r>
        <w:rPr>
          <w:rFonts w:ascii="宋体" w:hAnsi="宋体"/>
          <w:highlight w:val="none"/>
        </w:rPr>
        <w:t>,</w:t>
      </w:r>
      <w:r>
        <w:rPr>
          <w:rFonts w:hint="eastAsia" w:ascii="宋体" w:hAnsi="宋体"/>
          <w:highlight w:val="none"/>
        </w:rPr>
        <w:t>或委托安全生产管理部门组织。安全生产联合检查组由</w:t>
      </w:r>
      <w:r>
        <w:rPr>
          <w:rFonts w:hint="eastAsia" w:ascii="宋体" w:hAnsi="宋体"/>
          <w:highlight w:val="none"/>
          <w:lang w:val="en-US" w:eastAsia="zh-CN"/>
        </w:rPr>
        <w:t>储能</w:t>
      </w:r>
      <w:r>
        <w:rPr>
          <w:rFonts w:hint="eastAsia" w:ascii="宋体" w:hAnsi="宋体"/>
          <w:highlight w:val="none"/>
        </w:rPr>
        <w:t>公司安委会成员和</w:t>
      </w:r>
      <w:r>
        <w:rPr>
          <w:rFonts w:hint="eastAsia" w:ascii="宋体" w:hAnsi="宋体"/>
          <w:highlight w:val="none"/>
          <w:lang w:val="en-US" w:eastAsia="zh-CN"/>
        </w:rPr>
        <w:t>安委会</w:t>
      </w:r>
      <w:r>
        <w:rPr>
          <w:rFonts w:hint="eastAsia" w:ascii="宋体" w:hAnsi="宋体"/>
          <w:highlight w:val="none"/>
        </w:rPr>
        <w:t>指定的专业人员或部门负责人组成，共同行使月度安全生产联合检查职能。</w:t>
      </w:r>
    </w:p>
    <w:p w14:paraId="2A9D0F09">
      <w:pPr>
        <w:spacing w:line="360" w:lineRule="auto"/>
        <w:ind w:firstLine="420" w:firstLineChars="200"/>
        <w:rPr>
          <w:rFonts w:hint="eastAsia" w:ascii="宋体" w:hAnsi="宋体"/>
          <w:highlight w:val="none"/>
        </w:rPr>
      </w:pPr>
      <w:r>
        <w:rPr>
          <w:rFonts w:hint="eastAsia" w:ascii="宋体" w:hAnsi="宋体"/>
          <w:highlight w:val="none"/>
        </w:rPr>
        <w:t>安全生产联合检查一般于每月</w:t>
      </w:r>
      <w:r>
        <w:rPr>
          <w:rFonts w:ascii="宋体" w:hAnsi="宋体"/>
          <w:highlight w:val="none"/>
        </w:rPr>
        <w:t>25</w:t>
      </w:r>
      <w:r>
        <w:rPr>
          <w:rFonts w:hint="eastAsia" w:ascii="宋体" w:hAnsi="宋体"/>
          <w:highlight w:val="none"/>
        </w:rPr>
        <w:t>日进行，遇节假日可提前或延期进行；</w:t>
      </w:r>
    </w:p>
    <w:p w14:paraId="4990D42F">
      <w:pPr>
        <w:spacing w:line="360" w:lineRule="auto"/>
        <w:ind w:firstLine="420" w:firstLineChars="200"/>
        <w:rPr>
          <w:rFonts w:ascii="宋体" w:hAnsi="宋体"/>
          <w:highlight w:val="none"/>
        </w:rPr>
      </w:pPr>
      <w:r>
        <w:rPr>
          <w:rFonts w:hint="eastAsia" w:ascii="宋体" w:hAnsi="宋体"/>
          <w:highlight w:val="none"/>
        </w:rPr>
        <w:t>（1）月度安全生产联合检查内容</w:t>
      </w:r>
    </w:p>
    <w:p w14:paraId="3F4CAAE9">
      <w:pPr>
        <w:spacing w:line="360" w:lineRule="auto"/>
        <w:ind w:firstLine="420" w:firstLineChars="200"/>
        <w:rPr>
          <w:rFonts w:ascii="宋体" w:hAnsi="宋体"/>
          <w:highlight w:val="none"/>
        </w:rPr>
      </w:pPr>
      <w:r>
        <w:rPr>
          <w:rFonts w:hint="eastAsia" w:ascii="宋体" w:hAnsi="宋体"/>
          <w:highlight w:val="none"/>
        </w:rPr>
        <w:t>分别为下列十二个类别</w:t>
      </w:r>
      <w:r>
        <w:rPr>
          <w:rFonts w:ascii="宋体" w:hAnsi="宋体"/>
          <w:highlight w:val="none"/>
        </w:rPr>
        <w:t>:</w:t>
      </w:r>
    </w:p>
    <w:p w14:paraId="2F7A82A0">
      <w:pPr>
        <w:spacing w:line="360" w:lineRule="auto"/>
        <w:ind w:firstLine="420" w:firstLineChars="200"/>
        <w:rPr>
          <w:rFonts w:ascii="宋体" w:hAnsi="宋体"/>
          <w:highlight w:val="none"/>
        </w:rPr>
      </w:pPr>
      <w:r>
        <w:rPr>
          <w:rFonts w:hint="eastAsia" w:ascii="宋体" w:hAnsi="宋体"/>
          <w:highlight w:val="none"/>
        </w:rPr>
        <w:t>①违章指挥、违章操作、违反劳动纪律现象。</w:t>
      </w:r>
    </w:p>
    <w:p w14:paraId="675EDC08">
      <w:pPr>
        <w:spacing w:line="360" w:lineRule="auto"/>
        <w:ind w:firstLine="420" w:firstLineChars="200"/>
        <w:rPr>
          <w:rFonts w:hint="eastAsia" w:ascii="宋体" w:hAnsi="宋体"/>
          <w:highlight w:val="none"/>
        </w:rPr>
      </w:pPr>
      <w:r>
        <w:rPr>
          <w:rFonts w:hint="eastAsia" w:ascii="宋体" w:hAnsi="宋体"/>
          <w:highlight w:val="none"/>
        </w:rPr>
        <w:t>②个人防护用品使用情况。</w:t>
      </w:r>
    </w:p>
    <w:p w14:paraId="3389F860">
      <w:pPr>
        <w:spacing w:line="360" w:lineRule="auto"/>
        <w:ind w:firstLine="420" w:firstLineChars="200"/>
        <w:rPr>
          <w:rFonts w:ascii="宋体" w:hAnsi="宋体"/>
          <w:highlight w:val="none"/>
        </w:rPr>
      </w:pPr>
      <w:r>
        <w:rPr>
          <w:rFonts w:hint="eastAsia" w:ascii="宋体" w:hAnsi="宋体"/>
          <w:highlight w:val="none"/>
        </w:rPr>
        <w:t>③设备设施安全运行情况。</w:t>
      </w:r>
    </w:p>
    <w:p w14:paraId="37C2B898">
      <w:pPr>
        <w:spacing w:line="360" w:lineRule="auto"/>
        <w:ind w:firstLine="420" w:firstLineChars="200"/>
        <w:rPr>
          <w:rFonts w:ascii="宋体" w:hAnsi="宋体"/>
          <w:highlight w:val="none"/>
        </w:rPr>
      </w:pPr>
      <w:r>
        <w:rPr>
          <w:rFonts w:hint="eastAsia" w:ascii="宋体" w:hAnsi="宋体"/>
          <w:highlight w:val="none"/>
        </w:rPr>
        <w:t>④生产现场文明生产状况。</w:t>
      </w:r>
    </w:p>
    <w:p w14:paraId="27077AD8">
      <w:pPr>
        <w:spacing w:line="360" w:lineRule="auto"/>
        <w:ind w:firstLine="420" w:firstLineChars="200"/>
        <w:rPr>
          <w:rFonts w:ascii="宋体" w:hAnsi="宋体"/>
          <w:highlight w:val="none"/>
        </w:rPr>
      </w:pPr>
      <w:r>
        <w:rPr>
          <w:rFonts w:hint="eastAsia" w:ascii="宋体" w:hAnsi="宋体"/>
          <w:highlight w:val="none"/>
        </w:rPr>
        <w:t>⑤</w:t>
      </w:r>
      <w:r>
        <w:rPr>
          <w:rFonts w:ascii="宋体" w:hAnsi="宋体"/>
          <w:highlight w:val="none"/>
        </w:rPr>
        <w:t>风险管控措施落实情况和</w:t>
      </w:r>
      <w:r>
        <w:rPr>
          <w:rFonts w:hint="eastAsia" w:ascii="宋体" w:hAnsi="宋体"/>
          <w:highlight w:val="none"/>
        </w:rPr>
        <w:t>安全不符合隐患整改通知单落实情况。</w:t>
      </w:r>
    </w:p>
    <w:p w14:paraId="11242B93">
      <w:pPr>
        <w:spacing w:line="360" w:lineRule="auto"/>
        <w:ind w:firstLine="420" w:firstLineChars="200"/>
        <w:rPr>
          <w:rFonts w:ascii="宋体" w:hAnsi="宋体"/>
          <w:highlight w:val="none"/>
        </w:rPr>
      </w:pPr>
      <w:r>
        <w:rPr>
          <w:rFonts w:hint="eastAsia" w:ascii="宋体" w:hAnsi="宋体"/>
          <w:highlight w:val="none"/>
        </w:rPr>
        <w:t>⑥危险化学品管理及使用情况。</w:t>
      </w:r>
    </w:p>
    <w:p w14:paraId="60A27D6A">
      <w:pPr>
        <w:spacing w:line="360" w:lineRule="auto"/>
        <w:ind w:firstLine="420" w:firstLineChars="200"/>
        <w:rPr>
          <w:rFonts w:ascii="宋体" w:hAnsi="宋体"/>
          <w:highlight w:val="none"/>
        </w:rPr>
      </w:pPr>
      <w:r>
        <w:rPr>
          <w:rFonts w:hint="eastAsia" w:ascii="宋体" w:hAnsi="宋体"/>
          <w:highlight w:val="none"/>
        </w:rPr>
        <w:t>⑦火灾事故隐患及预防措施状况。</w:t>
      </w:r>
    </w:p>
    <w:p w14:paraId="003B0EC8">
      <w:pPr>
        <w:spacing w:line="360" w:lineRule="auto"/>
        <w:ind w:firstLine="420" w:firstLineChars="200"/>
        <w:rPr>
          <w:rFonts w:ascii="宋体" w:hAnsi="宋体"/>
          <w:highlight w:val="none"/>
        </w:rPr>
      </w:pPr>
      <w:r>
        <w:rPr>
          <w:rFonts w:hint="eastAsia" w:ascii="宋体" w:hAnsi="宋体"/>
          <w:highlight w:val="none"/>
        </w:rPr>
        <w:t>⑧停产前动力源管理情况。</w:t>
      </w:r>
    </w:p>
    <w:p w14:paraId="1021092B">
      <w:pPr>
        <w:spacing w:line="360" w:lineRule="auto"/>
        <w:ind w:firstLine="420" w:firstLineChars="200"/>
        <w:rPr>
          <w:rFonts w:ascii="宋体" w:hAnsi="宋体"/>
          <w:highlight w:val="none"/>
        </w:rPr>
      </w:pPr>
      <w:r>
        <w:rPr>
          <w:rFonts w:hint="eastAsia" w:ascii="宋体" w:hAnsi="宋体"/>
          <w:highlight w:val="none"/>
        </w:rPr>
        <w:t>⑨防尘毒设施及污染治理设施运行状况。</w:t>
      </w:r>
    </w:p>
    <w:p w14:paraId="1A22271F">
      <w:pPr>
        <w:spacing w:line="360" w:lineRule="auto"/>
        <w:ind w:firstLine="420" w:firstLineChars="200"/>
        <w:rPr>
          <w:rFonts w:ascii="宋体" w:hAnsi="宋体"/>
          <w:highlight w:val="none"/>
        </w:rPr>
      </w:pPr>
      <w:r>
        <w:rPr>
          <w:rFonts w:hint="eastAsia" w:ascii="宋体" w:hAnsi="宋体"/>
          <w:highlight w:val="none"/>
        </w:rPr>
        <w:t>⑩季节性事故或灾害预防措施落实情况。</w:t>
      </w:r>
    </w:p>
    <w:p w14:paraId="58B7C5F4">
      <w:pPr>
        <w:spacing w:line="360" w:lineRule="auto"/>
        <w:ind w:firstLine="420" w:firstLineChars="200"/>
        <w:rPr>
          <w:rFonts w:ascii="宋体" w:hAnsi="宋体"/>
          <w:sz w:val="20"/>
          <w:highlight w:val="none"/>
        </w:rPr>
      </w:pPr>
      <w:r>
        <w:rPr>
          <w:rFonts w:ascii="宋体" w:hAnsi="宋体"/>
          <w:highlight w:val="none"/>
        </w:rPr>
        <w:t>⑪</w:t>
      </w:r>
      <w:r>
        <w:rPr>
          <w:rFonts w:hint="eastAsia" w:ascii="宋体" w:hAnsi="宋体"/>
          <w:highlight w:val="none"/>
        </w:rPr>
        <w:t>环境卫生与室内卫生状况。</w:t>
      </w:r>
    </w:p>
    <w:p w14:paraId="20719392">
      <w:pPr>
        <w:spacing w:line="360" w:lineRule="auto"/>
        <w:ind w:firstLine="420" w:firstLineChars="200"/>
        <w:rPr>
          <w:rFonts w:ascii="宋体" w:hAnsi="宋体"/>
          <w:highlight w:val="none"/>
        </w:rPr>
      </w:pPr>
      <w:r>
        <w:rPr>
          <w:rFonts w:ascii="宋体" w:hAnsi="宋体"/>
          <w:highlight w:val="none"/>
        </w:rPr>
        <w:t>⑫</w:t>
      </w:r>
      <w:r>
        <w:rPr>
          <w:rFonts w:hint="eastAsia" w:ascii="宋体" w:hAnsi="宋体"/>
          <w:highlight w:val="none"/>
        </w:rPr>
        <w:t>公司各项规章制度执行情况。</w:t>
      </w:r>
    </w:p>
    <w:p w14:paraId="336DBA95">
      <w:pPr>
        <w:spacing w:line="360" w:lineRule="auto"/>
        <w:ind w:firstLine="420" w:firstLineChars="200"/>
        <w:rPr>
          <w:rFonts w:ascii="宋体" w:hAnsi="宋体"/>
          <w:highlight w:val="none"/>
        </w:rPr>
      </w:pPr>
      <w:r>
        <w:rPr>
          <w:rFonts w:hint="eastAsia" w:ascii="宋体" w:hAnsi="宋体"/>
          <w:highlight w:val="none"/>
        </w:rPr>
        <w:t>（2）参加安全生产联合检查的人员分工。根据《</w:t>
      </w:r>
      <w:r>
        <w:rPr>
          <w:rFonts w:hint="eastAsia" w:ascii="宋体" w:hAnsi="宋体"/>
          <w:highlight w:val="none"/>
          <w:lang w:val="en-US" w:eastAsia="zh-CN"/>
        </w:rPr>
        <w:t>各部门及</w:t>
      </w:r>
      <w:r>
        <w:rPr>
          <w:rFonts w:hint="eastAsia" w:ascii="宋体" w:hAnsi="宋体"/>
          <w:highlight w:val="none"/>
        </w:rPr>
        <w:t>各级人员安全生产责任制》的规定按“谁主管谁负责”的原则，对职责范围内的安全生产工作及所管部门安全生产状况实施检查。</w:t>
      </w:r>
    </w:p>
    <w:p w14:paraId="42BF3ED2">
      <w:pPr>
        <w:spacing w:line="360" w:lineRule="auto"/>
        <w:ind w:firstLine="420" w:firstLineChars="200"/>
        <w:rPr>
          <w:rFonts w:ascii="宋体" w:hAnsi="宋体"/>
          <w:highlight w:val="none"/>
        </w:rPr>
      </w:pPr>
      <w:r>
        <w:rPr>
          <w:rFonts w:hint="eastAsia" w:ascii="宋体" w:hAnsi="宋体"/>
          <w:highlight w:val="none"/>
        </w:rPr>
        <w:t>（3）安全生产联合检查的考核与隐患整改</w:t>
      </w:r>
    </w:p>
    <w:p w14:paraId="11859BF8">
      <w:pPr>
        <w:spacing w:line="360" w:lineRule="auto"/>
        <w:ind w:firstLine="420" w:firstLineChars="200"/>
        <w:rPr>
          <w:rFonts w:ascii="宋体" w:hAnsi="宋体"/>
          <w:highlight w:val="none"/>
        </w:rPr>
      </w:pPr>
      <w:r>
        <w:rPr>
          <w:rFonts w:hint="eastAsia" w:ascii="宋体" w:hAnsi="宋体"/>
          <w:highlight w:val="none"/>
        </w:rPr>
        <w:t>联合检查组各成员应在检查工作结束后</w:t>
      </w:r>
      <w:r>
        <w:rPr>
          <w:rFonts w:ascii="宋体" w:hAnsi="宋体"/>
          <w:highlight w:val="none"/>
        </w:rPr>
        <w:t>(</w:t>
      </w:r>
      <w:r>
        <w:rPr>
          <w:rFonts w:hint="eastAsia" w:ascii="宋体" w:hAnsi="宋体"/>
          <w:highlight w:val="none"/>
        </w:rPr>
        <w:t>当日内</w:t>
      </w:r>
      <w:r>
        <w:rPr>
          <w:rFonts w:ascii="宋体" w:hAnsi="宋体"/>
          <w:highlight w:val="none"/>
        </w:rPr>
        <w:t>)</w:t>
      </w:r>
      <w:r>
        <w:rPr>
          <w:rFonts w:hint="eastAsia" w:ascii="宋体" w:hAnsi="宋体"/>
          <w:highlight w:val="none"/>
        </w:rPr>
        <w:t>向检查工作主持人或安全生产管理部门</w:t>
      </w:r>
      <w:r>
        <w:rPr>
          <w:rFonts w:hint="eastAsia" w:ascii="宋体" w:hAnsi="宋体"/>
          <w:highlight w:val="none"/>
          <w:lang w:val="en-US" w:eastAsia="zh-CN"/>
        </w:rPr>
        <w:t>或负责人</w:t>
      </w:r>
      <w:r>
        <w:rPr>
          <w:rFonts w:hint="eastAsia" w:ascii="宋体" w:hAnsi="宋体"/>
          <w:highlight w:val="none"/>
        </w:rPr>
        <w:t>提交检查报告，报告中应包括下列要素</w:t>
      </w:r>
      <w:r>
        <w:rPr>
          <w:rFonts w:ascii="宋体" w:hAnsi="宋体"/>
          <w:highlight w:val="none"/>
        </w:rPr>
        <w:t>:</w:t>
      </w:r>
    </w:p>
    <w:p w14:paraId="0CAD6991">
      <w:pPr>
        <w:spacing w:line="360" w:lineRule="auto"/>
        <w:ind w:firstLine="420" w:firstLineChars="200"/>
        <w:rPr>
          <w:rFonts w:ascii="宋体" w:hAnsi="宋体"/>
          <w:highlight w:val="none"/>
        </w:rPr>
      </w:pPr>
      <w:r>
        <w:rPr>
          <w:rFonts w:hint="eastAsia" w:ascii="宋体" w:hAnsi="宋体"/>
          <w:highlight w:val="none"/>
        </w:rPr>
        <w:t>①本人所负责的检查内容及分工；</w:t>
      </w:r>
    </w:p>
    <w:p w14:paraId="3DF85D44">
      <w:pPr>
        <w:spacing w:line="360" w:lineRule="auto"/>
        <w:ind w:firstLine="420" w:firstLineChars="200"/>
        <w:rPr>
          <w:rFonts w:ascii="宋体" w:hAnsi="宋体"/>
          <w:highlight w:val="none"/>
        </w:rPr>
      </w:pPr>
      <w:r>
        <w:rPr>
          <w:rFonts w:hint="eastAsia" w:ascii="宋体" w:hAnsi="宋体"/>
          <w:highlight w:val="none"/>
        </w:rPr>
        <w:t>②本次检查涉及的范围；</w:t>
      </w:r>
    </w:p>
    <w:p w14:paraId="5070857B">
      <w:pPr>
        <w:spacing w:line="360" w:lineRule="auto"/>
        <w:ind w:firstLine="420" w:firstLineChars="200"/>
        <w:rPr>
          <w:rFonts w:ascii="宋体" w:hAnsi="宋体"/>
          <w:highlight w:val="none"/>
        </w:rPr>
      </w:pPr>
      <w:r>
        <w:rPr>
          <w:rFonts w:hint="eastAsia" w:ascii="宋体" w:hAnsi="宋体"/>
          <w:highlight w:val="none"/>
        </w:rPr>
        <w:t>③检查出的问题（含部门、人员、事项）；</w:t>
      </w:r>
    </w:p>
    <w:p w14:paraId="243F4B11">
      <w:pPr>
        <w:spacing w:line="360" w:lineRule="auto"/>
        <w:ind w:firstLine="420" w:firstLineChars="200"/>
        <w:rPr>
          <w:rFonts w:ascii="宋体" w:hAnsi="宋体"/>
          <w:highlight w:val="none"/>
        </w:rPr>
      </w:pPr>
      <w:r>
        <w:rPr>
          <w:rFonts w:hint="eastAsia" w:ascii="宋体" w:hAnsi="宋体"/>
          <w:highlight w:val="none"/>
        </w:rPr>
        <w:t>④处罚意见。</w:t>
      </w:r>
    </w:p>
    <w:p w14:paraId="7E244289">
      <w:pPr>
        <w:spacing w:line="360" w:lineRule="auto"/>
        <w:ind w:firstLine="420" w:firstLineChars="200"/>
        <w:rPr>
          <w:rFonts w:ascii="宋体" w:hAnsi="宋体"/>
          <w:highlight w:val="none"/>
        </w:rPr>
      </w:pPr>
      <w:r>
        <w:rPr>
          <w:rFonts w:hint="eastAsia" w:ascii="宋体" w:hAnsi="宋体"/>
          <w:highlight w:val="none"/>
        </w:rPr>
        <w:t>（4）安全生产管理部门对检查组各成员的检查报告进行汇总，拟出月检报告，呈</w:t>
      </w:r>
      <w:r>
        <w:rPr>
          <w:rFonts w:hint="eastAsia" w:ascii="宋体" w:hAnsi="宋体"/>
          <w:highlight w:val="none"/>
          <w:lang w:val="en-US" w:eastAsia="zh-CN"/>
        </w:rPr>
        <w:t>安委会主任</w:t>
      </w:r>
      <w:r>
        <w:rPr>
          <w:rFonts w:hint="eastAsia" w:ascii="宋体" w:hAnsi="宋体"/>
          <w:highlight w:val="none"/>
        </w:rPr>
        <w:t>审阅并报</w:t>
      </w:r>
      <w:r>
        <w:rPr>
          <w:rFonts w:hint="eastAsia" w:ascii="宋体" w:hAnsi="宋体"/>
          <w:highlight w:val="none"/>
          <w:lang w:val="en-US" w:eastAsia="zh-CN"/>
        </w:rPr>
        <w:t>党政工作</w:t>
      </w:r>
      <w:r>
        <w:rPr>
          <w:rFonts w:hint="eastAsia" w:ascii="宋体" w:hAnsi="宋体"/>
          <w:highlight w:val="none"/>
        </w:rPr>
        <w:t>办公室进行月度考核。</w:t>
      </w:r>
    </w:p>
    <w:p w14:paraId="56B03094">
      <w:pPr>
        <w:spacing w:line="360" w:lineRule="auto"/>
        <w:ind w:firstLine="420" w:firstLineChars="200"/>
        <w:rPr>
          <w:rFonts w:ascii="宋体" w:hAnsi="宋体"/>
          <w:highlight w:val="none"/>
        </w:rPr>
      </w:pPr>
      <w:r>
        <w:rPr>
          <w:rFonts w:hint="eastAsia" w:ascii="宋体" w:hAnsi="宋体"/>
          <w:highlight w:val="none"/>
        </w:rPr>
        <w:t>（5）安全生产管理部门根据月检报告提出的问题，拟出整改意见向责任部门下达整改通知，要求限期整改。</w:t>
      </w:r>
    </w:p>
    <w:p w14:paraId="33C8382C">
      <w:pPr>
        <w:spacing w:line="360" w:lineRule="auto"/>
        <w:ind w:firstLine="420" w:firstLineChars="200"/>
        <w:rPr>
          <w:rFonts w:hint="eastAsia" w:ascii="宋体" w:hAnsi="宋体"/>
          <w:highlight w:val="none"/>
        </w:rPr>
      </w:pPr>
      <w:r>
        <w:rPr>
          <w:rFonts w:hint="eastAsia" w:ascii="宋体" w:hAnsi="宋体"/>
          <w:highlight w:val="none"/>
        </w:rPr>
        <w:t>（6）安全生产管理部门于次月联合检查时，向检查组汇报本月检查报告及整改通知的落实情况。</w:t>
      </w:r>
    </w:p>
    <w:p w14:paraId="105AED1A">
      <w:pPr>
        <w:spacing w:line="360" w:lineRule="auto"/>
        <w:ind w:firstLine="420" w:firstLineChars="200"/>
        <w:rPr>
          <w:rFonts w:ascii="宋体" w:hAnsi="宋体"/>
          <w:highlight w:val="none"/>
        </w:rPr>
      </w:pPr>
      <w:r>
        <w:rPr>
          <w:rFonts w:ascii="宋体" w:hAnsi="宋体"/>
          <w:highlight w:val="none"/>
        </w:rPr>
        <w:t>4.6.2.</w:t>
      </w:r>
      <w:r>
        <w:rPr>
          <w:rFonts w:hint="eastAsia" w:ascii="宋体" w:hAnsi="宋体"/>
          <w:highlight w:val="none"/>
        </w:rPr>
        <w:t>4节前安全检查</w:t>
      </w:r>
    </w:p>
    <w:p w14:paraId="657B2EDB">
      <w:pPr>
        <w:spacing w:line="360" w:lineRule="auto"/>
        <w:ind w:firstLine="420" w:firstLineChars="200"/>
        <w:rPr>
          <w:rFonts w:ascii="宋体" w:hAnsi="宋体"/>
          <w:highlight w:val="none"/>
        </w:rPr>
      </w:pPr>
      <w:r>
        <w:rPr>
          <w:rFonts w:hint="eastAsia" w:ascii="宋体" w:hAnsi="宋体"/>
          <w:highlight w:val="none"/>
        </w:rPr>
        <w:t>节前安全检查参照本制度8</w:t>
      </w:r>
      <w:r>
        <w:rPr>
          <w:rFonts w:ascii="宋体" w:hAnsi="宋体"/>
          <w:highlight w:val="none"/>
        </w:rPr>
        <w:t>.2</w:t>
      </w:r>
      <w:r>
        <w:rPr>
          <w:rFonts w:hint="eastAsia" w:ascii="宋体" w:hAnsi="宋体"/>
          <w:highlight w:val="none"/>
        </w:rPr>
        <w:t>.4条进行。</w:t>
      </w:r>
    </w:p>
    <w:p w14:paraId="26C633FB">
      <w:pPr>
        <w:spacing w:line="360" w:lineRule="auto"/>
        <w:ind w:firstLine="420" w:firstLineChars="200"/>
        <w:rPr>
          <w:rFonts w:hint="eastAsia"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6.2.5</w:t>
      </w:r>
      <w:r>
        <w:rPr>
          <w:rFonts w:ascii="宋体" w:hAnsi="宋体"/>
          <w:highlight w:val="none"/>
        </w:rPr>
        <w:t xml:space="preserve"> </w:t>
      </w:r>
      <w:r>
        <w:rPr>
          <w:rFonts w:hint="eastAsia" w:ascii="宋体" w:hAnsi="宋体"/>
          <w:highlight w:val="none"/>
        </w:rPr>
        <w:t>专业安全检查，</w:t>
      </w:r>
    </w:p>
    <w:p w14:paraId="1D6B2835">
      <w:pPr>
        <w:spacing w:line="360" w:lineRule="auto"/>
        <w:ind w:firstLine="420" w:firstLineChars="200"/>
        <w:rPr>
          <w:rFonts w:ascii="宋体" w:hAnsi="宋体"/>
          <w:highlight w:val="none"/>
        </w:rPr>
      </w:pPr>
      <w:r>
        <w:rPr>
          <w:rFonts w:hint="eastAsia" w:ascii="宋体" w:hAnsi="宋体"/>
          <w:highlight w:val="none"/>
        </w:rPr>
        <w:t>专业安全检查（包括消防、电气、特种设备等），</w:t>
      </w:r>
      <w:r>
        <w:rPr>
          <w:rFonts w:hint="eastAsia"/>
          <w:highlight w:val="none"/>
        </w:rPr>
        <w:t>周期专业管理部门隐患排查每季度至少一次；</w:t>
      </w:r>
      <w:r>
        <w:rPr>
          <w:rFonts w:hint="eastAsia" w:ascii="宋体" w:hAnsi="宋体"/>
          <w:highlight w:val="none"/>
        </w:rPr>
        <w:t>可由安全生产管理部门提出，由有关部门组织进行。</w:t>
      </w:r>
    </w:p>
    <w:p w14:paraId="0FD10C84">
      <w:pPr>
        <w:spacing w:line="360" w:lineRule="auto"/>
        <w:ind w:firstLine="420" w:firstLineChars="200"/>
        <w:rPr>
          <w:rFonts w:ascii="宋体" w:hAnsi="宋体"/>
          <w:highlight w:val="none"/>
        </w:rPr>
      </w:pPr>
      <w:r>
        <w:rPr>
          <w:rFonts w:hint="eastAsia" w:ascii="宋体" w:hAnsi="宋体"/>
          <w:highlight w:val="none"/>
        </w:rPr>
        <w:t>专业检查结束后，实施部门或人员应向被查部门下达隐患整改通知并向安全生产管理部门书面通报检查及整改结果。</w:t>
      </w:r>
    </w:p>
    <w:p w14:paraId="47588915">
      <w:pPr>
        <w:spacing w:line="360" w:lineRule="auto"/>
        <w:ind w:firstLine="420" w:firstLineChars="200"/>
        <w:rPr>
          <w:rFonts w:ascii="宋体" w:hAnsi="宋体"/>
          <w:highlight w:val="none"/>
        </w:rPr>
      </w:pPr>
      <w:r>
        <w:rPr>
          <w:rFonts w:hint="eastAsia" w:ascii="宋体" w:hAnsi="宋体"/>
          <w:highlight w:val="none"/>
        </w:rPr>
        <w:t>4.6.3公司各单位、子、分公司级安全检查各单位部门（车间）级安全检查应每周进行一次</w:t>
      </w:r>
      <w:r>
        <w:rPr>
          <w:rFonts w:ascii="宋体" w:hAnsi="宋体"/>
          <w:highlight w:val="none"/>
        </w:rPr>
        <w:t>,</w:t>
      </w:r>
      <w:r>
        <w:rPr>
          <w:rFonts w:hint="eastAsia" w:ascii="宋体" w:hAnsi="宋体"/>
          <w:highlight w:val="none"/>
        </w:rPr>
        <w:t>由主管领导主持</w:t>
      </w:r>
      <w:r>
        <w:rPr>
          <w:rFonts w:ascii="宋体" w:hAnsi="宋体"/>
          <w:highlight w:val="none"/>
        </w:rPr>
        <w:t>,</w:t>
      </w:r>
      <w:r>
        <w:rPr>
          <w:rFonts w:hint="eastAsia" w:ascii="宋体" w:hAnsi="宋体"/>
          <w:highlight w:val="none"/>
        </w:rPr>
        <w:t>其它有关人员参加。查意识、查管理、查现场、查措施落实情况。</w:t>
      </w:r>
    </w:p>
    <w:p w14:paraId="266389A1">
      <w:pPr>
        <w:spacing w:line="360" w:lineRule="auto"/>
        <w:ind w:firstLine="420" w:firstLineChars="200"/>
        <w:rPr>
          <w:rFonts w:ascii="宋体" w:hAnsi="宋体"/>
          <w:highlight w:val="none"/>
        </w:rPr>
      </w:pPr>
      <w:r>
        <w:rPr>
          <w:rFonts w:hint="eastAsia" w:ascii="宋体" w:hAnsi="宋体"/>
          <w:highlight w:val="none"/>
        </w:rPr>
        <w:t>4.6.4班组日检查与岗位检查</w:t>
      </w:r>
    </w:p>
    <w:p w14:paraId="154D60F5">
      <w:pPr>
        <w:spacing w:line="360" w:lineRule="auto"/>
        <w:ind w:firstLine="420" w:firstLineChars="200"/>
        <w:rPr>
          <w:rFonts w:ascii="宋体" w:hAnsi="宋体"/>
          <w:highlight w:val="none"/>
        </w:rPr>
      </w:pPr>
      <w:r>
        <w:rPr>
          <w:rFonts w:hint="eastAsia" w:ascii="宋体" w:hAnsi="宋体"/>
          <w:highlight w:val="none"/>
        </w:rPr>
        <w:t>班组长和安全员必须坚持日检查制。保证设备安全完好，个人防护用品使用正确，生产作业现场安全整洁，操作者情绪无异常现象以及各岗位安全</w:t>
      </w:r>
      <w:r>
        <w:rPr>
          <w:rFonts w:ascii="宋体" w:hAnsi="宋体"/>
          <w:highlight w:val="none"/>
        </w:rPr>
        <w:t>风险管控措施落实情况</w:t>
      </w:r>
      <w:r>
        <w:rPr>
          <w:rFonts w:hint="eastAsia" w:ascii="宋体" w:hAnsi="宋体"/>
          <w:highlight w:val="none"/>
        </w:rPr>
        <w:t>。</w:t>
      </w:r>
    </w:p>
    <w:p w14:paraId="0EA746BC">
      <w:pPr>
        <w:spacing w:line="360" w:lineRule="auto"/>
        <w:ind w:firstLine="420" w:firstLineChars="200"/>
        <w:rPr>
          <w:rFonts w:ascii="宋体" w:hAnsi="宋体"/>
          <w:highlight w:val="none"/>
        </w:rPr>
      </w:pPr>
      <w:r>
        <w:rPr>
          <w:rFonts w:hint="eastAsia" w:ascii="宋体" w:hAnsi="宋体"/>
          <w:highlight w:val="none"/>
        </w:rPr>
        <w:t>操作者在上岗前必须确认岗位</w:t>
      </w:r>
      <w:r>
        <w:rPr>
          <w:rFonts w:ascii="宋体" w:hAnsi="宋体"/>
          <w:highlight w:val="none"/>
        </w:rPr>
        <w:t>风险管控措施落实情况，确认</w:t>
      </w:r>
      <w:r>
        <w:rPr>
          <w:rFonts w:hint="eastAsia" w:ascii="宋体" w:hAnsi="宋体"/>
          <w:highlight w:val="none"/>
        </w:rPr>
        <w:t>所用设备、工具、所属作业现场是否安全可靠，所使用的安全防护用品是否符合安全要求。工作中须检查设备的安全防护装置是否完好有效，电源及线路是否正常，原材料及半成品、成品的摆放是否安全平稳。工作后须检查设备电源是否切断，停用的酸、水、气（汽）管是否闭紧，并对生产现场进行清理，不得遗留事故隐患。</w:t>
      </w:r>
    </w:p>
    <w:p w14:paraId="005AC8B9">
      <w:pPr>
        <w:spacing w:line="360" w:lineRule="auto"/>
        <w:ind w:firstLine="422" w:firstLineChars="200"/>
        <w:rPr>
          <w:rFonts w:ascii="宋体" w:hAnsi="宋体"/>
          <w:b/>
          <w:highlight w:val="none"/>
        </w:rPr>
      </w:pPr>
      <w:r>
        <w:rPr>
          <w:rFonts w:hint="eastAsia" w:ascii="宋体" w:hAnsi="宋体"/>
          <w:b/>
          <w:highlight w:val="none"/>
        </w:rPr>
        <w:t>4.7</w:t>
      </w:r>
      <w:r>
        <w:rPr>
          <w:rFonts w:ascii="宋体" w:hAnsi="宋体"/>
          <w:b/>
          <w:highlight w:val="none"/>
        </w:rPr>
        <w:t xml:space="preserve"> 隐患排查、安全检查的原则及其他事项</w:t>
      </w:r>
    </w:p>
    <w:p w14:paraId="411D22D2">
      <w:pPr>
        <w:spacing w:line="360" w:lineRule="auto"/>
        <w:ind w:firstLine="420" w:firstLineChars="200"/>
        <w:rPr>
          <w:rFonts w:ascii="宋体" w:hAnsi="宋体"/>
          <w:highlight w:val="none"/>
        </w:rPr>
      </w:pPr>
      <w:r>
        <w:rPr>
          <w:rFonts w:hint="eastAsia" w:ascii="宋体" w:hAnsi="宋体"/>
          <w:highlight w:val="none"/>
        </w:rPr>
        <w:t>4.7.1检查组各成员应严格坚持“安全第一、预防为主、综合治理”的方针，按时参加月度安全生产联合检查，认真履行安全生产职责。因故不能参加者应及时向检查工作主持人或安全生产管理部门请假，并告知代行检查人姓名。</w:t>
      </w:r>
    </w:p>
    <w:p w14:paraId="2C0B6F04">
      <w:pPr>
        <w:spacing w:line="360" w:lineRule="auto"/>
        <w:ind w:firstLine="420" w:firstLineChars="200"/>
        <w:rPr>
          <w:rFonts w:ascii="宋体" w:hAnsi="宋体"/>
          <w:highlight w:val="none"/>
        </w:rPr>
      </w:pPr>
      <w:r>
        <w:rPr>
          <w:rFonts w:hint="eastAsia" w:ascii="宋体" w:hAnsi="宋体"/>
          <w:highlight w:val="none"/>
        </w:rPr>
        <w:t>4.7</w:t>
      </w:r>
      <w:r>
        <w:rPr>
          <w:rFonts w:ascii="宋体" w:hAnsi="宋体"/>
          <w:highlight w:val="none"/>
        </w:rPr>
        <w:t>.2</w:t>
      </w:r>
      <w:r>
        <w:rPr>
          <w:rFonts w:hint="eastAsia" w:ascii="宋体" w:hAnsi="宋体"/>
          <w:highlight w:val="none"/>
        </w:rPr>
        <w:t>安全生产管理部门对参加联合检查各成员的工作质量有监督考核权。对未履行本人安全生产职责的，参照《安全生产奖惩办法》予以考核。</w:t>
      </w:r>
    </w:p>
    <w:p w14:paraId="365B8B6E">
      <w:pPr>
        <w:spacing w:line="360" w:lineRule="auto"/>
        <w:ind w:firstLine="420" w:firstLineChars="200"/>
        <w:rPr>
          <w:rFonts w:ascii="宋体" w:hAnsi="宋体"/>
          <w:highlight w:val="none"/>
        </w:rPr>
      </w:pPr>
      <w:r>
        <w:rPr>
          <w:rFonts w:hint="eastAsia" w:ascii="宋体" w:hAnsi="宋体"/>
          <w:highlight w:val="none"/>
        </w:rPr>
        <w:t>4.7</w:t>
      </w:r>
      <w:r>
        <w:rPr>
          <w:rFonts w:ascii="宋体" w:hAnsi="宋体"/>
          <w:highlight w:val="none"/>
        </w:rPr>
        <w:t xml:space="preserve">.3 </w:t>
      </w:r>
      <w:r>
        <w:rPr>
          <w:rFonts w:hint="eastAsia" w:ascii="宋体" w:hAnsi="宋体"/>
          <w:highlight w:val="none"/>
        </w:rPr>
        <w:t>检查组成员按时参加检查工作，认真履行职责，及时发现事故隐患并提出有效整改措施的，将于年底对签订《安全生产责任书》的部门实行综合评价时，对检查组成员一并进行奖励。</w:t>
      </w:r>
    </w:p>
    <w:p w14:paraId="675E7B18">
      <w:pPr>
        <w:pStyle w:val="8"/>
        <w:spacing w:line="360" w:lineRule="auto"/>
        <w:ind w:right="0" w:rightChars="0" w:firstLine="420" w:firstLineChars="200"/>
        <w:rPr>
          <w:sz w:val="21"/>
          <w:highlight w:val="none"/>
        </w:rPr>
      </w:pPr>
      <w:r>
        <w:rPr>
          <w:rFonts w:hint="eastAsia"/>
          <w:sz w:val="21"/>
          <w:highlight w:val="none"/>
        </w:rPr>
        <w:t>4.7</w:t>
      </w:r>
      <w:r>
        <w:rPr>
          <w:sz w:val="21"/>
          <w:highlight w:val="none"/>
        </w:rPr>
        <w:t>.</w:t>
      </w:r>
      <w:r>
        <w:rPr>
          <w:rFonts w:hint="eastAsia"/>
          <w:sz w:val="21"/>
          <w:highlight w:val="none"/>
        </w:rPr>
        <w:t>4各类安全检查工作宜运用安全系统工程方法，编制“安全检查表”或参照“安全标准化检查表”进行检查。</w:t>
      </w:r>
    </w:p>
    <w:p w14:paraId="749DB603">
      <w:pPr>
        <w:pStyle w:val="8"/>
        <w:spacing w:line="360" w:lineRule="auto"/>
        <w:ind w:right="0" w:rightChars="0" w:firstLine="420" w:firstLineChars="200"/>
        <w:rPr>
          <w:sz w:val="21"/>
          <w:highlight w:val="none"/>
        </w:rPr>
      </w:pPr>
      <w:r>
        <w:rPr>
          <w:rFonts w:hint="eastAsia"/>
          <w:sz w:val="21"/>
          <w:highlight w:val="none"/>
        </w:rPr>
        <w:t>4.7.5</w:t>
      </w:r>
      <w:r>
        <w:rPr>
          <w:sz w:val="21"/>
          <w:highlight w:val="none"/>
        </w:rPr>
        <w:t>安全检查隐患排查工作需要</w:t>
      </w:r>
      <w:r>
        <w:rPr>
          <w:rFonts w:hint="eastAsia"/>
          <w:sz w:val="21"/>
          <w:highlight w:val="none"/>
        </w:rPr>
        <w:t>使用的器材、工具实施检查前应确认器材、工具完好有效及其适用性。</w:t>
      </w:r>
    </w:p>
    <w:p w14:paraId="60F0AB03">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4.8隐患的治理</w:t>
      </w:r>
    </w:p>
    <w:p w14:paraId="6DE93BAC">
      <w:pPr>
        <w:spacing w:line="360" w:lineRule="auto"/>
        <w:ind w:firstLine="420" w:firstLineChars="200"/>
        <w:rPr>
          <w:rFonts w:hint="eastAsia" w:ascii="宋体" w:hAnsi="宋体" w:cs="宋体"/>
          <w:b/>
          <w:kern w:val="0"/>
          <w:highlight w:val="none"/>
        </w:rPr>
      </w:pPr>
      <w:r>
        <w:rPr>
          <w:rFonts w:ascii="宋体" w:hAnsi="宋体" w:cs="宋体"/>
          <w:kern w:val="0"/>
          <w:highlight w:val="none"/>
        </w:rPr>
        <w:t>隐患治理</w:t>
      </w:r>
      <w:r>
        <w:rPr>
          <w:rFonts w:hint="eastAsia" w:ascii="宋体" w:hAnsi="宋体" w:cs="宋体"/>
          <w:kern w:val="0"/>
          <w:highlight w:val="none"/>
        </w:rPr>
        <w:t>是</w:t>
      </w:r>
      <w:r>
        <w:rPr>
          <w:rFonts w:ascii="宋体" w:hAnsi="宋体" w:cs="宋体"/>
          <w:kern w:val="0"/>
          <w:highlight w:val="none"/>
        </w:rPr>
        <w:t>指为纠正和改善不安全因素，消除危害而开展的各项工作，使之符合安全要求；隐患的排查与整改过程就是隐患的治理过程。</w:t>
      </w:r>
    </w:p>
    <w:p w14:paraId="35982548">
      <w:pPr>
        <w:widowControl/>
        <w:shd w:val="clear" w:color="auto" w:fill="FFFFFF"/>
        <w:spacing w:line="360" w:lineRule="auto"/>
        <w:ind w:firstLine="420" w:firstLineChars="200"/>
        <w:rPr>
          <w:rFonts w:ascii="宋体" w:hAnsi="宋体"/>
          <w:highlight w:val="none"/>
        </w:rPr>
      </w:pPr>
      <w:r>
        <w:rPr>
          <w:rFonts w:hint="eastAsia" w:ascii="宋体" w:hAnsi="宋体" w:cs="Tahoma"/>
          <w:kern w:val="0"/>
          <w:highlight w:val="none"/>
        </w:rPr>
        <w:t>4.8.1</w:t>
      </w:r>
      <w:r>
        <w:rPr>
          <w:rFonts w:hint="eastAsia" w:ascii="宋体" w:hAnsi="宋体" w:cs="Tahoma"/>
          <w:kern w:val="0"/>
          <w:highlight w:val="none"/>
          <w:lang w:val="en-US" w:eastAsia="zh-CN"/>
        </w:rPr>
        <w:t>储能公司安环生产部及</w:t>
      </w:r>
      <w:r>
        <w:rPr>
          <w:rFonts w:hint="eastAsia" w:ascii="宋体" w:hAnsi="宋体" w:cs="Tahoma"/>
          <w:kern w:val="0"/>
          <w:highlight w:val="none"/>
        </w:rPr>
        <w:t>各子、分公司（部室）编制事故隐患的排查清单和安全风险管控清单，对所分管领域（动态、静态）风险部位、风险分级管控措施或者管控方案的落实情况，特别是从事特种作业、危险作业的班组、人员的操作行为、风险控制措施要进行的重点辨识与排查；对作业区域内排查出的隐患进行分析，判定隐患的严重程度，分析隐患的成因，制定出防范、整改措施，进行整改。并填写《事故隐患排查清单》和《隐患治理信息台账》；各子、分公司（部室）每月</w:t>
      </w:r>
      <w:r>
        <w:rPr>
          <w:rFonts w:ascii="宋体" w:hAnsi="宋体" w:cs="Tahoma"/>
          <w:kern w:val="0"/>
          <w:highlight w:val="none"/>
        </w:rPr>
        <w:t>25</w:t>
      </w:r>
      <w:r>
        <w:rPr>
          <w:rFonts w:hint="eastAsia" w:ascii="宋体" w:hAnsi="宋体" w:cs="Tahoma"/>
          <w:kern w:val="0"/>
          <w:highlight w:val="none"/>
        </w:rPr>
        <w:t>前将当月《事故隐患排查清单》和《隐患治理信息台账》隐患排查整改信息情况向</w:t>
      </w:r>
      <w:r>
        <w:rPr>
          <w:rFonts w:hint="eastAsia" w:ascii="宋体" w:hAnsi="宋体" w:cs="Tahoma"/>
          <w:kern w:val="0"/>
          <w:highlight w:val="none"/>
          <w:lang w:val="en-US" w:eastAsia="zh-CN"/>
        </w:rPr>
        <w:t>储能公司</w:t>
      </w:r>
      <w:r>
        <w:rPr>
          <w:rFonts w:hint="eastAsia" w:ascii="宋体" w:hAnsi="宋体" w:cs="Tahoma"/>
          <w:kern w:val="0"/>
          <w:highlight w:val="none"/>
        </w:rPr>
        <w:t>公司</w:t>
      </w:r>
      <w:r>
        <w:rPr>
          <w:rFonts w:hint="eastAsia" w:ascii="宋体" w:hAnsi="宋体" w:cs="Tahoma"/>
          <w:kern w:val="0"/>
          <w:highlight w:val="none"/>
          <w:lang w:val="en-US" w:eastAsia="zh-CN"/>
        </w:rPr>
        <w:t>安全管理部门</w:t>
      </w:r>
      <w:r>
        <w:rPr>
          <w:rFonts w:hint="eastAsia" w:ascii="宋体" w:hAnsi="宋体" w:cs="Tahoma"/>
          <w:kern w:val="0"/>
          <w:highlight w:val="none"/>
        </w:rPr>
        <w:t>如实上报。</w:t>
      </w:r>
    </w:p>
    <w:p w14:paraId="42F531B2">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2安全生产管理部门针对单位和个人通过各种途径上报的事故隐患，应及时进行查实，并认真协调、督促有关部门进行彻底整改。</w:t>
      </w:r>
    </w:p>
    <w:p w14:paraId="22A2DDFC">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3职能管理部门按照公司《</w:t>
      </w:r>
      <w:r>
        <w:rPr>
          <w:rFonts w:hint="eastAsia" w:ascii="宋体" w:hAnsi="宋体" w:cs="Tahoma"/>
          <w:kern w:val="0"/>
          <w:highlight w:val="none"/>
          <w:lang w:val="en-US" w:eastAsia="zh-CN"/>
        </w:rPr>
        <w:t>各部门及</w:t>
      </w:r>
      <w:r>
        <w:rPr>
          <w:rFonts w:hint="eastAsia" w:ascii="宋体" w:hAnsi="宋体" w:cs="Tahoma"/>
          <w:kern w:val="0"/>
          <w:highlight w:val="none"/>
        </w:rPr>
        <w:t>各级人员安全生产责任制》要求，在各自职责范围内对照《安全风险管控清单》中的风险管控措施定期组织对各子、分公司和安全生产情况的检查，及时发现和消除各类事故隐患，进一步完善风险管控措施，尤其要加强对重大事故隐患的排查和管理。</w:t>
      </w:r>
    </w:p>
    <w:p w14:paraId="7D1549AD">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4安全生产管理</w:t>
      </w:r>
      <w:r>
        <w:rPr>
          <w:rFonts w:hint="eastAsia" w:ascii="宋体" w:hAnsi="宋体" w:cs="Tahoma"/>
          <w:kern w:val="0"/>
          <w:highlight w:val="none"/>
          <w:lang w:val="en-US" w:eastAsia="zh-CN"/>
        </w:rPr>
        <w:t>部门</w:t>
      </w:r>
      <w:r>
        <w:rPr>
          <w:rFonts w:hint="eastAsia" w:ascii="宋体" w:hAnsi="宋体" w:cs="Tahoma"/>
          <w:kern w:val="0"/>
          <w:highlight w:val="none"/>
        </w:rPr>
        <w:t>对上报的各类事故隐患，按《安全生产责任制》职责分工，协调和督促有关单位或部门及时采取有效措施，并限期消除。</w:t>
      </w:r>
    </w:p>
    <w:p w14:paraId="2B48646C">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5在建项目的隐患排查工作由项目责任负责人负责，对于正在建设中的项目发现的隐患，由项目监理、施工员督促建设单位予以排除。对于已完工的建设项目在验收后又重新发现的隐患，如是由于施工质量造成的由负责建设项目的部门负责协调予以排除；如是由于工程设计缺陷造成的，由设计部门更改设计对隐患予以排除；如是由于使用方在使用中造成的，由使用方负责排除。</w:t>
      </w:r>
    </w:p>
    <w:p w14:paraId="65A587F2">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6对于发现（接报）的疑似重大事故隐患，现场负责人、单位领导立即组织相关管理、技术部门和人员在现场对其进行潜在危险性评估，采取必要的紧急防范措施，全力维持当前安全状态。单位主管领导务必于最短的时间内组织有关部门和专业技术人员对疑似重大事故隐患按照其潜在的危险性，辨识评估其是否构成重大事故隐患；确认的重大事故隐患还应对触发因素、产生及存在条件进行辨识判定。依靠本单位专业技术力量难以辨识评估、确认无法保证安全的疑似重大事故隐患，应立即请有资质的中介或专业部门、权威机构进行辨识判定。</w:t>
      </w:r>
    </w:p>
    <w:p w14:paraId="34D235B2">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7一旦确认存在重大事故隐患，应立即成立由主要责任人牵头的重大事故隐患管理小组，全面负责重大事故隐患管理工作。主要职责是：</w:t>
      </w:r>
    </w:p>
    <w:p w14:paraId="3A0243FA">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8以消除重大事故隐患产生及存在条件为目标，研究制定整改方案，按照“五定”（定责任、定投入、定期限、定进度、定验收标准）的要求，严格、认真组织开展事故隐患整改工作，确保事故隐患得到有效地消除。</w:t>
      </w:r>
    </w:p>
    <w:p w14:paraId="7A7EAD34">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9在重大事故隐患消除前或者无法保证安全，必须立即停产、停业或者停止使用，从危险区域撤出作业人员，待事故隐患消除并验收合格后方可恢复作业和使用。</w:t>
      </w:r>
    </w:p>
    <w:p w14:paraId="752F4C12">
      <w:pPr>
        <w:spacing w:line="360" w:lineRule="auto"/>
        <w:ind w:firstLine="420" w:firstLineChars="200"/>
        <w:rPr>
          <w:rFonts w:ascii="宋体" w:hAnsi="宋体" w:cs="Tahoma"/>
          <w:kern w:val="0"/>
          <w:highlight w:val="none"/>
        </w:rPr>
      </w:pPr>
      <w:r>
        <w:rPr>
          <w:rFonts w:hint="eastAsia" w:ascii="宋体" w:hAnsi="宋体" w:cs="Tahoma"/>
          <w:kern w:val="0"/>
          <w:highlight w:val="none"/>
        </w:rPr>
        <w:t>4.8.10采取切实有效的防范、监控手段，随时掌握重大事故隐患的动态变化，保证安全。</w:t>
      </w:r>
    </w:p>
    <w:p w14:paraId="355BEB08">
      <w:pPr>
        <w:spacing w:line="360" w:lineRule="auto"/>
        <w:ind w:firstLine="420" w:firstLineChars="200"/>
        <w:rPr>
          <w:rFonts w:ascii="宋体" w:hAnsi="宋体" w:cs="Tahoma"/>
          <w:kern w:val="0"/>
          <w:highlight w:val="none"/>
        </w:rPr>
      </w:pPr>
      <w:r>
        <w:rPr>
          <w:rFonts w:ascii="宋体" w:hAnsi="宋体" w:cs="Tahoma"/>
          <w:kern w:val="0"/>
          <w:highlight w:val="none"/>
        </w:rPr>
        <w:t>4.8.</w:t>
      </w:r>
      <w:r>
        <w:rPr>
          <w:rFonts w:hint="eastAsia" w:ascii="宋体" w:hAnsi="宋体" w:cs="Tahoma"/>
          <w:kern w:val="0"/>
          <w:highlight w:val="none"/>
        </w:rPr>
        <w:t>11由于条件所限，一时难以立即消除的重大事故隐患，要严密监控，并制定事故应急救援预案，确定现场应急措施，组织人员、备齐器材进行应急备勤。一旦发现事故症候或发生事故，要及时有效地实施应急救援。</w:t>
      </w:r>
    </w:p>
    <w:p w14:paraId="1843740C">
      <w:pPr>
        <w:spacing w:line="360" w:lineRule="auto"/>
        <w:ind w:firstLine="420" w:firstLineChars="200"/>
        <w:rPr>
          <w:rFonts w:ascii="宋体" w:hAnsi="宋体" w:cs="Tahoma"/>
          <w:kern w:val="0"/>
          <w:highlight w:val="none"/>
        </w:rPr>
      </w:pPr>
      <w:r>
        <w:rPr>
          <w:rFonts w:ascii="宋体" w:hAnsi="宋体" w:cs="Tahoma"/>
          <w:kern w:val="0"/>
          <w:highlight w:val="none"/>
        </w:rPr>
        <w:t>4.8.1</w:t>
      </w:r>
      <w:r>
        <w:rPr>
          <w:rFonts w:hint="eastAsia" w:ascii="宋体" w:hAnsi="宋体" w:cs="Tahoma"/>
          <w:kern w:val="0"/>
          <w:highlight w:val="none"/>
        </w:rPr>
        <w:t>2整改工作完成后，必须以事故隐患产生及存在条件已经消除为判别基准组织验收。技术难度较大或专业性较强的重大事故隐患整改工作应聘请专家论证整改方案和进行验收。</w:t>
      </w:r>
    </w:p>
    <w:p w14:paraId="337D021D">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4.9报告与督查</w:t>
      </w:r>
    </w:p>
    <w:p w14:paraId="1B9CBE2C">
      <w:pPr>
        <w:spacing w:line="360" w:lineRule="auto"/>
        <w:ind w:firstLine="420" w:firstLineChars="200"/>
        <w:rPr>
          <w:rFonts w:ascii="宋体" w:hAnsi="宋体" w:cs="Tahoma"/>
          <w:kern w:val="0"/>
          <w:highlight w:val="none"/>
        </w:rPr>
      </w:pPr>
      <w:r>
        <w:rPr>
          <w:rFonts w:hint="eastAsia" w:ascii="宋体" w:hAnsi="宋体" w:cs="Tahoma"/>
          <w:kern w:val="0"/>
          <w:highlight w:val="none"/>
        </w:rPr>
        <w:t>4.9</w:t>
      </w:r>
      <w:r>
        <w:rPr>
          <w:rFonts w:ascii="宋体" w:hAnsi="宋体" w:cs="Tahoma"/>
          <w:kern w:val="0"/>
          <w:highlight w:val="none"/>
        </w:rPr>
        <w:t>.1</w:t>
      </w:r>
      <w:r>
        <w:rPr>
          <w:rFonts w:hint="eastAsia" w:ascii="宋体" w:hAnsi="宋体" w:cs="Tahoma"/>
          <w:kern w:val="0"/>
          <w:highlight w:val="none"/>
        </w:rPr>
        <w:t>对重大隐患或一时难以整改的隐患，要及时采取必要的临时安全措施，要立即上报公司分管领导，由公司分管领导负责协调整改；公司分管领导不能协调整改的重大事故隐患，应随时上报公司领导，召开公司办公会研究整改措施；</w:t>
      </w:r>
      <w:r>
        <w:rPr>
          <w:rFonts w:hint="eastAsia" w:ascii="宋体" w:hAnsi="宋体" w:cs="Tahoma"/>
          <w:kern w:val="0"/>
          <w:highlight w:val="none"/>
          <w:lang w:val="en-US" w:eastAsia="zh-CN"/>
        </w:rPr>
        <w:t>储能</w:t>
      </w:r>
      <w:r>
        <w:rPr>
          <w:rFonts w:hint="eastAsia" w:ascii="宋体" w:hAnsi="宋体" w:cs="Tahoma"/>
          <w:kern w:val="0"/>
          <w:highlight w:val="none"/>
        </w:rPr>
        <w:t>公司无法协调整改的，立即向</w:t>
      </w:r>
      <w:r>
        <w:rPr>
          <w:rFonts w:hint="eastAsia" w:ascii="宋体" w:hAnsi="宋体" w:cs="Tahoma"/>
          <w:kern w:val="0"/>
          <w:highlight w:val="none"/>
          <w:lang w:val="en-US" w:eastAsia="zh-CN"/>
        </w:rPr>
        <w:t>风帆</w:t>
      </w:r>
      <w:r>
        <w:rPr>
          <w:rFonts w:hint="eastAsia" w:ascii="宋体" w:hAnsi="宋体" w:cs="Tahoma"/>
          <w:kern w:val="0"/>
          <w:highlight w:val="none"/>
        </w:rPr>
        <w:t>公司报告。</w:t>
      </w:r>
    </w:p>
    <w:p w14:paraId="32DFE24B">
      <w:pPr>
        <w:spacing w:line="360" w:lineRule="auto"/>
        <w:ind w:firstLine="420" w:firstLineChars="200"/>
        <w:rPr>
          <w:rFonts w:ascii="宋体" w:hAnsi="宋体" w:cs="Tahoma"/>
          <w:kern w:val="0"/>
          <w:highlight w:val="none"/>
        </w:rPr>
      </w:pPr>
      <w:r>
        <w:rPr>
          <w:rFonts w:hint="eastAsia" w:ascii="宋体" w:hAnsi="宋体" w:cs="Tahoma"/>
          <w:kern w:val="0"/>
          <w:highlight w:val="none"/>
        </w:rPr>
        <w:t>4.9</w:t>
      </w:r>
      <w:r>
        <w:rPr>
          <w:rFonts w:ascii="宋体" w:hAnsi="宋体" w:cs="Tahoma"/>
          <w:kern w:val="0"/>
          <w:highlight w:val="none"/>
        </w:rPr>
        <w:t>.2</w:t>
      </w:r>
      <w:r>
        <w:rPr>
          <w:rFonts w:hint="eastAsia" w:ascii="宋体" w:hAnsi="宋体" w:cs="Tahoma"/>
          <w:kern w:val="0"/>
          <w:highlight w:val="none"/>
        </w:rPr>
        <w:t>各单位发现重大事故隐患的，负责将辨识判定的重大事故隐患情况以书面形式立即报告公司安全生产管理</w:t>
      </w:r>
      <w:r>
        <w:rPr>
          <w:rFonts w:hint="eastAsia" w:ascii="宋体" w:hAnsi="宋体" w:cs="Tahoma"/>
          <w:kern w:val="0"/>
          <w:highlight w:val="none"/>
          <w:lang w:val="en-US" w:eastAsia="zh-CN"/>
        </w:rPr>
        <w:t>部门</w:t>
      </w:r>
      <w:r>
        <w:rPr>
          <w:rFonts w:hint="eastAsia" w:ascii="宋体" w:hAnsi="宋体" w:cs="Tahoma"/>
          <w:kern w:val="0"/>
          <w:highlight w:val="none"/>
        </w:rPr>
        <w:t>、所在地负有安全生产监督管理职责的部门及本单位的职工大会或者职工代表大会。报告主要内容包括：</w:t>
      </w:r>
    </w:p>
    <w:p w14:paraId="63E4A92F">
      <w:pPr>
        <w:spacing w:line="360" w:lineRule="auto"/>
        <w:ind w:firstLine="420" w:firstLineChars="200"/>
        <w:rPr>
          <w:rFonts w:ascii="宋体" w:hAnsi="宋体" w:cs="Tahoma"/>
          <w:kern w:val="0"/>
          <w:highlight w:val="none"/>
        </w:rPr>
      </w:pPr>
      <w:r>
        <w:rPr>
          <w:rFonts w:hint="eastAsia" w:ascii="宋体" w:hAnsi="宋体" w:cs="Tahoma"/>
          <w:kern w:val="0"/>
          <w:highlight w:val="none"/>
        </w:rPr>
        <w:t>重大事故隐患存在的部位、类型，当前的安全状态；</w:t>
      </w:r>
    </w:p>
    <w:p w14:paraId="27B11B00">
      <w:pPr>
        <w:spacing w:line="360" w:lineRule="auto"/>
        <w:ind w:firstLine="420" w:firstLineChars="200"/>
        <w:rPr>
          <w:rFonts w:ascii="宋体" w:hAnsi="宋体" w:cs="Tahoma"/>
          <w:kern w:val="0"/>
          <w:highlight w:val="none"/>
        </w:rPr>
      </w:pPr>
      <w:r>
        <w:rPr>
          <w:rFonts w:hint="eastAsia" w:ascii="宋体" w:hAnsi="宋体" w:cs="Tahoma"/>
          <w:kern w:val="0"/>
          <w:highlight w:val="none"/>
        </w:rPr>
        <w:t>危险物质、性质，可能产生的后果及波及范围；</w:t>
      </w:r>
    </w:p>
    <w:p w14:paraId="3D4DEAFE">
      <w:pPr>
        <w:spacing w:line="360" w:lineRule="auto"/>
        <w:ind w:firstLine="420" w:firstLineChars="200"/>
        <w:rPr>
          <w:rFonts w:ascii="宋体" w:hAnsi="宋体" w:cs="Tahoma"/>
          <w:kern w:val="0"/>
          <w:highlight w:val="none"/>
        </w:rPr>
      </w:pPr>
      <w:r>
        <w:rPr>
          <w:rFonts w:hint="eastAsia" w:ascii="宋体" w:hAnsi="宋体" w:cs="Tahoma"/>
          <w:kern w:val="0"/>
          <w:highlight w:val="none"/>
        </w:rPr>
        <w:t>采取的紧急防范措施，现场人员控制和疏散情况；</w:t>
      </w:r>
    </w:p>
    <w:p w14:paraId="11E6E1B2">
      <w:pPr>
        <w:spacing w:line="360" w:lineRule="auto"/>
        <w:ind w:firstLine="420" w:firstLineChars="200"/>
        <w:rPr>
          <w:rFonts w:ascii="宋体" w:hAnsi="宋体" w:cs="Tahoma"/>
          <w:kern w:val="0"/>
          <w:highlight w:val="none"/>
        </w:rPr>
      </w:pPr>
      <w:r>
        <w:rPr>
          <w:rFonts w:hint="eastAsia" w:ascii="宋体" w:hAnsi="宋体" w:cs="Tahoma"/>
          <w:kern w:val="0"/>
          <w:highlight w:val="none"/>
        </w:rPr>
        <w:t>领导、管理人员抵达现场情况。</w:t>
      </w:r>
    </w:p>
    <w:p w14:paraId="5419C85E">
      <w:pPr>
        <w:spacing w:line="360" w:lineRule="auto"/>
        <w:ind w:firstLine="420" w:firstLineChars="200"/>
        <w:rPr>
          <w:rFonts w:ascii="宋体" w:hAnsi="宋体" w:cs="Tahoma"/>
          <w:kern w:val="0"/>
          <w:highlight w:val="none"/>
        </w:rPr>
      </w:pPr>
      <w:r>
        <w:rPr>
          <w:rFonts w:hint="eastAsia" w:ascii="宋体" w:hAnsi="宋体" w:cs="Tahoma"/>
          <w:kern w:val="0"/>
          <w:highlight w:val="none"/>
        </w:rPr>
        <w:t>4.9</w:t>
      </w:r>
      <w:r>
        <w:rPr>
          <w:rFonts w:ascii="宋体" w:hAnsi="宋体" w:cs="Tahoma"/>
          <w:kern w:val="0"/>
          <w:highlight w:val="none"/>
        </w:rPr>
        <w:t>.3</w:t>
      </w:r>
      <w:r>
        <w:rPr>
          <w:rFonts w:hint="eastAsia" w:ascii="宋体" w:hAnsi="宋体" w:cs="Tahoma"/>
          <w:kern w:val="0"/>
          <w:highlight w:val="none"/>
        </w:rPr>
        <w:t>将重大事故隐患整改方案与进度、达标验收等重点情况及时报告</w:t>
      </w:r>
      <w:r>
        <w:rPr>
          <w:rFonts w:hint="eastAsia" w:ascii="宋体" w:hAnsi="宋体" w:cs="Tahoma"/>
          <w:kern w:val="0"/>
          <w:highlight w:val="none"/>
          <w:lang w:val="en-US" w:eastAsia="zh-CN"/>
        </w:rPr>
        <w:t>储能公司、风帆</w:t>
      </w:r>
      <w:r>
        <w:rPr>
          <w:rFonts w:hint="eastAsia" w:ascii="宋体" w:hAnsi="宋体" w:cs="Tahoma"/>
          <w:kern w:val="0"/>
          <w:highlight w:val="none"/>
        </w:rPr>
        <w:t>公司和地方政府及相关管理部门。出现重大情况变化，随有随报，不得延误。</w:t>
      </w:r>
    </w:p>
    <w:p w14:paraId="40884C1A">
      <w:pPr>
        <w:spacing w:line="360" w:lineRule="auto"/>
        <w:ind w:firstLine="420" w:firstLineChars="200"/>
        <w:rPr>
          <w:rFonts w:ascii="宋体" w:hAnsi="宋体" w:cs="Tahoma"/>
          <w:kern w:val="0"/>
          <w:highlight w:val="none"/>
        </w:rPr>
      </w:pPr>
      <w:r>
        <w:rPr>
          <w:rFonts w:hint="eastAsia" w:ascii="宋体" w:hAnsi="宋体" w:cs="Tahoma"/>
          <w:kern w:val="0"/>
          <w:highlight w:val="none"/>
        </w:rPr>
        <w:t>4.9</w:t>
      </w:r>
      <w:r>
        <w:rPr>
          <w:rFonts w:ascii="宋体" w:hAnsi="宋体" w:cs="Tahoma"/>
          <w:kern w:val="0"/>
          <w:highlight w:val="none"/>
        </w:rPr>
        <w:t>.4</w:t>
      </w:r>
      <w:r>
        <w:rPr>
          <w:rFonts w:hint="eastAsia" w:ascii="宋体" w:hAnsi="宋体" w:cs="Tahoma"/>
          <w:kern w:val="0"/>
          <w:highlight w:val="none"/>
        </w:rPr>
        <w:t>公司任何部门、个人接获重大事故隐患信息或疑似信息后，都须立即报告</w:t>
      </w:r>
      <w:r>
        <w:rPr>
          <w:rFonts w:hint="eastAsia" w:ascii="宋体" w:hAnsi="宋体" w:cs="Tahoma"/>
          <w:kern w:val="0"/>
          <w:highlight w:val="none"/>
          <w:lang w:val="en-US" w:eastAsia="zh-CN"/>
        </w:rPr>
        <w:t>储能公司</w:t>
      </w:r>
      <w:r>
        <w:rPr>
          <w:rFonts w:hint="eastAsia" w:ascii="宋体" w:hAnsi="宋体" w:cs="Tahoma"/>
          <w:kern w:val="0"/>
          <w:highlight w:val="none"/>
        </w:rPr>
        <w:t>安全生产管理部门，安全生产管理部门接报重大事故隐患信息后，立即核实情况、与成员单位重大事故隐患管理小组建立专门联系渠道，并向</w:t>
      </w:r>
      <w:r>
        <w:rPr>
          <w:rFonts w:hint="eastAsia" w:ascii="宋体" w:hAnsi="宋体" w:cs="Tahoma"/>
          <w:kern w:val="0"/>
          <w:highlight w:val="none"/>
          <w:lang w:val="en-US" w:eastAsia="zh-CN"/>
        </w:rPr>
        <w:t>储能</w:t>
      </w:r>
      <w:r>
        <w:rPr>
          <w:rFonts w:hint="eastAsia" w:ascii="宋体" w:hAnsi="宋体" w:cs="Tahoma"/>
          <w:kern w:val="0"/>
          <w:highlight w:val="none"/>
        </w:rPr>
        <w:t>公司安全生产领导小组</w:t>
      </w:r>
      <w:r>
        <w:rPr>
          <w:rFonts w:hint="eastAsia" w:ascii="宋体" w:hAnsi="宋体" w:cs="Tahoma"/>
          <w:kern w:val="0"/>
          <w:highlight w:val="none"/>
          <w:lang w:val="en-US" w:eastAsia="zh-CN"/>
        </w:rPr>
        <w:t>及风帆公司安全生产管理部门</w:t>
      </w:r>
      <w:r>
        <w:rPr>
          <w:rFonts w:hint="eastAsia" w:ascii="宋体" w:hAnsi="宋体" w:cs="Tahoma"/>
          <w:kern w:val="0"/>
          <w:highlight w:val="none"/>
        </w:rPr>
        <w:t>报告。</w:t>
      </w:r>
    </w:p>
    <w:p w14:paraId="21E3DB9D">
      <w:pPr>
        <w:spacing w:line="360" w:lineRule="auto"/>
        <w:ind w:firstLine="420" w:firstLineChars="200"/>
        <w:rPr>
          <w:rFonts w:ascii="宋体" w:hAnsi="宋体" w:cs="Tahoma"/>
          <w:kern w:val="0"/>
          <w:highlight w:val="none"/>
        </w:rPr>
      </w:pPr>
      <w:r>
        <w:rPr>
          <w:rFonts w:hint="eastAsia" w:ascii="宋体" w:hAnsi="宋体" w:cs="Tahoma"/>
          <w:kern w:val="0"/>
          <w:highlight w:val="none"/>
        </w:rPr>
        <w:t>4.9</w:t>
      </w:r>
      <w:r>
        <w:rPr>
          <w:rFonts w:ascii="宋体" w:hAnsi="宋体" w:cs="Tahoma"/>
          <w:kern w:val="0"/>
          <w:highlight w:val="none"/>
        </w:rPr>
        <w:t>.5</w:t>
      </w:r>
      <w:r>
        <w:rPr>
          <w:rFonts w:hint="eastAsia" w:ascii="宋体" w:hAnsi="宋体" w:cs="Tahoma"/>
          <w:kern w:val="0"/>
          <w:highlight w:val="none"/>
        </w:rPr>
        <w:t>公司对检查发现的重大事故隐患评估、整改、达标验收等重大环节组织督查，并检查成员单位落实公司安全生产工作要求的情况。对整改工作或落实不力的，发出《督办通知》，必要时组织专业力量现场督办。对验收后重新发现问题的，指令复验。</w:t>
      </w:r>
    </w:p>
    <w:p w14:paraId="2972A9AC">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4.10登记建档</w:t>
      </w:r>
    </w:p>
    <w:p w14:paraId="306508C5">
      <w:pPr>
        <w:spacing w:line="360" w:lineRule="auto"/>
        <w:ind w:firstLine="420" w:firstLineChars="200"/>
        <w:rPr>
          <w:rFonts w:ascii="宋体" w:hAnsi="宋体" w:cs="Tahoma"/>
          <w:kern w:val="0"/>
          <w:highlight w:val="none"/>
        </w:rPr>
      </w:pPr>
      <w:r>
        <w:rPr>
          <w:rFonts w:hint="eastAsia" w:ascii="宋体" w:hAnsi="宋体" w:cs="Tahoma"/>
          <w:kern w:val="0"/>
          <w:highlight w:val="none"/>
        </w:rPr>
        <w:t>4.10</w:t>
      </w:r>
      <w:r>
        <w:rPr>
          <w:rFonts w:ascii="宋体" w:hAnsi="宋体" w:cs="Tahoma"/>
          <w:kern w:val="0"/>
          <w:highlight w:val="none"/>
        </w:rPr>
        <w:t>.1</w:t>
      </w:r>
      <w:r>
        <w:rPr>
          <w:rFonts w:hint="eastAsia" w:ascii="宋体" w:hAnsi="宋体" w:cs="Tahoma"/>
          <w:kern w:val="0"/>
          <w:highlight w:val="none"/>
          <w:lang w:val="en-US" w:eastAsia="zh-CN"/>
        </w:rPr>
        <w:t>储能公司安环生产部及</w:t>
      </w:r>
      <w:r>
        <w:rPr>
          <w:rFonts w:hint="eastAsia" w:ascii="宋体" w:hAnsi="宋体" w:cs="Tahoma"/>
          <w:kern w:val="0"/>
          <w:highlight w:val="none"/>
        </w:rPr>
        <w:t>各子、分公司（部室）要建立健全事故隐患管理，将员工举报、检查发现、上报等各类事故隐患的发现、隐患具体情况、采取的措施、监管责任人、整改结果、复查时间等一一进行详细记录；建立健全重大危险源档案，将分管领域危险源数量、类型、所在单位、具体位置和部位、危险程度、可能发生的事故类型、监控措施、管理责任人、监控责任人、检查时间、检查情况等详细登记造册。</w:t>
      </w:r>
    </w:p>
    <w:p w14:paraId="16E1D112">
      <w:pPr>
        <w:spacing w:line="360" w:lineRule="auto"/>
        <w:ind w:firstLine="420" w:firstLineChars="200"/>
        <w:rPr>
          <w:rFonts w:ascii="宋体" w:hAnsi="宋体" w:cs="Tahoma"/>
          <w:kern w:val="0"/>
          <w:highlight w:val="none"/>
        </w:rPr>
      </w:pPr>
      <w:r>
        <w:rPr>
          <w:rFonts w:hint="eastAsia" w:ascii="宋体" w:hAnsi="宋体" w:cs="Tahoma"/>
          <w:kern w:val="0"/>
          <w:highlight w:val="none"/>
        </w:rPr>
        <w:t>4.10</w:t>
      </w:r>
      <w:r>
        <w:rPr>
          <w:rFonts w:ascii="宋体" w:hAnsi="宋体" w:cs="Tahoma"/>
          <w:kern w:val="0"/>
          <w:highlight w:val="none"/>
        </w:rPr>
        <w:t>.2</w:t>
      </w:r>
      <w:r>
        <w:rPr>
          <w:rFonts w:hint="eastAsia" w:ascii="宋体" w:hAnsi="宋体" w:cs="Tahoma"/>
          <w:kern w:val="0"/>
          <w:highlight w:val="none"/>
        </w:rPr>
        <w:t>安全生产管理部门对事故隐患进行定期汇总向公司领导汇报，并对事故隐患整改情况进行督查。</w:t>
      </w:r>
    </w:p>
    <w:p w14:paraId="4FD35272">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5奖励与处罚</w:t>
      </w:r>
    </w:p>
    <w:p w14:paraId="331A8D65">
      <w:pPr>
        <w:spacing w:line="360" w:lineRule="auto"/>
        <w:ind w:firstLine="420" w:firstLineChars="200"/>
        <w:rPr>
          <w:rFonts w:ascii="宋体" w:hAnsi="宋体" w:cs="Tahoma"/>
          <w:kern w:val="0"/>
          <w:highlight w:val="none"/>
        </w:rPr>
      </w:pPr>
      <w:r>
        <w:rPr>
          <w:rFonts w:hint="eastAsia" w:ascii="宋体" w:hAnsi="宋体" w:cs="Tahoma"/>
          <w:kern w:val="0"/>
          <w:highlight w:val="none"/>
        </w:rPr>
        <w:t>5</w:t>
      </w:r>
      <w:r>
        <w:rPr>
          <w:rFonts w:ascii="宋体" w:hAnsi="宋体" w:cs="Tahoma"/>
          <w:kern w:val="0"/>
          <w:highlight w:val="none"/>
        </w:rPr>
        <w:t>.1</w:t>
      </w:r>
      <w:r>
        <w:rPr>
          <w:rFonts w:hint="eastAsia" w:ascii="宋体" w:hAnsi="宋体" w:cs="Tahoma"/>
          <w:kern w:val="0"/>
          <w:highlight w:val="none"/>
        </w:rPr>
        <w:t>对于重大事故隐患的及时发现，避免重大事故发生及在事故隐患整改工作中有突出贡献的个人，按照公司《</w:t>
      </w:r>
      <w:r>
        <w:rPr>
          <w:rFonts w:hint="eastAsia" w:ascii="宋体" w:hAnsi="宋体" w:cs="宋体"/>
          <w:bCs/>
          <w:highlight w:val="none"/>
        </w:rPr>
        <w:t>安全生产奖惩办法</w:t>
      </w:r>
      <w:r>
        <w:rPr>
          <w:rFonts w:hint="eastAsia" w:ascii="宋体" w:hAnsi="宋体" w:cs="Tahoma"/>
          <w:kern w:val="0"/>
          <w:highlight w:val="none"/>
        </w:rPr>
        <w:t>》相关条款给予表彰与奖励。</w:t>
      </w:r>
    </w:p>
    <w:p w14:paraId="0CE34FE7">
      <w:pPr>
        <w:spacing w:line="360" w:lineRule="auto"/>
        <w:ind w:firstLine="420" w:firstLineChars="200"/>
        <w:rPr>
          <w:rFonts w:ascii="宋体" w:hAnsi="宋体" w:cs="Tahoma"/>
          <w:kern w:val="0"/>
          <w:highlight w:val="none"/>
        </w:rPr>
      </w:pPr>
      <w:r>
        <w:rPr>
          <w:rFonts w:hint="eastAsia" w:ascii="宋体" w:hAnsi="宋体" w:cs="Tahoma"/>
          <w:kern w:val="0"/>
          <w:highlight w:val="none"/>
        </w:rPr>
        <w:t>5</w:t>
      </w:r>
      <w:r>
        <w:rPr>
          <w:rFonts w:ascii="宋体" w:hAnsi="宋体" w:cs="Tahoma"/>
          <w:kern w:val="0"/>
          <w:highlight w:val="none"/>
        </w:rPr>
        <w:t>.2</w:t>
      </w:r>
      <w:r>
        <w:rPr>
          <w:rFonts w:hint="eastAsia" w:ascii="宋体" w:hAnsi="宋体" w:cs="Tahoma"/>
          <w:kern w:val="0"/>
          <w:highlight w:val="none"/>
        </w:rPr>
        <w:t>对事故隐患未按照职责进行认真监管或未按规</w:t>
      </w:r>
      <w:bookmarkStart w:id="1" w:name="_GoBack"/>
      <w:bookmarkEnd w:id="1"/>
      <w:r>
        <w:rPr>
          <w:rFonts w:hint="eastAsia" w:ascii="宋体" w:hAnsi="宋体" w:cs="Tahoma"/>
          <w:kern w:val="0"/>
          <w:highlight w:val="none"/>
        </w:rPr>
        <w:t>定上报的各类隐患，发生问题，按</w:t>
      </w:r>
      <w:r>
        <w:rPr>
          <w:rFonts w:hint="eastAsia" w:ascii="宋体" w:hAnsi="宋体" w:cs="Tahoma"/>
          <w:kern w:val="0"/>
          <w:highlight w:val="none"/>
          <w:lang w:val="en-US" w:eastAsia="zh-CN"/>
        </w:rPr>
        <w:t>储能公司</w:t>
      </w:r>
      <w:r>
        <w:rPr>
          <w:rFonts w:hint="eastAsia" w:ascii="宋体" w:hAnsi="宋体" w:cs="Tahoma"/>
          <w:kern w:val="0"/>
          <w:highlight w:val="none"/>
        </w:rPr>
        <w:t>《生产安全事故责任追究规定》严肃处理。</w:t>
      </w:r>
      <w:r>
        <w:rPr>
          <w:rFonts w:ascii="宋体" w:hAnsi="宋体" w:cs="Tahoma"/>
          <w:kern w:val="0"/>
          <w:highlight w:val="none"/>
        </w:rPr>
        <w:t xml:space="preserve"> </w:t>
      </w:r>
      <w:r>
        <w:rPr>
          <w:rFonts w:hint="eastAsia" w:ascii="宋体" w:hAnsi="宋体" w:cs="Tahoma"/>
          <w:kern w:val="0"/>
          <w:highlight w:val="none"/>
        </w:rPr>
        <w:t>触犯国家有关刑法的，依照国家刑法追究其刑事责任。</w:t>
      </w:r>
    </w:p>
    <w:p w14:paraId="323C5DFC">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6本管理制度由</w:t>
      </w:r>
      <w:r>
        <w:rPr>
          <w:rFonts w:hint="eastAsia" w:ascii="宋体" w:hAnsi="宋体" w:cs="宋体"/>
          <w:b/>
          <w:highlight w:val="none"/>
        </w:rPr>
        <w:t>安</w:t>
      </w:r>
      <w:r>
        <w:rPr>
          <w:rFonts w:hint="eastAsia" w:ascii="宋体" w:hAnsi="宋体" w:cs="宋体"/>
          <w:b/>
          <w:highlight w:val="none"/>
          <w:lang w:val="en-US" w:eastAsia="zh-CN"/>
        </w:rPr>
        <w:t>环</w:t>
      </w:r>
      <w:r>
        <w:rPr>
          <w:rFonts w:hint="eastAsia" w:ascii="宋体" w:hAnsi="宋体" w:cs="宋体"/>
          <w:b/>
          <w:highlight w:val="none"/>
        </w:rPr>
        <w:t>生产部</w:t>
      </w:r>
      <w:r>
        <w:rPr>
          <w:rFonts w:hint="eastAsia" w:ascii="宋体" w:hAnsi="宋体" w:cs="宋体"/>
          <w:b/>
          <w:kern w:val="0"/>
          <w:highlight w:val="none"/>
        </w:rPr>
        <w:t>负责解释。</w:t>
      </w:r>
    </w:p>
    <w:p w14:paraId="7F999BF2">
      <w:pPr>
        <w:spacing w:line="360" w:lineRule="auto"/>
        <w:ind w:firstLine="422" w:firstLineChars="200"/>
        <w:rPr>
          <w:rFonts w:hint="eastAsia" w:ascii="宋体" w:hAnsi="宋体" w:cs="宋体"/>
          <w:b/>
          <w:kern w:val="0"/>
          <w:highlight w:val="none"/>
        </w:rPr>
      </w:pPr>
      <w:r>
        <w:rPr>
          <w:rFonts w:hint="eastAsia" w:ascii="宋体" w:hAnsi="宋体" w:cs="宋体"/>
          <w:b/>
          <w:kern w:val="0"/>
          <w:highlight w:val="none"/>
        </w:rPr>
        <w:t>7本管理制度自下发生产之日起执行。</w:t>
      </w:r>
    </w:p>
    <w:p w14:paraId="57CA5E57">
      <w:pPr>
        <w:spacing w:line="360" w:lineRule="auto"/>
        <w:ind w:firstLine="422" w:firstLineChars="200"/>
        <w:rPr>
          <w:rFonts w:hint="eastAsia" w:ascii="宋体" w:hAnsi="宋体" w:cs="Tahoma"/>
          <w:kern w:val="0"/>
          <w:highlight w:val="none"/>
        </w:rPr>
      </w:pPr>
      <w:r>
        <w:rPr>
          <w:rFonts w:hint="eastAsia" w:ascii="宋体" w:hAnsi="宋体" w:cs="Tahoma"/>
          <w:b/>
          <w:bCs/>
          <w:kern w:val="0"/>
          <w:highlight w:val="none"/>
        </w:rPr>
        <w:t>附表</w:t>
      </w:r>
      <w:r>
        <w:rPr>
          <w:rFonts w:hint="eastAsia" w:ascii="宋体" w:hAnsi="宋体" w:cs="Tahoma"/>
          <w:kern w:val="0"/>
          <w:highlight w:val="none"/>
        </w:rPr>
        <w:t>：1.安全风险分级管控清单</w:t>
      </w:r>
    </w:p>
    <w:p w14:paraId="28FE4FE8">
      <w:pPr>
        <w:spacing w:line="324" w:lineRule="auto"/>
        <w:ind w:firstLine="420" w:firstLineChars="200"/>
        <w:rPr>
          <w:rFonts w:hint="eastAsia" w:ascii="宋体" w:hAnsi="宋体" w:cs="Tahoma"/>
          <w:kern w:val="0"/>
          <w:highlight w:val="none"/>
        </w:rPr>
      </w:pPr>
      <w:r>
        <w:rPr>
          <w:rFonts w:hint="eastAsia" w:ascii="宋体" w:hAnsi="宋体" w:cs="Tahoma"/>
          <w:kern w:val="0"/>
          <w:highlight w:val="none"/>
        </w:rPr>
        <w:t>2.事故隐患排查清单</w:t>
      </w:r>
    </w:p>
    <w:p w14:paraId="6DD9BD7C">
      <w:pPr>
        <w:spacing w:line="324" w:lineRule="auto"/>
        <w:ind w:firstLine="420" w:firstLineChars="200"/>
        <w:rPr>
          <w:rFonts w:ascii="宋体" w:hAnsi="宋体" w:cs="Tahoma"/>
          <w:kern w:val="0"/>
          <w:highlight w:val="none"/>
        </w:rPr>
      </w:pPr>
      <w:r>
        <w:rPr>
          <w:rFonts w:hint="eastAsia" w:ascii="宋体" w:hAnsi="宋体" w:cs="Tahoma"/>
          <w:kern w:val="0"/>
          <w:highlight w:val="none"/>
        </w:rPr>
        <w:t>3.事故隐患治理信息台账</w:t>
      </w:r>
    </w:p>
    <w:p w14:paraId="7A9AF8EF">
      <w:pPr>
        <w:ind w:firstLine="371" w:firstLineChars="177"/>
        <w:rPr>
          <w:rFonts w:hint="eastAsia" w:ascii="宋体" w:hAnsi="宋体"/>
          <w:highlight w:val="none"/>
        </w:rPr>
      </w:pPr>
    </w:p>
    <w:p w14:paraId="48911771">
      <w:pPr>
        <w:ind w:firstLine="371" w:firstLineChars="177"/>
        <w:jc w:val="right"/>
        <w:rPr>
          <w:rFonts w:hint="eastAsia" w:ascii="宋体" w:hAnsi="宋体"/>
          <w:highlight w:val="none"/>
        </w:rPr>
      </w:pPr>
    </w:p>
    <w:p w14:paraId="39DDD186">
      <w:pPr>
        <w:ind w:firstLine="371" w:firstLineChars="177"/>
        <w:jc w:val="right"/>
        <w:rPr>
          <w:rFonts w:hint="eastAsia" w:ascii="宋体" w:hAnsi="宋体"/>
          <w:highlight w:val="none"/>
        </w:rPr>
      </w:pPr>
    </w:p>
    <w:p w14:paraId="4ED28DD7">
      <w:pPr>
        <w:spacing w:line="480" w:lineRule="exact"/>
        <w:ind w:firstLine="371" w:firstLineChars="177"/>
        <w:jc w:val="right"/>
        <w:rPr>
          <w:rFonts w:hint="eastAsia" w:ascii="宋体" w:hAnsi="宋体" w:cs="宋体"/>
          <w:bCs/>
          <w:kern w:val="0"/>
          <w:sz w:val="28"/>
          <w:szCs w:val="28"/>
          <w:highlight w:val="none"/>
        </w:rPr>
      </w:pPr>
      <w:r>
        <w:rPr>
          <w:rFonts w:hint="eastAsia" w:ascii="宋体" w:hAnsi="宋体"/>
          <w:highlight w:val="none"/>
        </w:rPr>
        <w:t>二〇二</w:t>
      </w:r>
      <w:r>
        <w:rPr>
          <w:rFonts w:hint="eastAsia" w:ascii="宋体" w:hAnsi="宋体"/>
          <w:highlight w:val="none"/>
          <w:lang w:val="en-US" w:eastAsia="zh-CN"/>
        </w:rPr>
        <w:t xml:space="preserve">  </w:t>
      </w: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月</w:t>
      </w:r>
      <w:r>
        <w:rPr>
          <w:rFonts w:hint="eastAsia" w:ascii="宋体" w:hAnsi="宋体"/>
          <w:highlight w:val="none"/>
          <w:lang w:val="en-US" w:eastAsia="zh-CN"/>
        </w:rPr>
        <w:t xml:space="preserve"> 日</w:t>
      </w:r>
    </w:p>
    <w:p w14:paraId="700F784E">
      <w:pPr>
        <w:spacing w:line="480" w:lineRule="exact"/>
        <w:ind w:firstLine="424" w:firstLineChars="177"/>
        <w:rPr>
          <w:rFonts w:hint="eastAsia" w:ascii="宋体" w:hAnsi="宋体" w:cs="宋体"/>
          <w:bCs/>
          <w:kern w:val="0"/>
          <w:sz w:val="24"/>
          <w:szCs w:val="28"/>
          <w:highlight w:val="none"/>
        </w:rPr>
        <w:sectPr>
          <w:pgSz w:w="11906" w:h="16838"/>
          <w:pgMar w:top="1440" w:right="1418" w:bottom="1440" w:left="1418" w:header="851" w:footer="992" w:gutter="0"/>
          <w:cols w:space="720" w:num="1"/>
          <w:titlePg/>
          <w:docGrid w:linePitch="312" w:charSpace="0"/>
        </w:sectPr>
      </w:pPr>
    </w:p>
    <w:p w14:paraId="502C0F2B">
      <w:pPr>
        <w:spacing w:line="480" w:lineRule="exact"/>
        <w:ind w:firstLine="424" w:firstLineChars="177"/>
        <w:rPr>
          <w:rFonts w:hint="eastAsia" w:ascii="宋体" w:hAnsi="宋体" w:cs="宋体"/>
          <w:bCs/>
          <w:kern w:val="0"/>
          <w:sz w:val="24"/>
          <w:szCs w:val="28"/>
          <w:highlight w:val="none"/>
        </w:rPr>
      </w:pPr>
      <w:r>
        <w:rPr>
          <w:rFonts w:hint="eastAsia" w:ascii="宋体" w:hAnsi="宋体" w:cs="宋体"/>
          <w:bCs/>
          <w:kern w:val="0"/>
          <w:sz w:val="24"/>
          <w:szCs w:val="28"/>
          <w:highlight w:val="none"/>
        </w:rPr>
        <w:t>附表1</w:t>
      </w:r>
    </w:p>
    <w:p w14:paraId="6470F836">
      <w:pPr>
        <w:spacing w:line="480" w:lineRule="exact"/>
        <w:ind w:firstLine="426" w:firstLineChars="177"/>
        <w:jc w:val="center"/>
        <w:rPr>
          <w:rFonts w:hint="eastAsia" w:ascii="宋体" w:hAnsi="宋体" w:cs="宋体"/>
          <w:b/>
          <w:bCs/>
          <w:kern w:val="0"/>
          <w:sz w:val="24"/>
          <w:szCs w:val="30"/>
          <w:highlight w:val="none"/>
        </w:rPr>
      </w:pPr>
      <w:r>
        <w:rPr>
          <w:rFonts w:hint="eastAsia" w:ascii="宋体" w:hAnsi="宋体" w:cs="宋体"/>
          <w:b/>
          <w:bCs/>
          <w:kern w:val="0"/>
          <w:sz w:val="24"/>
          <w:szCs w:val="30"/>
          <w:highlight w:val="none"/>
        </w:rPr>
        <w:t>安全风险分级管控清单（台帐）</w:t>
      </w:r>
    </w:p>
    <w:p w14:paraId="5596A5E6">
      <w:pPr>
        <w:spacing w:after="120" w:afterLines="50" w:line="480" w:lineRule="exact"/>
        <w:jc w:val="left"/>
        <w:rPr>
          <w:rFonts w:hint="eastAsia" w:ascii="宋体" w:hAnsi="宋体" w:cs="宋体"/>
          <w:bCs/>
          <w:kern w:val="0"/>
          <w:highlight w:val="none"/>
        </w:rPr>
      </w:pPr>
      <w:r>
        <w:rPr>
          <w:rFonts w:hint="eastAsia" w:ascii="宋体" w:hAnsi="宋体" w:cs="宋体"/>
          <w:bCs/>
          <w:kern w:val="0"/>
          <w:highlight w:val="none"/>
        </w:rPr>
        <w:t>单位：</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01"/>
        <w:gridCol w:w="688"/>
        <w:gridCol w:w="1276"/>
        <w:gridCol w:w="425"/>
        <w:gridCol w:w="567"/>
        <w:gridCol w:w="425"/>
        <w:gridCol w:w="538"/>
        <w:gridCol w:w="738"/>
        <w:gridCol w:w="1843"/>
        <w:gridCol w:w="768"/>
        <w:gridCol w:w="791"/>
      </w:tblGrid>
      <w:tr w14:paraId="1423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noWrap w:val="0"/>
            <w:vAlign w:val="top"/>
          </w:tcPr>
          <w:p w14:paraId="76E9CB99">
            <w:pPr>
              <w:spacing w:line="480" w:lineRule="exact"/>
              <w:jc w:val="left"/>
              <w:rPr>
                <w:rFonts w:hint="eastAsia" w:ascii="宋体" w:hAnsi="宋体" w:cs="宋体"/>
                <w:bCs/>
                <w:kern w:val="0"/>
                <w:highlight w:val="none"/>
              </w:rPr>
            </w:pPr>
            <w:r>
              <w:rPr>
                <w:rFonts w:hint="eastAsia" w:ascii="宋体" w:hAnsi="宋体" w:cs="宋体"/>
                <w:bCs/>
                <w:kern w:val="0"/>
                <w:highlight w:val="none"/>
              </w:rPr>
              <w:t>序号</w:t>
            </w:r>
          </w:p>
        </w:tc>
        <w:tc>
          <w:tcPr>
            <w:tcW w:w="801" w:type="dxa"/>
            <w:vMerge w:val="restart"/>
            <w:noWrap w:val="0"/>
            <w:vAlign w:val="top"/>
          </w:tcPr>
          <w:p w14:paraId="4B733CD0">
            <w:pPr>
              <w:spacing w:line="480" w:lineRule="exact"/>
              <w:jc w:val="center"/>
              <w:rPr>
                <w:rFonts w:hint="eastAsia" w:ascii="宋体" w:hAnsi="宋体" w:cs="宋体"/>
                <w:bCs/>
                <w:kern w:val="0"/>
                <w:highlight w:val="none"/>
              </w:rPr>
            </w:pPr>
            <w:r>
              <w:rPr>
                <w:rFonts w:hint="eastAsia" w:ascii="宋体" w:hAnsi="宋体" w:cs="宋体"/>
                <w:bCs/>
                <w:kern w:val="0"/>
                <w:highlight w:val="none"/>
              </w:rPr>
              <w:t>作业岗位</w:t>
            </w:r>
          </w:p>
        </w:tc>
        <w:tc>
          <w:tcPr>
            <w:tcW w:w="688" w:type="dxa"/>
            <w:vMerge w:val="restart"/>
            <w:noWrap w:val="0"/>
            <w:vAlign w:val="top"/>
          </w:tcPr>
          <w:p w14:paraId="392E65E6">
            <w:pPr>
              <w:spacing w:line="480" w:lineRule="exact"/>
              <w:jc w:val="left"/>
              <w:rPr>
                <w:rFonts w:hint="eastAsia" w:ascii="宋体" w:hAnsi="宋体" w:cs="宋体"/>
                <w:bCs/>
                <w:kern w:val="0"/>
                <w:highlight w:val="none"/>
              </w:rPr>
            </w:pPr>
            <w:r>
              <w:rPr>
                <w:rFonts w:hint="eastAsia" w:ascii="宋体" w:hAnsi="宋体" w:cs="宋体"/>
                <w:bCs/>
                <w:kern w:val="0"/>
                <w:highlight w:val="none"/>
              </w:rPr>
              <w:t>风险辨识</w:t>
            </w:r>
          </w:p>
        </w:tc>
        <w:tc>
          <w:tcPr>
            <w:tcW w:w="1276" w:type="dxa"/>
            <w:vMerge w:val="restart"/>
            <w:noWrap w:val="0"/>
            <w:vAlign w:val="top"/>
          </w:tcPr>
          <w:p w14:paraId="29CD1591">
            <w:pPr>
              <w:spacing w:line="480" w:lineRule="exact"/>
              <w:jc w:val="center"/>
              <w:rPr>
                <w:rFonts w:hint="eastAsia" w:ascii="宋体" w:hAnsi="宋体" w:cs="宋体"/>
                <w:bCs/>
                <w:kern w:val="0"/>
                <w:highlight w:val="none"/>
              </w:rPr>
            </w:pPr>
            <w:r>
              <w:rPr>
                <w:rFonts w:hint="eastAsia" w:ascii="宋体" w:hAnsi="宋体" w:cs="宋体"/>
                <w:bCs/>
                <w:kern w:val="0"/>
                <w:highlight w:val="none"/>
              </w:rPr>
              <w:t>可能导致的事故类型</w:t>
            </w:r>
          </w:p>
        </w:tc>
        <w:tc>
          <w:tcPr>
            <w:tcW w:w="1955" w:type="dxa"/>
            <w:gridSpan w:val="4"/>
            <w:noWrap w:val="0"/>
            <w:vAlign w:val="top"/>
          </w:tcPr>
          <w:p w14:paraId="161AD1EE">
            <w:pPr>
              <w:spacing w:line="480" w:lineRule="exact"/>
              <w:jc w:val="center"/>
              <w:rPr>
                <w:rFonts w:hint="eastAsia" w:ascii="宋体" w:hAnsi="宋体" w:cs="宋体"/>
                <w:bCs/>
                <w:kern w:val="0"/>
                <w:highlight w:val="none"/>
              </w:rPr>
            </w:pPr>
            <w:r>
              <w:rPr>
                <w:rFonts w:hint="eastAsia" w:ascii="宋体" w:hAnsi="宋体" w:cs="宋体"/>
                <w:bCs/>
                <w:kern w:val="0"/>
                <w:highlight w:val="none"/>
              </w:rPr>
              <w:t>风险评估（LEC）</w:t>
            </w:r>
          </w:p>
        </w:tc>
        <w:tc>
          <w:tcPr>
            <w:tcW w:w="738" w:type="dxa"/>
            <w:vMerge w:val="restart"/>
            <w:noWrap w:val="0"/>
            <w:vAlign w:val="top"/>
          </w:tcPr>
          <w:p w14:paraId="03E9ADC2">
            <w:pPr>
              <w:spacing w:line="480" w:lineRule="exact"/>
              <w:jc w:val="left"/>
              <w:rPr>
                <w:rFonts w:hint="eastAsia" w:ascii="宋体" w:hAnsi="宋体" w:cs="宋体"/>
                <w:bCs/>
                <w:kern w:val="0"/>
                <w:highlight w:val="none"/>
              </w:rPr>
            </w:pPr>
            <w:r>
              <w:rPr>
                <w:rFonts w:hint="eastAsia" w:ascii="宋体" w:hAnsi="宋体" w:cs="宋体"/>
                <w:bCs/>
                <w:kern w:val="0"/>
                <w:highlight w:val="none"/>
              </w:rPr>
              <w:t>风险级别</w:t>
            </w:r>
          </w:p>
        </w:tc>
        <w:tc>
          <w:tcPr>
            <w:tcW w:w="1843" w:type="dxa"/>
            <w:vMerge w:val="restart"/>
            <w:noWrap w:val="0"/>
            <w:vAlign w:val="top"/>
          </w:tcPr>
          <w:p w14:paraId="7FFBCE3C">
            <w:pPr>
              <w:spacing w:line="480" w:lineRule="exact"/>
              <w:jc w:val="center"/>
              <w:rPr>
                <w:rFonts w:hint="eastAsia" w:ascii="宋体" w:hAnsi="宋体" w:cs="宋体"/>
                <w:bCs/>
                <w:kern w:val="0"/>
                <w:highlight w:val="none"/>
              </w:rPr>
            </w:pPr>
            <w:r>
              <w:rPr>
                <w:rFonts w:hint="eastAsia" w:ascii="宋体" w:hAnsi="宋体" w:cs="宋体"/>
                <w:bCs/>
                <w:kern w:val="0"/>
                <w:highlight w:val="none"/>
              </w:rPr>
              <w:t>主要防范措施</w:t>
            </w:r>
          </w:p>
        </w:tc>
        <w:tc>
          <w:tcPr>
            <w:tcW w:w="768" w:type="dxa"/>
            <w:vMerge w:val="restart"/>
            <w:noWrap w:val="0"/>
            <w:vAlign w:val="top"/>
          </w:tcPr>
          <w:p w14:paraId="39723399">
            <w:pPr>
              <w:spacing w:line="480" w:lineRule="exact"/>
              <w:jc w:val="left"/>
              <w:rPr>
                <w:rFonts w:hint="eastAsia" w:ascii="宋体" w:hAnsi="宋体" w:cs="宋体"/>
                <w:bCs/>
                <w:kern w:val="0"/>
                <w:highlight w:val="none"/>
              </w:rPr>
            </w:pPr>
            <w:r>
              <w:rPr>
                <w:rFonts w:hint="eastAsia" w:ascii="宋体" w:hAnsi="宋体" w:cs="宋体"/>
                <w:bCs/>
                <w:kern w:val="0"/>
                <w:highlight w:val="none"/>
              </w:rPr>
              <w:t>责任部门</w:t>
            </w:r>
          </w:p>
        </w:tc>
        <w:tc>
          <w:tcPr>
            <w:tcW w:w="791" w:type="dxa"/>
            <w:vMerge w:val="restart"/>
            <w:noWrap w:val="0"/>
            <w:vAlign w:val="top"/>
          </w:tcPr>
          <w:p w14:paraId="54F9913C">
            <w:pPr>
              <w:spacing w:line="480" w:lineRule="exact"/>
              <w:jc w:val="center"/>
              <w:rPr>
                <w:rFonts w:hint="eastAsia" w:ascii="宋体" w:hAnsi="宋体" w:cs="宋体"/>
                <w:bCs/>
                <w:kern w:val="0"/>
                <w:highlight w:val="none"/>
              </w:rPr>
            </w:pPr>
            <w:r>
              <w:rPr>
                <w:rFonts w:hint="eastAsia" w:ascii="宋体" w:hAnsi="宋体" w:cs="宋体"/>
                <w:bCs/>
                <w:kern w:val="0"/>
                <w:highlight w:val="none"/>
              </w:rPr>
              <w:t>责任人</w:t>
            </w:r>
          </w:p>
        </w:tc>
      </w:tr>
      <w:tr w14:paraId="48D4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noWrap w:val="0"/>
            <w:vAlign w:val="top"/>
          </w:tcPr>
          <w:p w14:paraId="0602CDE0">
            <w:pPr>
              <w:spacing w:line="480" w:lineRule="exact"/>
              <w:jc w:val="left"/>
              <w:rPr>
                <w:rFonts w:hint="eastAsia" w:ascii="宋体" w:hAnsi="宋体" w:cs="宋体"/>
                <w:bCs/>
                <w:kern w:val="0"/>
                <w:highlight w:val="none"/>
              </w:rPr>
            </w:pPr>
          </w:p>
        </w:tc>
        <w:tc>
          <w:tcPr>
            <w:tcW w:w="801" w:type="dxa"/>
            <w:vMerge w:val="continue"/>
            <w:noWrap w:val="0"/>
            <w:vAlign w:val="top"/>
          </w:tcPr>
          <w:p w14:paraId="24A20464">
            <w:pPr>
              <w:spacing w:line="480" w:lineRule="exact"/>
              <w:jc w:val="left"/>
              <w:rPr>
                <w:rFonts w:hint="eastAsia" w:ascii="宋体" w:hAnsi="宋体" w:cs="宋体"/>
                <w:bCs/>
                <w:kern w:val="0"/>
                <w:highlight w:val="none"/>
              </w:rPr>
            </w:pPr>
          </w:p>
        </w:tc>
        <w:tc>
          <w:tcPr>
            <w:tcW w:w="688" w:type="dxa"/>
            <w:vMerge w:val="continue"/>
            <w:noWrap w:val="0"/>
            <w:vAlign w:val="top"/>
          </w:tcPr>
          <w:p w14:paraId="46CEC511">
            <w:pPr>
              <w:spacing w:line="480" w:lineRule="exact"/>
              <w:jc w:val="left"/>
              <w:rPr>
                <w:rFonts w:hint="eastAsia" w:ascii="宋体" w:hAnsi="宋体" w:cs="宋体"/>
                <w:bCs/>
                <w:kern w:val="0"/>
                <w:highlight w:val="none"/>
              </w:rPr>
            </w:pPr>
          </w:p>
        </w:tc>
        <w:tc>
          <w:tcPr>
            <w:tcW w:w="1276" w:type="dxa"/>
            <w:vMerge w:val="continue"/>
            <w:noWrap w:val="0"/>
            <w:vAlign w:val="top"/>
          </w:tcPr>
          <w:p w14:paraId="16BB760C">
            <w:pPr>
              <w:spacing w:line="480" w:lineRule="exact"/>
              <w:jc w:val="center"/>
              <w:rPr>
                <w:rFonts w:hint="eastAsia" w:ascii="宋体" w:hAnsi="宋体" w:cs="宋体"/>
                <w:bCs/>
                <w:kern w:val="0"/>
                <w:highlight w:val="none"/>
              </w:rPr>
            </w:pPr>
          </w:p>
        </w:tc>
        <w:tc>
          <w:tcPr>
            <w:tcW w:w="425" w:type="dxa"/>
            <w:noWrap w:val="0"/>
            <w:vAlign w:val="top"/>
          </w:tcPr>
          <w:p w14:paraId="21D73938">
            <w:pPr>
              <w:spacing w:line="480" w:lineRule="exact"/>
              <w:jc w:val="center"/>
              <w:rPr>
                <w:rFonts w:hint="eastAsia" w:ascii="宋体" w:hAnsi="宋体" w:cs="宋体"/>
                <w:bCs/>
                <w:kern w:val="0"/>
                <w:highlight w:val="none"/>
              </w:rPr>
            </w:pPr>
            <w:r>
              <w:rPr>
                <w:rFonts w:hint="eastAsia" w:ascii="宋体" w:hAnsi="宋体" w:cs="宋体"/>
                <w:bCs/>
                <w:kern w:val="0"/>
                <w:highlight w:val="none"/>
              </w:rPr>
              <w:t>L</w:t>
            </w:r>
          </w:p>
        </w:tc>
        <w:tc>
          <w:tcPr>
            <w:tcW w:w="567" w:type="dxa"/>
            <w:noWrap w:val="0"/>
            <w:vAlign w:val="top"/>
          </w:tcPr>
          <w:p w14:paraId="0C5A0A4D">
            <w:pPr>
              <w:spacing w:line="480" w:lineRule="exact"/>
              <w:jc w:val="center"/>
              <w:rPr>
                <w:rFonts w:hint="eastAsia" w:ascii="宋体" w:hAnsi="宋体" w:cs="宋体"/>
                <w:bCs/>
                <w:kern w:val="0"/>
                <w:highlight w:val="none"/>
              </w:rPr>
            </w:pPr>
            <w:r>
              <w:rPr>
                <w:rFonts w:hint="eastAsia" w:ascii="宋体" w:hAnsi="宋体" w:cs="宋体"/>
                <w:bCs/>
                <w:kern w:val="0"/>
                <w:highlight w:val="none"/>
              </w:rPr>
              <w:t>E</w:t>
            </w:r>
          </w:p>
        </w:tc>
        <w:tc>
          <w:tcPr>
            <w:tcW w:w="425" w:type="dxa"/>
            <w:noWrap w:val="0"/>
            <w:vAlign w:val="top"/>
          </w:tcPr>
          <w:p w14:paraId="63DCB426">
            <w:pPr>
              <w:spacing w:line="480" w:lineRule="exact"/>
              <w:jc w:val="center"/>
              <w:rPr>
                <w:rFonts w:hint="eastAsia" w:ascii="宋体" w:hAnsi="宋体" w:cs="宋体"/>
                <w:bCs/>
                <w:kern w:val="0"/>
                <w:highlight w:val="none"/>
              </w:rPr>
            </w:pPr>
            <w:r>
              <w:rPr>
                <w:rFonts w:hint="eastAsia" w:ascii="宋体" w:hAnsi="宋体" w:cs="宋体"/>
                <w:bCs/>
                <w:kern w:val="0"/>
                <w:highlight w:val="none"/>
              </w:rPr>
              <w:t>C</w:t>
            </w:r>
          </w:p>
        </w:tc>
        <w:tc>
          <w:tcPr>
            <w:tcW w:w="538" w:type="dxa"/>
            <w:noWrap w:val="0"/>
            <w:vAlign w:val="top"/>
          </w:tcPr>
          <w:p w14:paraId="7FB8501D">
            <w:pPr>
              <w:spacing w:line="480" w:lineRule="exact"/>
              <w:jc w:val="center"/>
              <w:rPr>
                <w:rFonts w:hint="eastAsia" w:ascii="宋体" w:hAnsi="宋体" w:cs="宋体"/>
                <w:bCs/>
                <w:kern w:val="0"/>
                <w:highlight w:val="none"/>
              </w:rPr>
            </w:pPr>
            <w:r>
              <w:rPr>
                <w:rFonts w:hint="eastAsia" w:ascii="宋体" w:hAnsi="宋体" w:cs="宋体"/>
                <w:bCs/>
                <w:kern w:val="0"/>
                <w:highlight w:val="none"/>
              </w:rPr>
              <w:t>D</w:t>
            </w:r>
          </w:p>
        </w:tc>
        <w:tc>
          <w:tcPr>
            <w:tcW w:w="738" w:type="dxa"/>
            <w:vMerge w:val="continue"/>
            <w:noWrap w:val="0"/>
            <w:vAlign w:val="top"/>
          </w:tcPr>
          <w:p w14:paraId="313ACD14">
            <w:pPr>
              <w:spacing w:line="480" w:lineRule="exact"/>
              <w:jc w:val="left"/>
              <w:rPr>
                <w:rFonts w:hint="eastAsia" w:ascii="宋体" w:hAnsi="宋体" w:cs="宋体"/>
                <w:bCs/>
                <w:kern w:val="0"/>
                <w:highlight w:val="none"/>
              </w:rPr>
            </w:pPr>
          </w:p>
        </w:tc>
        <w:tc>
          <w:tcPr>
            <w:tcW w:w="1843" w:type="dxa"/>
            <w:vMerge w:val="continue"/>
            <w:noWrap w:val="0"/>
            <w:vAlign w:val="top"/>
          </w:tcPr>
          <w:p w14:paraId="05F2B5F8">
            <w:pPr>
              <w:spacing w:line="480" w:lineRule="exact"/>
              <w:jc w:val="left"/>
              <w:rPr>
                <w:rFonts w:hint="eastAsia" w:ascii="宋体" w:hAnsi="宋体" w:cs="宋体"/>
                <w:bCs/>
                <w:kern w:val="0"/>
                <w:highlight w:val="none"/>
              </w:rPr>
            </w:pPr>
          </w:p>
        </w:tc>
        <w:tc>
          <w:tcPr>
            <w:tcW w:w="768" w:type="dxa"/>
            <w:vMerge w:val="continue"/>
            <w:noWrap w:val="0"/>
            <w:vAlign w:val="top"/>
          </w:tcPr>
          <w:p w14:paraId="29DDE019">
            <w:pPr>
              <w:spacing w:line="480" w:lineRule="exact"/>
              <w:jc w:val="left"/>
              <w:rPr>
                <w:rFonts w:hint="eastAsia" w:ascii="宋体" w:hAnsi="宋体" w:cs="宋体"/>
                <w:bCs/>
                <w:kern w:val="0"/>
                <w:highlight w:val="none"/>
              </w:rPr>
            </w:pPr>
          </w:p>
        </w:tc>
        <w:tc>
          <w:tcPr>
            <w:tcW w:w="791" w:type="dxa"/>
            <w:vMerge w:val="continue"/>
            <w:noWrap w:val="0"/>
            <w:vAlign w:val="top"/>
          </w:tcPr>
          <w:p w14:paraId="4B5026B3">
            <w:pPr>
              <w:spacing w:line="480" w:lineRule="exact"/>
              <w:jc w:val="left"/>
              <w:rPr>
                <w:rFonts w:hint="eastAsia" w:ascii="宋体" w:hAnsi="宋体" w:cs="宋体"/>
                <w:bCs/>
                <w:kern w:val="0"/>
                <w:highlight w:val="none"/>
              </w:rPr>
            </w:pPr>
          </w:p>
        </w:tc>
      </w:tr>
      <w:tr w14:paraId="197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noWrap w:val="0"/>
            <w:vAlign w:val="top"/>
          </w:tcPr>
          <w:p w14:paraId="65B67296">
            <w:pPr>
              <w:spacing w:line="480" w:lineRule="exact"/>
              <w:jc w:val="left"/>
              <w:rPr>
                <w:rFonts w:hint="eastAsia" w:ascii="宋体" w:hAnsi="宋体" w:cs="宋体"/>
                <w:bCs/>
                <w:kern w:val="0"/>
                <w:highlight w:val="none"/>
              </w:rPr>
            </w:pPr>
          </w:p>
        </w:tc>
        <w:tc>
          <w:tcPr>
            <w:tcW w:w="801" w:type="dxa"/>
            <w:noWrap w:val="0"/>
            <w:vAlign w:val="top"/>
          </w:tcPr>
          <w:p w14:paraId="3BB71F24">
            <w:pPr>
              <w:spacing w:line="480" w:lineRule="exact"/>
              <w:jc w:val="left"/>
              <w:rPr>
                <w:rFonts w:hint="eastAsia" w:ascii="宋体" w:hAnsi="宋体" w:cs="宋体"/>
                <w:bCs/>
                <w:kern w:val="0"/>
                <w:highlight w:val="none"/>
              </w:rPr>
            </w:pPr>
          </w:p>
        </w:tc>
        <w:tc>
          <w:tcPr>
            <w:tcW w:w="688" w:type="dxa"/>
            <w:noWrap w:val="0"/>
            <w:vAlign w:val="top"/>
          </w:tcPr>
          <w:p w14:paraId="362F852C">
            <w:pPr>
              <w:spacing w:line="480" w:lineRule="exact"/>
              <w:jc w:val="left"/>
              <w:rPr>
                <w:rFonts w:hint="eastAsia" w:ascii="宋体" w:hAnsi="宋体" w:cs="宋体"/>
                <w:bCs/>
                <w:kern w:val="0"/>
                <w:highlight w:val="none"/>
              </w:rPr>
            </w:pPr>
          </w:p>
        </w:tc>
        <w:tc>
          <w:tcPr>
            <w:tcW w:w="1276" w:type="dxa"/>
            <w:noWrap w:val="0"/>
            <w:vAlign w:val="top"/>
          </w:tcPr>
          <w:p w14:paraId="39DCD7E5">
            <w:pPr>
              <w:spacing w:line="480" w:lineRule="exact"/>
              <w:jc w:val="left"/>
              <w:rPr>
                <w:rFonts w:hint="eastAsia" w:ascii="宋体" w:hAnsi="宋体" w:cs="宋体"/>
                <w:bCs/>
                <w:kern w:val="0"/>
                <w:highlight w:val="none"/>
              </w:rPr>
            </w:pPr>
          </w:p>
        </w:tc>
        <w:tc>
          <w:tcPr>
            <w:tcW w:w="425" w:type="dxa"/>
            <w:noWrap w:val="0"/>
            <w:vAlign w:val="top"/>
          </w:tcPr>
          <w:p w14:paraId="1BF038BA">
            <w:pPr>
              <w:spacing w:line="480" w:lineRule="exact"/>
              <w:jc w:val="left"/>
              <w:rPr>
                <w:rFonts w:hint="eastAsia" w:ascii="宋体" w:hAnsi="宋体" w:cs="宋体"/>
                <w:bCs/>
                <w:kern w:val="0"/>
                <w:highlight w:val="none"/>
              </w:rPr>
            </w:pPr>
          </w:p>
        </w:tc>
        <w:tc>
          <w:tcPr>
            <w:tcW w:w="567" w:type="dxa"/>
            <w:noWrap w:val="0"/>
            <w:vAlign w:val="top"/>
          </w:tcPr>
          <w:p w14:paraId="6A678D30">
            <w:pPr>
              <w:spacing w:line="480" w:lineRule="exact"/>
              <w:jc w:val="left"/>
              <w:rPr>
                <w:rFonts w:hint="eastAsia" w:ascii="宋体" w:hAnsi="宋体" w:cs="宋体"/>
                <w:bCs/>
                <w:kern w:val="0"/>
                <w:highlight w:val="none"/>
              </w:rPr>
            </w:pPr>
          </w:p>
        </w:tc>
        <w:tc>
          <w:tcPr>
            <w:tcW w:w="425" w:type="dxa"/>
            <w:noWrap w:val="0"/>
            <w:vAlign w:val="top"/>
          </w:tcPr>
          <w:p w14:paraId="31EABD94">
            <w:pPr>
              <w:spacing w:line="480" w:lineRule="exact"/>
              <w:jc w:val="left"/>
              <w:rPr>
                <w:rFonts w:hint="eastAsia" w:ascii="宋体" w:hAnsi="宋体" w:cs="宋体"/>
                <w:bCs/>
                <w:kern w:val="0"/>
                <w:highlight w:val="none"/>
              </w:rPr>
            </w:pPr>
          </w:p>
        </w:tc>
        <w:tc>
          <w:tcPr>
            <w:tcW w:w="538" w:type="dxa"/>
            <w:noWrap w:val="0"/>
            <w:vAlign w:val="top"/>
          </w:tcPr>
          <w:p w14:paraId="2D96C3DD">
            <w:pPr>
              <w:spacing w:line="480" w:lineRule="exact"/>
              <w:jc w:val="left"/>
              <w:rPr>
                <w:rFonts w:hint="eastAsia" w:ascii="宋体" w:hAnsi="宋体" w:cs="宋体"/>
                <w:bCs/>
                <w:kern w:val="0"/>
                <w:highlight w:val="none"/>
              </w:rPr>
            </w:pPr>
          </w:p>
        </w:tc>
        <w:tc>
          <w:tcPr>
            <w:tcW w:w="738" w:type="dxa"/>
            <w:noWrap w:val="0"/>
            <w:vAlign w:val="top"/>
          </w:tcPr>
          <w:p w14:paraId="0C984AB7">
            <w:pPr>
              <w:spacing w:line="480" w:lineRule="exact"/>
              <w:jc w:val="left"/>
              <w:rPr>
                <w:rFonts w:hint="eastAsia" w:ascii="宋体" w:hAnsi="宋体" w:cs="宋体"/>
                <w:bCs/>
                <w:kern w:val="0"/>
                <w:highlight w:val="none"/>
              </w:rPr>
            </w:pPr>
          </w:p>
        </w:tc>
        <w:tc>
          <w:tcPr>
            <w:tcW w:w="1843" w:type="dxa"/>
            <w:noWrap w:val="0"/>
            <w:vAlign w:val="top"/>
          </w:tcPr>
          <w:p w14:paraId="4D55E4D9">
            <w:pPr>
              <w:spacing w:line="480" w:lineRule="exact"/>
              <w:jc w:val="left"/>
              <w:rPr>
                <w:rFonts w:hint="eastAsia" w:ascii="宋体" w:hAnsi="宋体" w:cs="宋体"/>
                <w:bCs/>
                <w:kern w:val="0"/>
                <w:highlight w:val="none"/>
              </w:rPr>
            </w:pPr>
          </w:p>
        </w:tc>
        <w:tc>
          <w:tcPr>
            <w:tcW w:w="768" w:type="dxa"/>
            <w:noWrap w:val="0"/>
            <w:vAlign w:val="top"/>
          </w:tcPr>
          <w:p w14:paraId="3F62992C">
            <w:pPr>
              <w:spacing w:line="480" w:lineRule="exact"/>
              <w:jc w:val="left"/>
              <w:rPr>
                <w:rFonts w:hint="eastAsia" w:ascii="宋体" w:hAnsi="宋体" w:cs="宋体"/>
                <w:bCs/>
                <w:kern w:val="0"/>
                <w:highlight w:val="none"/>
              </w:rPr>
            </w:pPr>
          </w:p>
        </w:tc>
        <w:tc>
          <w:tcPr>
            <w:tcW w:w="791" w:type="dxa"/>
            <w:noWrap w:val="0"/>
            <w:vAlign w:val="top"/>
          </w:tcPr>
          <w:p w14:paraId="0058BD38">
            <w:pPr>
              <w:spacing w:line="480" w:lineRule="exact"/>
              <w:jc w:val="left"/>
              <w:rPr>
                <w:rFonts w:hint="eastAsia" w:ascii="宋体" w:hAnsi="宋体" w:cs="宋体"/>
                <w:bCs/>
                <w:kern w:val="0"/>
                <w:highlight w:val="none"/>
              </w:rPr>
            </w:pPr>
          </w:p>
        </w:tc>
      </w:tr>
      <w:tr w14:paraId="2642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noWrap w:val="0"/>
            <w:vAlign w:val="top"/>
          </w:tcPr>
          <w:p w14:paraId="00F835D3">
            <w:pPr>
              <w:spacing w:line="480" w:lineRule="exact"/>
              <w:jc w:val="left"/>
              <w:rPr>
                <w:rFonts w:hint="eastAsia" w:ascii="宋体" w:hAnsi="宋体" w:cs="宋体"/>
                <w:bCs/>
                <w:kern w:val="0"/>
                <w:highlight w:val="none"/>
              </w:rPr>
            </w:pPr>
          </w:p>
        </w:tc>
        <w:tc>
          <w:tcPr>
            <w:tcW w:w="801" w:type="dxa"/>
            <w:noWrap w:val="0"/>
            <w:vAlign w:val="top"/>
          </w:tcPr>
          <w:p w14:paraId="26449080">
            <w:pPr>
              <w:spacing w:line="480" w:lineRule="exact"/>
              <w:jc w:val="left"/>
              <w:rPr>
                <w:rFonts w:hint="eastAsia" w:ascii="宋体" w:hAnsi="宋体" w:cs="宋体"/>
                <w:bCs/>
                <w:kern w:val="0"/>
                <w:highlight w:val="none"/>
              </w:rPr>
            </w:pPr>
          </w:p>
        </w:tc>
        <w:tc>
          <w:tcPr>
            <w:tcW w:w="688" w:type="dxa"/>
            <w:noWrap w:val="0"/>
            <w:vAlign w:val="top"/>
          </w:tcPr>
          <w:p w14:paraId="61317736">
            <w:pPr>
              <w:spacing w:line="480" w:lineRule="exact"/>
              <w:jc w:val="left"/>
              <w:rPr>
                <w:rFonts w:hint="eastAsia" w:ascii="宋体" w:hAnsi="宋体" w:cs="宋体"/>
                <w:bCs/>
                <w:kern w:val="0"/>
                <w:highlight w:val="none"/>
              </w:rPr>
            </w:pPr>
          </w:p>
        </w:tc>
        <w:tc>
          <w:tcPr>
            <w:tcW w:w="1276" w:type="dxa"/>
            <w:noWrap w:val="0"/>
            <w:vAlign w:val="top"/>
          </w:tcPr>
          <w:p w14:paraId="5788EBE4">
            <w:pPr>
              <w:spacing w:line="480" w:lineRule="exact"/>
              <w:jc w:val="left"/>
              <w:rPr>
                <w:rFonts w:hint="eastAsia" w:ascii="宋体" w:hAnsi="宋体" w:cs="宋体"/>
                <w:bCs/>
                <w:kern w:val="0"/>
                <w:highlight w:val="none"/>
              </w:rPr>
            </w:pPr>
          </w:p>
        </w:tc>
        <w:tc>
          <w:tcPr>
            <w:tcW w:w="425" w:type="dxa"/>
            <w:noWrap w:val="0"/>
            <w:vAlign w:val="top"/>
          </w:tcPr>
          <w:p w14:paraId="3B47C694">
            <w:pPr>
              <w:spacing w:line="480" w:lineRule="exact"/>
              <w:jc w:val="left"/>
              <w:rPr>
                <w:rFonts w:hint="eastAsia" w:ascii="宋体" w:hAnsi="宋体" w:cs="宋体"/>
                <w:bCs/>
                <w:kern w:val="0"/>
                <w:highlight w:val="none"/>
              </w:rPr>
            </w:pPr>
          </w:p>
        </w:tc>
        <w:tc>
          <w:tcPr>
            <w:tcW w:w="567" w:type="dxa"/>
            <w:noWrap w:val="0"/>
            <w:vAlign w:val="top"/>
          </w:tcPr>
          <w:p w14:paraId="5DCC852C">
            <w:pPr>
              <w:spacing w:line="480" w:lineRule="exact"/>
              <w:jc w:val="left"/>
              <w:rPr>
                <w:rFonts w:hint="eastAsia" w:ascii="宋体" w:hAnsi="宋体" w:cs="宋体"/>
                <w:bCs/>
                <w:kern w:val="0"/>
                <w:highlight w:val="none"/>
              </w:rPr>
            </w:pPr>
          </w:p>
        </w:tc>
        <w:tc>
          <w:tcPr>
            <w:tcW w:w="425" w:type="dxa"/>
            <w:noWrap w:val="0"/>
            <w:vAlign w:val="top"/>
          </w:tcPr>
          <w:p w14:paraId="0FC0103F">
            <w:pPr>
              <w:spacing w:line="480" w:lineRule="exact"/>
              <w:jc w:val="left"/>
              <w:rPr>
                <w:rFonts w:hint="eastAsia" w:ascii="宋体" w:hAnsi="宋体" w:cs="宋体"/>
                <w:bCs/>
                <w:kern w:val="0"/>
                <w:highlight w:val="none"/>
              </w:rPr>
            </w:pPr>
          </w:p>
        </w:tc>
        <w:tc>
          <w:tcPr>
            <w:tcW w:w="538" w:type="dxa"/>
            <w:noWrap w:val="0"/>
            <w:vAlign w:val="top"/>
          </w:tcPr>
          <w:p w14:paraId="3A0385E6">
            <w:pPr>
              <w:spacing w:line="480" w:lineRule="exact"/>
              <w:jc w:val="left"/>
              <w:rPr>
                <w:rFonts w:hint="eastAsia" w:ascii="宋体" w:hAnsi="宋体" w:cs="宋体"/>
                <w:bCs/>
                <w:kern w:val="0"/>
                <w:highlight w:val="none"/>
              </w:rPr>
            </w:pPr>
          </w:p>
        </w:tc>
        <w:tc>
          <w:tcPr>
            <w:tcW w:w="738" w:type="dxa"/>
            <w:noWrap w:val="0"/>
            <w:vAlign w:val="top"/>
          </w:tcPr>
          <w:p w14:paraId="3FF4F3EE">
            <w:pPr>
              <w:spacing w:line="480" w:lineRule="exact"/>
              <w:jc w:val="left"/>
              <w:rPr>
                <w:rFonts w:hint="eastAsia" w:ascii="宋体" w:hAnsi="宋体" w:cs="宋体"/>
                <w:bCs/>
                <w:kern w:val="0"/>
                <w:highlight w:val="none"/>
              </w:rPr>
            </w:pPr>
          </w:p>
        </w:tc>
        <w:tc>
          <w:tcPr>
            <w:tcW w:w="1843" w:type="dxa"/>
            <w:noWrap w:val="0"/>
            <w:vAlign w:val="top"/>
          </w:tcPr>
          <w:p w14:paraId="195A8053">
            <w:pPr>
              <w:spacing w:line="480" w:lineRule="exact"/>
              <w:jc w:val="left"/>
              <w:rPr>
                <w:rFonts w:hint="eastAsia" w:ascii="宋体" w:hAnsi="宋体" w:cs="宋体"/>
                <w:bCs/>
                <w:kern w:val="0"/>
                <w:highlight w:val="none"/>
              </w:rPr>
            </w:pPr>
          </w:p>
        </w:tc>
        <w:tc>
          <w:tcPr>
            <w:tcW w:w="768" w:type="dxa"/>
            <w:noWrap w:val="0"/>
            <w:vAlign w:val="top"/>
          </w:tcPr>
          <w:p w14:paraId="68A59B18">
            <w:pPr>
              <w:spacing w:line="480" w:lineRule="exact"/>
              <w:jc w:val="left"/>
              <w:rPr>
                <w:rFonts w:hint="eastAsia" w:ascii="宋体" w:hAnsi="宋体" w:cs="宋体"/>
                <w:bCs/>
                <w:kern w:val="0"/>
                <w:highlight w:val="none"/>
              </w:rPr>
            </w:pPr>
          </w:p>
        </w:tc>
        <w:tc>
          <w:tcPr>
            <w:tcW w:w="791" w:type="dxa"/>
            <w:noWrap w:val="0"/>
            <w:vAlign w:val="top"/>
          </w:tcPr>
          <w:p w14:paraId="5D4BAD30">
            <w:pPr>
              <w:spacing w:line="480" w:lineRule="exact"/>
              <w:jc w:val="left"/>
              <w:rPr>
                <w:rFonts w:hint="eastAsia" w:ascii="宋体" w:hAnsi="宋体" w:cs="宋体"/>
                <w:bCs/>
                <w:kern w:val="0"/>
                <w:highlight w:val="none"/>
              </w:rPr>
            </w:pPr>
          </w:p>
        </w:tc>
      </w:tr>
      <w:tr w14:paraId="40CB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noWrap w:val="0"/>
            <w:vAlign w:val="top"/>
          </w:tcPr>
          <w:p w14:paraId="3EC0CD7E">
            <w:pPr>
              <w:spacing w:line="480" w:lineRule="exact"/>
              <w:jc w:val="left"/>
              <w:rPr>
                <w:rFonts w:hint="eastAsia" w:ascii="宋体" w:hAnsi="宋体" w:cs="宋体"/>
                <w:bCs/>
                <w:kern w:val="0"/>
                <w:highlight w:val="none"/>
              </w:rPr>
            </w:pPr>
          </w:p>
        </w:tc>
        <w:tc>
          <w:tcPr>
            <w:tcW w:w="801" w:type="dxa"/>
            <w:noWrap w:val="0"/>
            <w:vAlign w:val="top"/>
          </w:tcPr>
          <w:p w14:paraId="154A401D">
            <w:pPr>
              <w:spacing w:line="480" w:lineRule="exact"/>
              <w:jc w:val="left"/>
              <w:rPr>
                <w:rFonts w:hint="eastAsia" w:ascii="宋体" w:hAnsi="宋体" w:cs="宋体"/>
                <w:bCs/>
                <w:kern w:val="0"/>
                <w:highlight w:val="none"/>
              </w:rPr>
            </w:pPr>
          </w:p>
        </w:tc>
        <w:tc>
          <w:tcPr>
            <w:tcW w:w="688" w:type="dxa"/>
            <w:noWrap w:val="0"/>
            <w:vAlign w:val="top"/>
          </w:tcPr>
          <w:p w14:paraId="06E9BA21">
            <w:pPr>
              <w:spacing w:line="480" w:lineRule="exact"/>
              <w:jc w:val="left"/>
              <w:rPr>
                <w:rFonts w:hint="eastAsia" w:ascii="宋体" w:hAnsi="宋体" w:cs="宋体"/>
                <w:bCs/>
                <w:kern w:val="0"/>
                <w:highlight w:val="none"/>
              </w:rPr>
            </w:pPr>
          </w:p>
        </w:tc>
        <w:tc>
          <w:tcPr>
            <w:tcW w:w="1276" w:type="dxa"/>
            <w:noWrap w:val="0"/>
            <w:vAlign w:val="top"/>
          </w:tcPr>
          <w:p w14:paraId="47E93C4E">
            <w:pPr>
              <w:spacing w:line="480" w:lineRule="exact"/>
              <w:jc w:val="left"/>
              <w:rPr>
                <w:rFonts w:hint="eastAsia" w:ascii="宋体" w:hAnsi="宋体" w:cs="宋体"/>
                <w:bCs/>
                <w:kern w:val="0"/>
                <w:highlight w:val="none"/>
              </w:rPr>
            </w:pPr>
          </w:p>
        </w:tc>
        <w:tc>
          <w:tcPr>
            <w:tcW w:w="425" w:type="dxa"/>
            <w:noWrap w:val="0"/>
            <w:vAlign w:val="top"/>
          </w:tcPr>
          <w:p w14:paraId="4FF811D4">
            <w:pPr>
              <w:spacing w:line="480" w:lineRule="exact"/>
              <w:jc w:val="left"/>
              <w:rPr>
                <w:rFonts w:hint="eastAsia" w:ascii="宋体" w:hAnsi="宋体" w:cs="宋体"/>
                <w:bCs/>
                <w:kern w:val="0"/>
                <w:highlight w:val="none"/>
              </w:rPr>
            </w:pPr>
          </w:p>
        </w:tc>
        <w:tc>
          <w:tcPr>
            <w:tcW w:w="567" w:type="dxa"/>
            <w:noWrap w:val="0"/>
            <w:vAlign w:val="top"/>
          </w:tcPr>
          <w:p w14:paraId="7088338F">
            <w:pPr>
              <w:spacing w:line="480" w:lineRule="exact"/>
              <w:jc w:val="left"/>
              <w:rPr>
                <w:rFonts w:hint="eastAsia" w:ascii="宋体" w:hAnsi="宋体" w:cs="宋体"/>
                <w:bCs/>
                <w:kern w:val="0"/>
                <w:highlight w:val="none"/>
              </w:rPr>
            </w:pPr>
          </w:p>
        </w:tc>
        <w:tc>
          <w:tcPr>
            <w:tcW w:w="425" w:type="dxa"/>
            <w:noWrap w:val="0"/>
            <w:vAlign w:val="top"/>
          </w:tcPr>
          <w:p w14:paraId="4F5B99FF">
            <w:pPr>
              <w:spacing w:line="480" w:lineRule="exact"/>
              <w:jc w:val="left"/>
              <w:rPr>
                <w:rFonts w:hint="eastAsia" w:ascii="宋体" w:hAnsi="宋体" w:cs="宋体"/>
                <w:bCs/>
                <w:kern w:val="0"/>
                <w:highlight w:val="none"/>
              </w:rPr>
            </w:pPr>
          </w:p>
        </w:tc>
        <w:tc>
          <w:tcPr>
            <w:tcW w:w="538" w:type="dxa"/>
            <w:noWrap w:val="0"/>
            <w:vAlign w:val="top"/>
          </w:tcPr>
          <w:p w14:paraId="16752D59">
            <w:pPr>
              <w:spacing w:line="480" w:lineRule="exact"/>
              <w:jc w:val="left"/>
              <w:rPr>
                <w:rFonts w:hint="eastAsia" w:ascii="宋体" w:hAnsi="宋体" w:cs="宋体"/>
                <w:bCs/>
                <w:kern w:val="0"/>
                <w:highlight w:val="none"/>
              </w:rPr>
            </w:pPr>
          </w:p>
        </w:tc>
        <w:tc>
          <w:tcPr>
            <w:tcW w:w="738" w:type="dxa"/>
            <w:noWrap w:val="0"/>
            <w:vAlign w:val="top"/>
          </w:tcPr>
          <w:p w14:paraId="32F7B149">
            <w:pPr>
              <w:spacing w:line="480" w:lineRule="exact"/>
              <w:jc w:val="left"/>
              <w:rPr>
                <w:rFonts w:hint="eastAsia" w:ascii="宋体" w:hAnsi="宋体" w:cs="宋体"/>
                <w:bCs/>
                <w:kern w:val="0"/>
                <w:highlight w:val="none"/>
              </w:rPr>
            </w:pPr>
          </w:p>
        </w:tc>
        <w:tc>
          <w:tcPr>
            <w:tcW w:w="1843" w:type="dxa"/>
            <w:noWrap w:val="0"/>
            <w:vAlign w:val="top"/>
          </w:tcPr>
          <w:p w14:paraId="2A5329B1">
            <w:pPr>
              <w:spacing w:line="480" w:lineRule="exact"/>
              <w:jc w:val="left"/>
              <w:rPr>
                <w:rFonts w:hint="eastAsia" w:ascii="宋体" w:hAnsi="宋体" w:cs="宋体"/>
                <w:bCs/>
                <w:kern w:val="0"/>
                <w:highlight w:val="none"/>
              </w:rPr>
            </w:pPr>
          </w:p>
        </w:tc>
        <w:tc>
          <w:tcPr>
            <w:tcW w:w="768" w:type="dxa"/>
            <w:noWrap w:val="0"/>
            <w:vAlign w:val="top"/>
          </w:tcPr>
          <w:p w14:paraId="5078EAE0">
            <w:pPr>
              <w:spacing w:line="480" w:lineRule="exact"/>
              <w:jc w:val="left"/>
              <w:rPr>
                <w:rFonts w:hint="eastAsia" w:ascii="宋体" w:hAnsi="宋体" w:cs="宋体"/>
                <w:bCs/>
                <w:kern w:val="0"/>
                <w:highlight w:val="none"/>
              </w:rPr>
            </w:pPr>
          </w:p>
        </w:tc>
        <w:tc>
          <w:tcPr>
            <w:tcW w:w="791" w:type="dxa"/>
            <w:noWrap w:val="0"/>
            <w:vAlign w:val="top"/>
          </w:tcPr>
          <w:p w14:paraId="50DAE498">
            <w:pPr>
              <w:spacing w:line="480" w:lineRule="exact"/>
              <w:jc w:val="left"/>
              <w:rPr>
                <w:rFonts w:hint="eastAsia" w:ascii="宋体" w:hAnsi="宋体" w:cs="宋体"/>
                <w:bCs/>
                <w:kern w:val="0"/>
                <w:highlight w:val="none"/>
              </w:rPr>
            </w:pPr>
          </w:p>
        </w:tc>
      </w:tr>
      <w:tr w14:paraId="7BDC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noWrap w:val="0"/>
            <w:vAlign w:val="top"/>
          </w:tcPr>
          <w:p w14:paraId="354DCAA1">
            <w:pPr>
              <w:spacing w:line="480" w:lineRule="exact"/>
              <w:jc w:val="left"/>
              <w:rPr>
                <w:rFonts w:hint="eastAsia" w:ascii="宋体" w:hAnsi="宋体" w:cs="宋体"/>
                <w:bCs/>
                <w:kern w:val="0"/>
                <w:highlight w:val="none"/>
              </w:rPr>
            </w:pPr>
          </w:p>
        </w:tc>
        <w:tc>
          <w:tcPr>
            <w:tcW w:w="801" w:type="dxa"/>
            <w:noWrap w:val="0"/>
            <w:vAlign w:val="top"/>
          </w:tcPr>
          <w:p w14:paraId="4BD89555">
            <w:pPr>
              <w:spacing w:line="480" w:lineRule="exact"/>
              <w:jc w:val="left"/>
              <w:rPr>
                <w:rFonts w:hint="eastAsia" w:ascii="宋体" w:hAnsi="宋体" w:cs="宋体"/>
                <w:bCs/>
                <w:kern w:val="0"/>
                <w:highlight w:val="none"/>
              </w:rPr>
            </w:pPr>
          </w:p>
        </w:tc>
        <w:tc>
          <w:tcPr>
            <w:tcW w:w="688" w:type="dxa"/>
            <w:noWrap w:val="0"/>
            <w:vAlign w:val="top"/>
          </w:tcPr>
          <w:p w14:paraId="1A8A10AB">
            <w:pPr>
              <w:spacing w:line="480" w:lineRule="exact"/>
              <w:jc w:val="left"/>
              <w:rPr>
                <w:rFonts w:hint="eastAsia" w:ascii="宋体" w:hAnsi="宋体" w:cs="宋体"/>
                <w:bCs/>
                <w:kern w:val="0"/>
                <w:highlight w:val="none"/>
              </w:rPr>
            </w:pPr>
          </w:p>
        </w:tc>
        <w:tc>
          <w:tcPr>
            <w:tcW w:w="1276" w:type="dxa"/>
            <w:noWrap w:val="0"/>
            <w:vAlign w:val="top"/>
          </w:tcPr>
          <w:p w14:paraId="2AD98BAA">
            <w:pPr>
              <w:spacing w:line="480" w:lineRule="exact"/>
              <w:jc w:val="left"/>
              <w:rPr>
                <w:rFonts w:hint="eastAsia" w:ascii="宋体" w:hAnsi="宋体" w:cs="宋体"/>
                <w:bCs/>
                <w:kern w:val="0"/>
                <w:highlight w:val="none"/>
              </w:rPr>
            </w:pPr>
          </w:p>
        </w:tc>
        <w:tc>
          <w:tcPr>
            <w:tcW w:w="425" w:type="dxa"/>
            <w:noWrap w:val="0"/>
            <w:vAlign w:val="top"/>
          </w:tcPr>
          <w:p w14:paraId="525011C2">
            <w:pPr>
              <w:spacing w:line="480" w:lineRule="exact"/>
              <w:jc w:val="left"/>
              <w:rPr>
                <w:rFonts w:hint="eastAsia" w:ascii="宋体" w:hAnsi="宋体" w:cs="宋体"/>
                <w:bCs/>
                <w:kern w:val="0"/>
                <w:highlight w:val="none"/>
              </w:rPr>
            </w:pPr>
          </w:p>
        </w:tc>
        <w:tc>
          <w:tcPr>
            <w:tcW w:w="567" w:type="dxa"/>
            <w:noWrap w:val="0"/>
            <w:vAlign w:val="top"/>
          </w:tcPr>
          <w:p w14:paraId="7D14161D">
            <w:pPr>
              <w:spacing w:line="480" w:lineRule="exact"/>
              <w:jc w:val="left"/>
              <w:rPr>
                <w:rFonts w:hint="eastAsia" w:ascii="宋体" w:hAnsi="宋体" w:cs="宋体"/>
                <w:bCs/>
                <w:kern w:val="0"/>
                <w:highlight w:val="none"/>
              </w:rPr>
            </w:pPr>
          </w:p>
        </w:tc>
        <w:tc>
          <w:tcPr>
            <w:tcW w:w="425" w:type="dxa"/>
            <w:noWrap w:val="0"/>
            <w:vAlign w:val="top"/>
          </w:tcPr>
          <w:p w14:paraId="5EEF97FA">
            <w:pPr>
              <w:spacing w:line="480" w:lineRule="exact"/>
              <w:jc w:val="left"/>
              <w:rPr>
                <w:rFonts w:hint="eastAsia" w:ascii="宋体" w:hAnsi="宋体" w:cs="宋体"/>
                <w:bCs/>
                <w:kern w:val="0"/>
                <w:highlight w:val="none"/>
              </w:rPr>
            </w:pPr>
          </w:p>
        </w:tc>
        <w:tc>
          <w:tcPr>
            <w:tcW w:w="538" w:type="dxa"/>
            <w:noWrap w:val="0"/>
            <w:vAlign w:val="top"/>
          </w:tcPr>
          <w:p w14:paraId="00796F97">
            <w:pPr>
              <w:spacing w:line="480" w:lineRule="exact"/>
              <w:jc w:val="left"/>
              <w:rPr>
                <w:rFonts w:hint="eastAsia" w:ascii="宋体" w:hAnsi="宋体" w:cs="宋体"/>
                <w:bCs/>
                <w:kern w:val="0"/>
                <w:highlight w:val="none"/>
              </w:rPr>
            </w:pPr>
          </w:p>
        </w:tc>
        <w:tc>
          <w:tcPr>
            <w:tcW w:w="738" w:type="dxa"/>
            <w:noWrap w:val="0"/>
            <w:vAlign w:val="top"/>
          </w:tcPr>
          <w:p w14:paraId="78C48E23">
            <w:pPr>
              <w:spacing w:line="480" w:lineRule="exact"/>
              <w:jc w:val="left"/>
              <w:rPr>
                <w:rFonts w:hint="eastAsia" w:ascii="宋体" w:hAnsi="宋体" w:cs="宋体"/>
                <w:bCs/>
                <w:kern w:val="0"/>
                <w:highlight w:val="none"/>
              </w:rPr>
            </w:pPr>
          </w:p>
        </w:tc>
        <w:tc>
          <w:tcPr>
            <w:tcW w:w="1843" w:type="dxa"/>
            <w:noWrap w:val="0"/>
            <w:vAlign w:val="top"/>
          </w:tcPr>
          <w:p w14:paraId="4C179CA6">
            <w:pPr>
              <w:spacing w:line="480" w:lineRule="exact"/>
              <w:jc w:val="left"/>
              <w:rPr>
                <w:rFonts w:hint="eastAsia" w:ascii="宋体" w:hAnsi="宋体" w:cs="宋体"/>
                <w:bCs/>
                <w:kern w:val="0"/>
                <w:highlight w:val="none"/>
              </w:rPr>
            </w:pPr>
          </w:p>
        </w:tc>
        <w:tc>
          <w:tcPr>
            <w:tcW w:w="768" w:type="dxa"/>
            <w:noWrap w:val="0"/>
            <w:vAlign w:val="top"/>
          </w:tcPr>
          <w:p w14:paraId="55549C85">
            <w:pPr>
              <w:spacing w:line="480" w:lineRule="exact"/>
              <w:jc w:val="left"/>
              <w:rPr>
                <w:rFonts w:hint="eastAsia" w:ascii="宋体" w:hAnsi="宋体" w:cs="宋体"/>
                <w:bCs/>
                <w:kern w:val="0"/>
                <w:highlight w:val="none"/>
              </w:rPr>
            </w:pPr>
          </w:p>
        </w:tc>
        <w:tc>
          <w:tcPr>
            <w:tcW w:w="791" w:type="dxa"/>
            <w:noWrap w:val="0"/>
            <w:vAlign w:val="top"/>
          </w:tcPr>
          <w:p w14:paraId="19807DA6">
            <w:pPr>
              <w:spacing w:line="480" w:lineRule="exact"/>
              <w:jc w:val="left"/>
              <w:rPr>
                <w:rFonts w:hint="eastAsia" w:ascii="宋体" w:hAnsi="宋体" w:cs="宋体"/>
                <w:bCs/>
                <w:kern w:val="0"/>
                <w:highlight w:val="none"/>
              </w:rPr>
            </w:pPr>
          </w:p>
        </w:tc>
      </w:tr>
    </w:tbl>
    <w:p w14:paraId="576402AD">
      <w:pPr>
        <w:spacing w:line="480" w:lineRule="exact"/>
        <w:rPr>
          <w:rFonts w:hint="eastAsia" w:ascii="宋体" w:hAnsi="宋体" w:cs="Tahoma"/>
          <w:kern w:val="0"/>
          <w:sz w:val="32"/>
          <w:szCs w:val="32"/>
          <w:highlight w:val="none"/>
        </w:rPr>
      </w:pPr>
    </w:p>
    <w:p w14:paraId="5308B442">
      <w:pPr>
        <w:spacing w:line="480" w:lineRule="exact"/>
        <w:ind w:firstLine="424" w:firstLineChars="177"/>
        <w:rPr>
          <w:rFonts w:hint="eastAsia" w:ascii="宋体" w:hAnsi="宋体" w:cs="Tahoma"/>
          <w:kern w:val="0"/>
          <w:sz w:val="24"/>
          <w:szCs w:val="28"/>
          <w:highlight w:val="none"/>
        </w:rPr>
      </w:pPr>
      <w:r>
        <w:rPr>
          <w:rFonts w:hint="eastAsia" w:ascii="宋体" w:hAnsi="宋体" w:cs="Tahoma"/>
          <w:kern w:val="0"/>
          <w:sz w:val="24"/>
          <w:szCs w:val="28"/>
          <w:highlight w:val="none"/>
        </w:rPr>
        <w:t>附表2</w:t>
      </w:r>
    </w:p>
    <w:p w14:paraId="6688D603">
      <w:pPr>
        <w:spacing w:line="480" w:lineRule="exact"/>
        <w:ind w:firstLine="426" w:firstLineChars="177"/>
        <w:jc w:val="center"/>
        <w:rPr>
          <w:rFonts w:hint="eastAsia" w:ascii="宋体" w:hAnsi="宋体" w:cs="宋体"/>
          <w:b/>
          <w:bCs/>
          <w:kern w:val="0"/>
          <w:sz w:val="24"/>
          <w:szCs w:val="32"/>
          <w:highlight w:val="none"/>
        </w:rPr>
      </w:pPr>
      <w:r>
        <w:rPr>
          <w:rFonts w:hint="eastAsia" w:ascii="宋体" w:hAnsi="宋体" w:cs="Tahoma"/>
          <w:b/>
          <w:kern w:val="0"/>
          <w:sz w:val="24"/>
          <w:szCs w:val="32"/>
          <w:highlight w:val="none"/>
        </w:rPr>
        <w:t>事故隐患排查清单</w:t>
      </w:r>
    </w:p>
    <w:p w14:paraId="137B9FDB">
      <w:pPr>
        <w:spacing w:after="120" w:afterLines="50" w:line="480" w:lineRule="exact"/>
        <w:jc w:val="left"/>
        <w:rPr>
          <w:rFonts w:hint="eastAsia" w:ascii="宋体" w:hAnsi="宋体" w:cs="宋体"/>
          <w:bCs/>
          <w:kern w:val="0"/>
          <w:highlight w:val="none"/>
        </w:rPr>
      </w:pPr>
      <w:r>
        <w:rPr>
          <w:rFonts w:hint="eastAsia" w:ascii="宋体" w:hAnsi="宋体" w:cs="宋体"/>
          <w:bCs/>
          <w:kern w:val="0"/>
          <w:highlight w:val="none"/>
        </w:rPr>
        <w:t>单位：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268"/>
        <w:gridCol w:w="992"/>
        <w:gridCol w:w="851"/>
        <w:gridCol w:w="1134"/>
        <w:gridCol w:w="1559"/>
        <w:gridCol w:w="912"/>
      </w:tblGrid>
      <w:tr w14:paraId="1618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17" w:type="dxa"/>
            <w:noWrap w:val="0"/>
            <w:vAlign w:val="top"/>
          </w:tcPr>
          <w:p w14:paraId="7F7933D4">
            <w:pPr>
              <w:spacing w:line="480" w:lineRule="exact"/>
              <w:jc w:val="center"/>
              <w:rPr>
                <w:rFonts w:hint="eastAsia" w:ascii="宋体" w:hAnsi="宋体" w:cs="宋体"/>
                <w:bCs/>
                <w:kern w:val="0"/>
                <w:highlight w:val="none"/>
              </w:rPr>
            </w:pPr>
            <w:r>
              <w:rPr>
                <w:rFonts w:hint="eastAsia" w:ascii="宋体" w:hAnsi="宋体" w:cs="宋体"/>
                <w:bCs/>
                <w:kern w:val="0"/>
                <w:highlight w:val="none"/>
              </w:rPr>
              <w:t>排查类别</w:t>
            </w:r>
          </w:p>
        </w:tc>
        <w:tc>
          <w:tcPr>
            <w:tcW w:w="709" w:type="dxa"/>
            <w:noWrap w:val="0"/>
            <w:vAlign w:val="top"/>
          </w:tcPr>
          <w:p w14:paraId="7C63FA2B">
            <w:pPr>
              <w:spacing w:line="480" w:lineRule="exact"/>
              <w:jc w:val="center"/>
              <w:rPr>
                <w:rFonts w:hint="eastAsia" w:ascii="宋体" w:hAnsi="宋体" w:cs="宋体"/>
                <w:bCs/>
                <w:kern w:val="0"/>
                <w:highlight w:val="none"/>
              </w:rPr>
            </w:pPr>
            <w:r>
              <w:rPr>
                <w:rFonts w:hint="eastAsia" w:ascii="宋体" w:hAnsi="宋体" w:cs="宋体"/>
                <w:bCs/>
                <w:kern w:val="0"/>
                <w:highlight w:val="none"/>
              </w:rPr>
              <w:t>排查项目</w:t>
            </w:r>
          </w:p>
        </w:tc>
        <w:tc>
          <w:tcPr>
            <w:tcW w:w="2268" w:type="dxa"/>
            <w:noWrap w:val="0"/>
            <w:vAlign w:val="top"/>
          </w:tcPr>
          <w:p w14:paraId="46DC8BF6">
            <w:pPr>
              <w:spacing w:line="480" w:lineRule="exact"/>
              <w:jc w:val="center"/>
              <w:rPr>
                <w:rFonts w:hint="eastAsia" w:ascii="宋体" w:hAnsi="宋体" w:cs="宋体"/>
                <w:bCs/>
                <w:kern w:val="0"/>
                <w:highlight w:val="none"/>
              </w:rPr>
            </w:pPr>
            <w:r>
              <w:rPr>
                <w:rFonts w:hint="eastAsia" w:ascii="宋体" w:hAnsi="宋体" w:cs="宋体"/>
                <w:bCs/>
                <w:kern w:val="0"/>
                <w:highlight w:val="none"/>
              </w:rPr>
              <w:t>风险，管控措施</w:t>
            </w:r>
          </w:p>
          <w:p w14:paraId="6B9DE438">
            <w:pPr>
              <w:spacing w:line="480" w:lineRule="exact"/>
              <w:jc w:val="center"/>
              <w:rPr>
                <w:rFonts w:hint="eastAsia" w:ascii="宋体" w:hAnsi="宋体" w:cs="宋体"/>
                <w:bCs/>
                <w:kern w:val="0"/>
                <w:highlight w:val="none"/>
              </w:rPr>
            </w:pPr>
            <w:r>
              <w:rPr>
                <w:rFonts w:hint="eastAsia" w:ascii="宋体" w:hAnsi="宋体" w:cs="宋体"/>
                <w:bCs/>
                <w:kern w:val="0"/>
                <w:highlight w:val="none"/>
              </w:rPr>
              <w:t>（排查标准）</w:t>
            </w:r>
          </w:p>
        </w:tc>
        <w:tc>
          <w:tcPr>
            <w:tcW w:w="992" w:type="dxa"/>
            <w:noWrap w:val="0"/>
            <w:vAlign w:val="top"/>
          </w:tcPr>
          <w:p w14:paraId="08C20DD0">
            <w:pPr>
              <w:spacing w:line="480" w:lineRule="exact"/>
              <w:jc w:val="center"/>
              <w:rPr>
                <w:rFonts w:hint="eastAsia" w:ascii="宋体" w:hAnsi="宋体" w:cs="宋体"/>
                <w:bCs/>
                <w:kern w:val="0"/>
                <w:highlight w:val="none"/>
              </w:rPr>
            </w:pPr>
            <w:r>
              <w:rPr>
                <w:rFonts w:hint="eastAsia" w:ascii="宋体" w:hAnsi="宋体" w:cs="宋体"/>
                <w:bCs/>
                <w:kern w:val="0"/>
                <w:highlight w:val="none"/>
              </w:rPr>
              <w:t>排查责任部门/责任人</w:t>
            </w:r>
          </w:p>
        </w:tc>
        <w:tc>
          <w:tcPr>
            <w:tcW w:w="851" w:type="dxa"/>
            <w:noWrap w:val="0"/>
            <w:vAlign w:val="top"/>
          </w:tcPr>
          <w:p w14:paraId="4F9AB64C">
            <w:pPr>
              <w:spacing w:line="480" w:lineRule="exact"/>
              <w:jc w:val="center"/>
              <w:rPr>
                <w:rFonts w:hint="eastAsia" w:ascii="宋体" w:hAnsi="宋体" w:cs="宋体"/>
                <w:bCs/>
                <w:kern w:val="0"/>
                <w:highlight w:val="none"/>
              </w:rPr>
            </w:pPr>
            <w:r>
              <w:rPr>
                <w:rFonts w:hint="eastAsia" w:ascii="宋体" w:hAnsi="宋体" w:cs="宋体"/>
                <w:bCs/>
                <w:kern w:val="0"/>
                <w:highlight w:val="none"/>
              </w:rPr>
              <w:t>排查时间</w:t>
            </w:r>
          </w:p>
          <w:p w14:paraId="4BFD59D9">
            <w:pPr>
              <w:spacing w:line="480" w:lineRule="exact"/>
              <w:jc w:val="center"/>
              <w:rPr>
                <w:rFonts w:hint="eastAsia" w:ascii="宋体" w:hAnsi="宋体" w:cs="宋体"/>
                <w:bCs/>
                <w:kern w:val="0"/>
                <w:highlight w:val="none"/>
              </w:rPr>
            </w:pPr>
            <w:r>
              <w:rPr>
                <w:rFonts w:hint="eastAsia" w:ascii="宋体" w:hAnsi="宋体" w:cs="宋体"/>
                <w:bCs/>
                <w:kern w:val="0"/>
                <w:highlight w:val="none"/>
              </w:rPr>
              <w:t>/频率</w:t>
            </w:r>
          </w:p>
        </w:tc>
        <w:tc>
          <w:tcPr>
            <w:tcW w:w="1134" w:type="dxa"/>
            <w:noWrap w:val="0"/>
            <w:vAlign w:val="top"/>
          </w:tcPr>
          <w:p w14:paraId="55C2682D">
            <w:pPr>
              <w:spacing w:line="480" w:lineRule="exact"/>
              <w:jc w:val="center"/>
              <w:rPr>
                <w:rFonts w:hint="eastAsia" w:ascii="宋体" w:hAnsi="宋体" w:cs="宋体"/>
                <w:bCs/>
                <w:kern w:val="0"/>
                <w:highlight w:val="none"/>
              </w:rPr>
            </w:pPr>
            <w:r>
              <w:rPr>
                <w:rFonts w:hint="eastAsia" w:ascii="宋体" w:hAnsi="宋体" w:cs="宋体"/>
                <w:bCs/>
                <w:kern w:val="0"/>
                <w:highlight w:val="none"/>
              </w:rPr>
              <w:t>失职部门</w:t>
            </w:r>
          </w:p>
          <w:p w14:paraId="045488E1">
            <w:pPr>
              <w:spacing w:line="480" w:lineRule="exact"/>
              <w:jc w:val="center"/>
              <w:rPr>
                <w:rFonts w:hint="eastAsia" w:ascii="宋体" w:hAnsi="宋体" w:cs="宋体"/>
                <w:bCs/>
                <w:kern w:val="0"/>
                <w:highlight w:val="none"/>
              </w:rPr>
            </w:pPr>
            <w:r>
              <w:rPr>
                <w:rFonts w:hint="eastAsia" w:ascii="宋体" w:hAnsi="宋体" w:cs="宋体"/>
                <w:bCs/>
                <w:kern w:val="0"/>
                <w:highlight w:val="none"/>
              </w:rPr>
              <w:t>/人员</w:t>
            </w:r>
          </w:p>
        </w:tc>
        <w:tc>
          <w:tcPr>
            <w:tcW w:w="1559" w:type="dxa"/>
            <w:noWrap w:val="0"/>
            <w:vAlign w:val="top"/>
          </w:tcPr>
          <w:p w14:paraId="4B17A78B">
            <w:pPr>
              <w:spacing w:line="480" w:lineRule="exact"/>
              <w:jc w:val="center"/>
              <w:rPr>
                <w:rFonts w:hint="eastAsia" w:ascii="宋体" w:hAnsi="宋体" w:cs="宋体"/>
                <w:bCs/>
                <w:kern w:val="0"/>
                <w:highlight w:val="none"/>
              </w:rPr>
            </w:pPr>
            <w:r>
              <w:rPr>
                <w:rFonts w:hint="eastAsia" w:ascii="宋体" w:hAnsi="宋体" w:cs="宋体"/>
                <w:bCs/>
                <w:kern w:val="0"/>
                <w:highlight w:val="none"/>
              </w:rPr>
              <w:t>风险失控</w:t>
            </w:r>
          </w:p>
          <w:p w14:paraId="4EA70ABF">
            <w:pPr>
              <w:spacing w:line="480" w:lineRule="exact"/>
              <w:jc w:val="center"/>
              <w:rPr>
                <w:rFonts w:hint="eastAsia" w:ascii="宋体" w:hAnsi="宋体" w:cs="宋体"/>
                <w:bCs/>
                <w:kern w:val="0"/>
                <w:highlight w:val="none"/>
              </w:rPr>
            </w:pPr>
            <w:r>
              <w:rPr>
                <w:rFonts w:hint="eastAsia" w:ascii="宋体" w:hAnsi="宋体" w:cs="宋体"/>
                <w:bCs/>
                <w:kern w:val="0"/>
                <w:highlight w:val="none"/>
              </w:rPr>
              <w:t>表现</w:t>
            </w:r>
          </w:p>
        </w:tc>
        <w:tc>
          <w:tcPr>
            <w:tcW w:w="912" w:type="dxa"/>
            <w:noWrap w:val="0"/>
            <w:vAlign w:val="top"/>
          </w:tcPr>
          <w:p w14:paraId="25AE738A">
            <w:pPr>
              <w:spacing w:line="480" w:lineRule="exact"/>
              <w:jc w:val="center"/>
              <w:rPr>
                <w:rFonts w:hint="eastAsia" w:ascii="宋体" w:hAnsi="宋体" w:cs="宋体"/>
                <w:bCs/>
                <w:kern w:val="0"/>
                <w:highlight w:val="none"/>
              </w:rPr>
            </w:pPr>
            <w:r>
              <w:rPr>
                <w:rFonts w:hint="eastAsia" w:ascii="宋体" w:hAnsi="宋体" w:cs="宋体"/>
                <w:bCs/>
                <w:kern w:val="0"/>
                <w:highlight w:val="none"/>
              </w:rPr>
              <w:t>备注</w:t>
            </w:r>
          </w:p>
        </w:tc>
      </w:tr>
      <w:tr w14:paraId="3B7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EF21FD0">
            <w:pPr>
              <w:spacing w:line="480" w:lineRule="exact"/>
              <w:jc w:val="center"/>
              <w:rPr>
                <w:rFonts w:hint="eastAsia" w:ascii="宋体" w:hAnsi="宋体" w:cs="宋体"/>
                <w:bCs/>
                <w:kern w:val="0"/>
                <w:highlight w:val="none"/>
              </w:rPr>
            </w:pPr>
          </w:p>
        </w:tc>
        <w:tc>
          <w:tcPr>
            <w:tcW w:w="709" w:type="dxa"/>
            <w:noWrap w:val="0"/>
            <w:vAlign w:val="top"/>
          </w:tcPr>
          <w:p w14:paraId="4F9DC2F2">
            <w:pPr>
              <w:spacing w:line="480" w:lineRule="exact"/>
              <w:jc w:val="center"/>
              <w:rPr>
                <w:rFonts w:hint="eastAsia" w:ascii="宋体" w:hAnsi="宋体" w:cs="宋体"/>
                <w:bCs/>
                <w:kern w:val="0"/>
                <w:highlight w:val="none"/>
              </w:rPr>
            </w:pPr>
          </w:p>
        </w:tc>
        <w:tc>
          <w:tcPr>
            <w:tcW w:w="2268" w:type="dxa"/>
            <w:noWrap w:val="0"/>
            <w:vAlign w:val="top"/>
          </w:tcPr>
          <w:p w14:paraId="7E05FFA5">
            <w:pPr>
              <w:spacing w:line="480" w:lineRule="exact"/>
              <w:jc w:val="center"/>
              <w:rPr>
                <w:rFonts w:hint="eastAsia" w:ascii="宋体" w:hAnsi="宋体" w:cs="宋体"/>
                <w:bCs/>
                <w:kern w:val="0"/>
                <w:highlight w:val="none"/>
              </w:rPr>
            </w:pPr>
          </w:p>
        </w:tc>
        <w:tc>
          <w:tcPr>
            <w:tcW w:w="992" w:type="dxa"/>
            <w:noWrap w:val="0"/>
            <w:vAlign w:val="top"/>
          </w:tcPr>
          <w:p w14:paraId="1AA8A237">
            <w:pPr>
              <w:spacing w:line="480" w:lineRule="exact"/>
              <w:jc w:val="center"/>
              <w:rPr>
                <w:rFonts w:hint="eastAsia" w:ascii="宋体" w:hAnsi="宋体" w:cs="宋体"/>
                <w:bCs/>
                <w:kern w:val="0"/>
                <w:highlight w:val="none"/>
              </w:rPr>
            </w:pPr>
          </w:p>
        </w:tc>
        <w:tc>
          <w:tcPr>
            <w:tcW w:w="851" w:type="dxa"/>
            <w:noWrap w:val="0"/>
            <w:vAlign w:val="top"/>
          </w:tcPr>
          <w:p w14:paraId="1C00F642">
            <w:pPr>
              <w:spacing w:line="480" w:lineRule="exact"/>
              <w:jc w:val="center"/>
              <w:rPr>
                <w:rFonts w:hint="eastAsia" w:ascii="宋体" w:hAnsi="宋体" w:cs="宋体"/>
                <w:bCs/>
                <w:kern w:val="0"/>
                <w:highlight w:val="none"/>
              </w:rPr>
            </w:pPr>
          </w:p>
        </w:tc>
        <w:tc>
          <w:tcPr>
            <w:tcW w:w="1134" w:type="dxa"/>
            <w:noWrap w:val="0"/>
            <w:vAlign w:val="top"/>
          </w:tcPr>
          <w:p w14:paraId="200D8062">
            <w:pPr>
              <w:spacing w:line="480" w:lineRule="exact"/>
              <w:jc w:val="center"/>
              <w:rPr>
                <w:rFonts w:hint="eastAsia" w:ascii="宋体" w:hAnsi="宋体" w:cs="宋体"/>
                <w:bCs/>
                <w:kern w:val="0"/>
                <w:highlight w:val="none"/>
              </w:rPr>
            </w:pPr>
          </w:p>
        </w:tc>
        <w:tc>
          <w:tcPr>
            <w:tcW w:w="1559" w:type="dxa"/>
            <w:noWrap w:val="0"/>
            <w:vAlign w:val="top"/>
          </w:tcPr>
          <w:p w14:paraId="64FABE9B">
            <w:pPr>
              <w:spacing w:line="480" w:lineRule="exact"/>
              <w:jc w:val="center"/>
              <w:rPr>
                <w:rFonts w:hint="eastAsia" w:ascii="宋体" w:hAnsi="宋体" w:cs="宋体"/>
                <w:bCs/>
                <w:kern w:val="0"/>
                <w:highlight w:val="none"/>
              </w:rPr>
            </w:pPr>
          </w:p>
        </w:tc>
        <w:tc>
          <w:tcPr>
            <w:tcW w:w="912" w:type="dxa"/>
            <w:noWrap w:val="0"/>
            <w:vAlign w:val="top"/>
          </w:tcPr>
          <w:p w14:paraId="72806BE2">
            <w:pPr>
              <w:spacing w:line="480" w:lineRule="exact"/>
              <w:jc w:val="center"/>
              <w:rPr>
                <w:rFonts w:hint="eastAsia" w:ascii="宋体" w:hAnsi="宋体" w:cs="宋体"/>
                <w:bCs/>
                <w:kern w:val="0"/>
                <w:highlight w:val="none"/>
              </w:rPr>
            </w:pPr>
          </w:p>
        </w:tc>
      </w:tr>
      <w:tr w14:paraId="2574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E9E0D79">
            <w:pPr>
              <w:spacing w:line="480" w:lineRule="exact"/>
              <w:jc w:val="center"/>
              <w:rPr>
                <w:rFonts w:hint="eastAsia" w:ascii="宋体" w:hAnsi="宋体" w:cs="宋体"/>
                <w:bCs/>
                <w:kern w:val="0"/>
                <w:highlight w:val="none"/>
              </w:rPr>
            </w:pPr>
          </w:p>
        </w:tc>
        <w:tc>
          <w:tcPr>
            <w:tcW w:w="709" w:type="dxa"/>
            <w:noWrap w:val="0"/>
            <w:vAlign w:val="top"/>
          </w:tcPr>
          <w:p w14:paraId="4CE313F2">
            <w:pPr>
              <w:spacing w:line="480" w:lineRule="exact"/>
              <w:jc w:val="center"/>
              <w:rPr>
                <w:rFonts w:hint="eastAsia" w:ascii="宋体" w:hAnsi="宋体" w:cs="宋体"/>
                <w:bCs/>
                <w:kern w:val="0"/>
                <w:highlight w:val="none"/>
              </w:rPr>
            </w:pPr>
          </w:p>
        </w:tc>
        <w:tc>
          <w:tcPr>
            <w:tcW w:w="2268" w:type="dxa"/>
            <w:noWrap w:val="0"/>
            <w:vAlign w:val="top"/>
          </w:tcPr>
          <w:p w14:paraId="7AA5EE52">
            <w:pPr>
              <w:spacing w:line="480" w:lineRule="exact"/>
              <w:jc w:val="center"/>
              <w:rPr>
                <w:rFonts w:hint="eastAsia" w:ascii="宋体" w:hAnsi="宋体" w:cs="宋体"/>
                <w:bCs/>
                <w:kern w:val="0"/>
                <w:highlight w:val="none"/>
              </w:rPr>
            </w:pPr>
          </w:p>
        </w:tc>
        <w:tc>
          <w:tcPr>
            <w:tcW w:w="992" w:type="dxa"/>
            <w:noWrap w:val="0"/>
            <w:vAlign w:val="top"/>
          </w:tcPr>
          <w:p w14:paraId="73D795A0">
            <w:pPr>
              <w:spacing w:line="480" w:lineRule="exact"/>
              <w:jc w:val="center"/>
              <w:rPr>
                <w:rFonts w:hint="eastAsia" w:ascii="宋体" w:hAnsi="宋体" w:cs="宋体"/>
                <w:bCs/>
                <w:kern w:val="0"/>
                <w:highlight w:val="none"/>
              </w:rPr>
            </w:pPr>
          </w:p>
        </w:tc>
        <w:tc>
          <w:tcPr>
            <w:tcW w:w="851" w:type="dxa"/>
            <w:noWrap w:val="0"/>
            <w:vAlign w:val="top"/>
          </w:tcPr>
          <w:p w14:paraId="0F34CF9A">
            <w:pPr>
              <w:spacing w:line="480" w:lineRule="exact"/>
              <w:jc w:val="center"/>
              <w:rPr>
                <w:rFonts w:hint="eastAsia" w:ascii="宋体" w:hAnsi="宋体" w:cs="宋体"/>
                <w:bCs/>
                <w:kern w:val="0"/>
                <w:highlight w:val="none"/>
              </w:rPr>
            </w:pPr>
          </w:p>
        </w:tc>
        <w:tc>
          <w:tcPr>
            <w:tcW w:w="1134" w:type="dxa"/>
            <w:noWrap w:val="0"/>
            <w:vAlign w:val="top"/>
          </w:tcPr>
          <w:p w14:paraId="1A29B15F">
            <w:pPr>
              <w:spacing w:line="480" w:lineRule="exact"/>
              <w:jc w:val="center"/>
              <w:rPr>
                <w:rFonts w:hint="eastAsia" w:ascii="宋体" w:hAnsi="宋体" w:cs="宋体"/>
                <w:bCs/>
                <w:kern w:val="0"/>
                <w:highlight w:val="none"/>
              </w:rPr>
            </w:pPr>
          </w:p>
        </w:tc>
        <w:tc>
          <w:tcPr>
            <w:tcW w:w="1559" w:type="dxa"/>
            <w:noWrap w:val="0"/>
            <w:vAlign w:val="top"/>
          </w:tcPr>
          <w:p w14:paraId="60BB5ADA">
            <w:pPr>
              <w:spacing w:line="480" w:lineRule="exact"/>
              <w:jc w:val="center"/>
              <w:rPr>
                <w:rFonts w:hint="eastAsia" w:ascii="宋体" w:hAnsi="宋体" w:cs="宋体"/>
                <w:bCs/>
                <w:kern w:val="0"/>
                <w:highlight w:val="none"/>
              </w:rPr>
            </w:pPr>
          </w:p>
        </w:tc>
        <w:tc>
          <w:tcPr>
            <w:tcW w:w="912" w:type="dxa"/>
            <w:noWrap w:val="0"/>
            <w:vAlign w:val="top"/>
          </w:tcPr>
          <w:p w14:paraId="49E50AEC">
            <w:pPr>
              <w:spacing w:line="480" w:lineRule="exact"/>
              <w:jc w:val="center"/>
              <w:rPr>
                <w:rFonts w:hint="eastAsia" w:ascii="宋体" w:hAnsi="宋体" w:cs="宋体"/>
                <w:bCs/>
                <w:kern w:val="0"/>
                <w:highlight w:val="none"/>
              </w:rPr>
            </w:pPr>
          </w:p>
        </w:tc>
      </w:tr>
      <w:tr w14:paraId="563F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79D04C7">
            <w:pPr>
              <w:spacing w:line="480" w:lineRule="exact"/>
              <w:jc w:val="center"/>
              <w:rPr>
                <w:rFonts w:hint="eastAsia" w:ascii="宋体" w:hAnsi="宋体" w:cs="宋体"/>
                <w:bCs/>
                <w:kern w:val="0"/>
                <w:highlight w:val="none"/>
              </w:rPr>
            </w:pPr>
          </w:p>
        </w:tc>
        <w:tc>
          <w:tcPr>
            <w:tcW w:w="709" w:type="dxa"/>
            <w:noWrap w:val="0"/>
            <w:vAlign w:val="top"/>
          </w:tcPr>
          <w:p w14:paraId="5ABD5BD4">
            <w:pPr>
              <w:spacing w:line="480" w:lineRule="exact"/>
              <w:jc w:val="center"/>
              <w:rPr>
                <w:rFonts w:hint="eastAsia" w:ascii="宋体" w:hAnsi="宋体" w:cs="宋体"/>
                <w:bCs/>
                <w:kern w:val="0"/>
                <w:highlight w:val="none"/>
              </w:rPr>
            </w:pPr>
          </w:p>
        </w:tc>
        <w:tc>
          <w:tcPr>
            <w:tcW w:w="2268" w:type="dxa"/>
            <w:noWrap w:val="0"/>
            <w:vAlign w:val="top"/>
          </w:tcPr>
          <w:p w14:paraId="0E9F4E8F">
            <w:pPr>
              <w:spacing w:line="480" w:lineRule="exact"/>
              <w:jc w:val="center"/>
              <w:rPr>
                <w:rFonts w:hint="eastAsia" w:ascii="宋体" w:hAnsi="宋体" w:cs="宋体"/>
                <w:bCs/>
                <w:kern w:val="0"/>
                <w:highlight w:val="none"/>
              </w:rPr>
            </w:pPr>
          </w:p>
        </w:tc>
        <w:tc>
          <w:tcPr>
            <w:tcW w:w="992" w:type="dxa"/>
            <w:noWrap w:val="0"/>
            <w:vAlign w:val="top"/>
          </w:tcPr>
          <w:p w14:paraId="3628DC92">
            <w:pPr>
              <w:spacing w:line="480" w:lineRule="exact"/>
              <w:jc w:val="center"/>
              <w:rPr>
                <w:rFonts w:hint="eastAsia" w:ascii="宋体" w:hAnsi="宋体" w:cs="宋体"/>
                <w:bCs/>
                <w:kern w:val="0"/>
                <w:highlight w:val="none"/>
              </w:rPr>
            </w:pPr>
          </w:p>
        </w:tc>
        <w:tc>
          <w:tcPr>
            <w:tcW w:w="851" w:type="dxa"/>
            <w:noWrap w:val="0"/>
            <w:vAlign w:val="top"/>
          </w:tcPr>
          <w:p w14:paraId="5CA43FB4">
            <w:pPr>
              <w:spacing w:line="480" w:lineRule="exact"/>
              <w:jc w:val="center"/>
              <w:rPr>
                <w:rFonts w:hint="eastAsia" w:ascii="宋体" w:hAnsi="宋体" w:cs="宋体"/>
                <w:bCs/>
                <w:kern w:val="0"/>
                <w:highlight w:val="none"/>
              </w:rPr>
            </w:pPr>
          </w:p>
        </w:tc>
        <w:tc>
          <w:tcPr>
            <w:tcW w:w="1134" w:type="dxa"/>
            <w:noWrap w:val="0"/>
            <w:vAlign w:val="top"/>
          </w:tcPr>
          <w:p w14:paraId="6813A33A">
            <w:pPr>
              <w:spacing w:line="480" w:lineRule="exact"/>
              <w:jc w:val="center"/>
              <w:rPr>
                <w:rFonts w:hint="eastAsia" w:ascii="宋体" w:hAnsi="宋体" w:cs="宋体"/>
                <w:bCs/>
                <w:kern w:val="0"/>
                <w:highlight w:val="none"/>
              </w:rPr>
            </w:pPr>
          </w:p>
        </w:tc>
        <w:tc>
          <w:tcPr>
            <w:tcW w:w="1559" w:type="dxa"/>
            <w:noWrap w:val="0"/>
            <w:vAlign w:val="top"/>
          </w:tcPr>
          <w:p w14:paraId="72759ACE">
            <w:pPr>
              <w:spacing w:line="480" w:lineRule="exact"/>
              <w:jc w:val="center"/>
              <w:rPr>
                <w:rFonts w:hint="eastAsia" w:ascii="宋体" w:hAnsi="宋体" w:cs="宋体"/>
                <w:bCs/>
                <w:kern w:val="0"/>
                <w:highlight w:val="none"/>
              </w:rPr>
            </w:pPr>
          </w:p>
        </w:tc>
        <w:tc>
          <w:tcPr>
            <w:tcW w:w="912" w:type="dxa"/>
            <w:noWrap w:val="0"/>
            <w:vAlign w:val="top"/>
          </w:tcPr>
          <w:p w14:paraId="2A04EE7F">
            <w:pPr>
              <w:spacing w:line="480" w:lineRule="exact"/>
              <w:jc w:val="center"/>
              <w:rPr>
                <w:rFonts w:hint="eastAsia" w:ascii="宋体" w:hAnsi="宋体" w:cs="宋体"/>
                <w:bCs/>
                <w:kern w:val="0"/>
                <w:highlight w:val="none"/>
              </w:rPr>
            </w:pPr>
          </w:p>
        </w:tc>
      </w:tr>
      <w:tr w14:paraId="2688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C96479A">
            <w:pPr>
              <w:spacing w:line="480" w:lineRule="exact"/>
              <w:jc w:val="center"/>
              <w:rPr>
                <w:rFonts w:hint="eastAsia" w:ascii="宋体" w:hAnsi="宋体" w:cs="宋体"/>
                <w:bCs/>
                <w:kern w:val="0"/>
                <w:highlight w:val="none"/>
              </w:rPr>
            </w:pPr>
          </w:p>
        </w:tc>
        <w:tc>
          <w:tcPr>
            <w:tcW w:w="709" w:type="dxa"/>
            <w:noWrap w:val="0"/>
            <w:vAlign w:val="top"/>
          </w:tcPr>
          <w:p w14:paraId="1169D2BE">
            <w:pPr>
              <w:spacing w:line="480" w:lineRule="exact"/>
              <w:jc w:val="center"/>
              <w:rPr>
                <w:rFonts w:hint="eastAsia" w:ascii="宋体" w:hAnsi="宋体" w:cs="宋体"/>
                <w:bCs/>
                <w:kern w:val="0"/>
                <w:highlight w:val="none"/>
              </w:rPr>
            </w:pPr>
          </w:p>
        </w:tc>
        <w:tc>
          <w:tcPr>
            <w:tcW w:w="2268" w:type="dxa"/>
            <w:noWrap w:val="0"/>
            <w:vAlign w:val="top"/>
          </w:tcPr>
          <w:p w14:paraId="38FD4EC5">
            <w:pPr>
              <w:spacing w:line="480" w:lineRule="exact"/>
              <w:jc w:val="center"/>
              <w:rPr>
                <w:rFonts w:hint="eastAsia" w:ascii="宋体" w:hAnsi="宋体" w:cs="宋体"/>
                <w:bCs/>
                <w:kern w:val="0"/>
                <w:highlight w:val="none"/>
              </w:rPr>
            </w:pPr>
          </w:p>
        </w:tc>
        <w:tc>
          <w:tcPr>
            <w:tcW w:w="992" w:type="dxa"/>
            <w:noWrap w:val="0"/>
            <w:vAlign w:val="top"/>
          </w:tcPr>
          <w:p w14:paraId="35CC325E">
            <w:pPr>
              <w:spacing w:line="480" w:lineRule="exact"/>
              <w:jc w:val="center"/>
              <w:rPr>
                <w:rFonts w:hint="eastAsia" w:ascii="宋体" w:hAnsi="宋体" w:cs="宋体"/>
                <w:bCs/>
                <w:kern w:val="0"/>
                <w:highlight w:val="none"/>
              </w:rPr>
            </w:pPr>
          </w:p>
        </w:tc>
        <w:tc>
          <w:tcPr>
            <w:tcW w:w="851" w:type="dxa"/>
            <w:noWrap w:val="0"/>
            <w:vAlign w:val="top"/>
          </w:tcPr>
          <w:p w14:paraId="46E2719A">
            <w:pPr>
              <w:spacing w:line="480" w:lineRule="exact"/>
              <w:jc w:val="center"/>
              <w:rPr>
                <w:rFonts w:hint="eastAsia" w:ascii="宋体" w:hAnsi="宋体" w:cs="宋体"/>
                <w:bCs/>
                <w:kern w:val="0"/>
                <w:highlight w:val="none"/>
              </w:rPr>
            </w:pPr>
          </w:p>
        </w:tc>
        <w:tc>
          <w:tcPr>
            <w:tcW w:w="1134" w:type="dxa"/>
            <w:noWrap w:val="0"/>
            <w:vAlign w:val="top"/>
          </w:tcPr>
          <w:p w14:paraId="03573236">
            <w:pPr>
              <w:spacing w:line="480" w:lineRule="exact"/>
              <w:jc w:val="center"/>
              <w:rPr>
                <w:rFonts w:hint="eastAsia" w:ascii="宋体" w:hAnsi="宋体" w:cs="宋体"/>
                <w:bCs/>
                <w:kern w:val="0"/>
                <w:highlight w:val="none"/>
              </w:rPr>
            </w:pPr>
          </w:p>
        </w:tc>
        <w:tc>
          <w:tcPr>
            <w:tcW w:w="1559" w:type="dxa"/>
            <w:noWrap w:val="0"/>
            <w:vAlign w:val="top"/>
          </w:tcPr>
          <w:p w14:paraId="462686DB">
            <w:pPr>
              <w:spacing w:line="480" w:lineRule="exact"/>
              <w:jc w:val="center"/>
              <w:rPr>
                <w:rFonts w:hint="eastAsia" w:ascii="宋体" w:hAnsi="宋体" w:cs="宋体"/>
                <w:bCs/>
                <w:kern w:val="0"/>
                <w:highlight w:val="none"/>
              </w:rPr>
            </w:pPr>
          </w:p>
        </w:tc>
        <w:tc>
          <w:tcPr>
            <w:tcW w:w="912" w:type="dxa"/>
            <w:noWrap w:val="0"/>
            <w:vAlign w:val="top"/>
          </w:tcPr>
          <w:p w14:paraId="6636B019">
            <w:pPr>
              <w:spacing w:line="480" w:lineRule="exact"/>
              <w:jc w:val="center"/>
              <w:rPr>
                <w:rFonts w:hint="eastAsia" w:ascii="宋体" w:hAnsi="宋体" w:cs="宋体"/>
                <w:bCs/>
                <w:kern w:val="0"/>
                <w:highlight w:val="none"/>
              </w:rPr>
            </w:pPr>
          </w:p>
        </w:tc>
      </w:tr>
    </w:tbl>
    <w:p w14:paraId="49350111">
      <w:pPr>
        <w:spacing w:line="480" w:lineRule="exact"/>
        <w:ind w:firstLine="495" w:firstLineChars="177"/>
        <w:rPr>
          <w:rFonts w:hint="eastAsia" w:ascii="宋体" w:hAnsi="宋体" w:cs="宋体"/>
          <w:bCs/>
          <w:kern w:val="0"/>
          <w:sz w:val="28"/>
          <w:szCs w:val="28"/>
          <w:highlight w:val="none"/>
        </w:rPr>
      </w:pPr>
    </w:p>
    <w:p w14:paraId="0E6D1CDF">
      <w:pPr>
        <w:spacing w:line="480" w:lineRule="exact"/>
        <w:ind w:firstLine="495" w:firstLineChars="177"/>
        <w:rPr>
          <w:rFonts w:hint="eastAsia" w:ascii="宋体" w:hAnsi="宋体" w:cs="宋体"/>
          <w:bCs/>
          <w:kern w:val="0"/>
          <w:sz w:val="28"/>
          <w:szCs w:val="28"/>
          <w:highlight w:val="none"/>
        </w:rPr>
      </w:pPr>
    </w:p>
    <w:p w14:paraId="68449D32">
      <w:pPr>
        <w:spacing w:line="480" w:lineRule="exact"/>
        <w:ind w:firstLine="495" w:firstLineChars="177"/>
        <w:rPr>
          <w:rFonts w:hint="eastAsia" w:ascii="宋体" w:hAnsi="宋体" w:cs="宋体"/>
          <w:bCs/>
          <w:kern w:val="0"/>
          <w:sz w:val="28"/>
          <w:szCs w:val="28"/>
          <w:highlight w:val="none"/>
        </w:rPr>
      </w:pPr>
    </w:p>
    <w:p w14:paraId="174BDA88">
      <w:pPr>
        <w:spacing w:line="480" w:lineRule="exact"/>
        <w:ind w:firstLine="495" w:firstLineChars="177"/>
        <w:rPr>
          <w:rFonts w:hint="eastAsia" w:ascii="宋体" w:hAnsi="宋体" w:cs="宋体"/>
          <w:bCs/>
          <w:kern w:val="0"/>
          <w:sz w:val="28"/>
          <w:szCs w:val="28"/>
          <w:highlight w:val="none"/>
        </w:rPr>
      </w:pPr>
    </w:p>
    <w:p w14:paraId="66FAEFA8">
      <w:pPr>
        <w:spacing w:line="480" w:lineRule="exact"/>
        <w:ind w:firstLine="495" w:firstLineChars="177"/>
        <w:rPr>
          <w:rFonts w:hint="eastAsia" w:ascii="宋体" w:hAnsi="宋体" w:cs="宋体"/>
          <w:bCs/>
          <w:kern w:val="0"/>
          <w:sz w:val="28"/>
          <w:szCs w:val="28"/>
          <w:highlight w:val="none"/>
        </w:rPr>
      </w:pPr>
    </w:p>
    <w:p w14:paraId="73845313">
      <w:pPr>
        <w:spacing w:line="480" w:lineRule="exact"/>
        <w:ind w:firstLine="495" w:firstLineChars="177"/>
        <w:rPr>
          <w:rFonts w:hint="eastAsia" w:ascii="宋体" w:hAnsi="宋体" w:cs="宋体"/>
          <w:bCs/>
          <w:kern w:val="0"/>
          <w:sz w:val="28"/>
          <w:szCs w:val="28"/>
          <w:highlight w:val="none"/>
        </w:rPr>
      </w:pPr>
    </w:p>
    <w:p w14:paraId="0C3507C7">
      <w:pPr>
        <w:spacing w:line="480" w:lineRule="exact"/>
        <w:ind w:firstLine="495" w:firstLineChars="177"/>
        <w:rPr>
          <w:rFonts w:hint="eastAsia" w:ascii="宋体" w:hAnsi="宋体" w:cs="宋体"/>
          <w:bCs/>
          <w:kern w:val="0"/>
          <w:sz w:val="28"/>
          <w:szCs w:val="28"/>
          <w:highlight w:val="none"/>
        </w:rPr>
      </w:pPr>
    </w:p>
    <w:p w14:paraId="400EAD8A">
      <w:pPr>
        <w:spacing w:line="480" w:lineRule="exact"/>
        <w:ind w:firstLine="424" w:firstLineChars="177"/>
        <w:rPr>
          <w:rFonts w:hint="eastAsia" w:ascii="宋体" w:hAnsi="宋体" w:cs="宋体"/>
          <w:bCs/>
          <w:kern w:val="0"/>
          <w:sz w:val="24"/>
          <w:szCs w:val="28"/>
          <w:highlight w:val="none"/>
        </w:rPr>
      </w:pPr>
      <w:r>
        <w:rPr>
          <w:rFonts w:hint="eastAsia" w:ascii="宋体" w:hAnsi="宋体" w:cs="宋体"/>
          <w:bCs/>
          <w:kern w:val="0"/>
          <w:sz w:val="24"/>
          <w:szCs w:val="28"/>
          <w:highlight w:val="none"/>
        </w:rPr>
        <w:t>附表3</w:t>
      </w:r>
    </w:p>
    <w:p w14:paraId="5ABB8C82">
      <w:pPr>
        <w:spacing w:line="480" w:lineRule="exact"/>
        <w:ind w:firstLine="426" w:firstLineChars="177"/>
        <w:jc w:val="center"/>
        <w:rPr>
          <w:rFonts w:ascii="宋体" w:cs="宋体"/>
          <w:b/>
          <w:bCs/>
          <w:kern w:val="0"/>
          <w:sz w:val="24"/>
          <w:szCs w:val="30"/>
          <w:highlight w:val="none"/>
        </w:rPr>
      </w:pPr>
      <w:r>
        <w:rPr>
          <w:rFonts w:hint="eastAsia" w:ascii="宋体" w:hAnsi="宋体" w:cs="宋体"/>
          <w:b/>
          <w:bCs/>
          <w:kern w:val="0"/>
          <w:sz w:val="24"/>
          <w:szCs w:val="30"/>
          <w:highlight w:val="none"/>
        </w:rPr>
        <w:t>事故隐患治理信息台帐</w:t>
      </w:r>
    </w:p>
    <w:p w14:paraId="78062C43">
      <w:pPr>
        <w:spacing w:before="120" w:beforeLines="50" w:after="120" w:afterLines="50" w:line="480" w:lineRule="exact"/>
        <w:ind w:firstLine="371" w:firstLineChars="177"/>
        <w:rPr>
          <w:rFonts w:ascii="宋体" w:cs="宋体"/>
          <w:bCs/>
          <w:kern w:val="0"/>
          <w:highlight w:val="none"/>
        </w:rPr>
      </w:pPr>
      <w:r>
        <w:rPr>
          <w:rFonts w:hint="eastAsia" w:ascii="宋体" w:hAnsi="宋体" w:cs="宋体"/>
          <w:bCs/>
          <w:kern w:val="0"/>
          <w:highlight w:val="none"/>
        </w:rPr>
        <w:t>单位（盖章）：</w:t>
      </w:r>
      <w:r>
        <w:rPr>
          <w:rFonts w:ascii="宋体" w:hAnsi="宋体" w:cs="宋体"/>
          <w:bCs/>
          <w:kern w:val="0"/>
          <w:highlight w:val="none"/>
          <w:u w:val="single"/>
        </w:rPr>
        <w:t xml:space="preserve">                   </w:t>
      </w:r>
      <w:r>
        <w:rPr>
          <w:rFonts w:ascii="宋体" w:hAnsi="宋体" w:cs="宋体"/>
          <w:bCs/>
          <w:kern w:val="0"/>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48"/>
        <w:gridCol w:w="619"/>
        <w:gridCol w:w="748"/>
        <w:gridCol w:w="1190"/>
        <w:gridCol w:w="769"/>
        <w:gridCol w:w="770"/>
        <w:gridCol w:w="713"/>
        <w:gridCol w:w="826"/>
        <w:gridCol w:w="770"/>
        <w:gridCol w:w="777"/>
        <w:gridCol w:w="762"/>
      </w:tblGrid>
      <w:tr w14:paraId="1D1B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37" w:type="dxa"/>
            <w:noWrap w:val="0"/>
            <w:vAlign w:val="center"/>
          </w:tcPr>
          <w:p w14:paraId="08562B91">
            <w:pPr>
              <w:jc w:val="center"/>
              <w:rPr>
                <w:rFonts w:hint="eastAsia" w:ascii="宋体" w:hAnsi="宋体" w:cs="宋体"/>
                <w:bCs/>
                <w:kern w:val="0"/>
                <w:highlight w:val="none"/>
              </w:rPr>
            </w:pPr>
            <w:r>
              <w:rPr>
                <w:rFonts w:hint="eastAsia" w:ascii="宋体" w:hAnsi="宋体" w:cs="宋体"/>
                <w:bCs/>
                <w:kern w:val="0"/>
                <w:highlight w:val="none"/>
              </w:rPr>
              <w:t>序号</w:t>
            </w:r>
          </w:p>
        </w:tc>
        <w:tc>
          <w:tcPr>
            <w:tcW w:w="748" w:type="dxa"/>
            <w:noWrap w:val="0"/>
            <w:vAlign w:val="center"/>
          </w:tcPr>
          <w:p w14:paraId="2B044C63">
            <w:pPr>
              <w:jc w:val="center"/>
              <w:rPr>
                <w:rFonts w:hint="eastAsia" w:ascii="宋体" w:hAnsi="宋体" w:cs="宋体"/>
                <w:bCs/>
                <w:kern w:val="0"/>
                <w:highlight w:val="none"/>
              </w:rPr>
            </w:pPr>
            <w:r>
              <w:rPr>
                <w:rFonts w:hint="eastAsia" w:ascii="宋体" w:hAnsi="宋体" w:cs="宋体"/>
                <w:bCs/>
                <w:kern w:val="0"/>
                <w:highlight w:val="none"/>
              </w:rPr>
              <w:t>检查时间</w:t>
            </w:r>
          </w:p>
        </w:tc>
        <w:tc>
          <w:tcPr>
            <w:tcW w:w="619" w:type="dxa"/>
            <w:noWrap w:val="0"/>
            <w:vAlign w:val="center"/>
          </w:tcPr>
          <w:p w14:paraId="3C584303">
            <w:pPr>
              <w:jc w:val="center"/>
              <w:rPr>
                <w:rFonts w:hint="eastAsia" w:ascii="宋体" w:hAnsi="宋体" w:cs="宋体"/>
                <w:bCs/>
                <w:kern w:val="0"/>
                <w:highlight w:val="none"/>
              </w:rPr>
            </w:pPr>
            <w:r>
              <w:rPr>
                <w:rFonts w:hint="eastAsia" w:ascii="宋体" w:hAnsi="宋体" w:cs="宋体"/>
                <w:bCs/>
                <w:kern w:val="0"/>
                <w:highlight w:val="none"/>
              </w:rPr>
              <w:t>检查人</w:t>
            </w:r>
          </w:p>
        </w:tc>
        <w:tc>
          <w:tcPr>
            <w:tcW w:w="748" w:type="dxa"/>
            <w:noWrap w:val="0"/>
            <w:vAlign w:val="center"/>
          </w:tcPr>
          <w:p w14:paraId="5B960BD9">
            <w:pPr>
              <w:jc w:val="center"/>
              <w:rPr>
                <w:rFonts w:hint="eastAsia" w:ascii="宋体" w:hAnsi="宋体" w:cs="宋体"/>
                <w:bCs/>
                <w:kern w:val="0"/>
                <w:highlight w:val="none"/>
              </w:rPr>
            </w:pPr>
            <w:r>
              <w:rPr>
                <w:rFonts w:hint="eastAsia" w:ascii="宋体" w:hAnsi="宋体" w:cs="宋体"/>
                <w:bCs/>
                <w:kern w:val="0"/>
                <w:highlight w:val="none"/>
              </w:rPr>
              <w:t>责任部门</w:t>
            </w:r>
          </w:p>
        </w:tc>
        <w:tc>
          <w:tcPr>
            <w:tcW w:w="1190" w:type="dxa"/>
            <w:noWrap w:val="0"/>
            <w:vAlign w:val="center"/>
          </w:tcPr>
          <w:p w14:paraId="0ADCD0BE">
            <w:pPr>
              <w:jc w:val="center"/>
              <w:rPr>
                <w:rFonts w:hint="eastAsia" w:ascii="宋体" w:hAnsi="宋体" w:cs="宋体"/>
                <w:bCs/>
                <w:kern w:val="0"/>
                <w:highlight w:val="none"/>
              </w:rPr>
            </w:pPr>
            <w:r>
              <w:rPr>
                <w:rFonts w:hint="eastAsia" w:ascii="宋体" w:hAnsi="宋体" w:cs="宋体"/>
                <w:bCs/>
                <w:kern w:val="0"/>
                <w:highlight w:val="none"/>
              </w:rPr>
              <w:t>事故隐患</w:t>
            </w:r>
          </w:p>
        </w:tc>
        <w:tc>
          <w:tcPr>
            <w:tcW w:w="769" w:type="dxa"/>
            <w:noWrap w:val="0"/>
            <w:vAlign w:val="center"/>
          </w:tcPr>
          <w:p w14:paraId="6C5145FD">
            <w:pPr>
              <w:jc w:val="center"/>
              <w:rPr>
                <w:rFonts w:hint="eastAsia" w:ascii="宋体" w:hAnsi="宋体" w:cs="宋体"/>
                <w:bCs/>
                <w:kern w:val="0"/>
                <w:highlight w:val="none"/>
              </w:rPr>
            </w:pPr>
            <w:r>
              <w:rPr>
                <w:rFonts w:hint="eastAsia" w:ascii="宋体" w:hAnsi="宋体" w:cs="宋体"/>
                <w:bCs/>
                <w:kern w:val="0"/>
                <w:highlight w:val="none"/>
              </w:rPr>
              <w:t>隐患等级</w:t>
            </w:r>
          </w:p>
        </w:tc>
        <w:tc>
          <w:tcPr>
            <w:tcW w:w="770" w:type="dxa"/>
            <w:noWrap w:val="0"/>
            <w:vAlign w:val="center"/>
          </w:tcPr>
          <w:p w14:paraId="29F92B62">
            <w:pPr>
              <w:jc w:val="center"/>
              <w:rPr>
                <w:rFonts w:hint="eastAsia" w:ascii="宋体" w:hAnsi="宋体" w:cs="宋体"/>
                <w:bCs/>
                <w:kern w:val="0"/>
                <w:highlight w:val="none"/>
              </w:rPr>
            </w:pPr>
            <w:r>
              <w:rPr>
                <w:rFonts w:hint="eastAsia" w:ascii="宋体" w:hAnsi="宋体" w:cs="宋体"/>
                <w:bCs/>
                <w:kern w:val="0"/>
                <w:highlight w:val="none"/>
              </w:rPr>
              <w:t>治理措施</w:t>
            </w:r>
          </w:p>
        </w:tc>
        <w:tc>
          <w:tcPr>
            <w:tcW w:w="713" w:type="dxa"/>
            <w:noWrap w:val="0"/>
            <w:vAlign w:val="center"/>
          </w:tcPr>
          <w:p w14:paraId="6EA2B455">
            <w:pPr>
              <w:jc w:val="center"/>
              <w:rPr>
                <w:rFonts w:hint="eastAsia" w:ascii="宋体" w:hAnsi="宋体" w:cs="宋体"/>
                <w:bCs/>
                <w:kern w:val="0"/>
                <w:highlight w:val="none"/>
              </w:rPr>
            </w:pPr>
            <w:r>
              <w:rPr>
                <w:rFonts w:hint="eastAsia" w:ascii="宋体" w:hAnsi="宋体" w:cs="宋体"/>
                <w:bCs/>
                <w:kern w:val="0"/>
                <w:highlight w:val="none"/>
              </w:rPr>
              <w:t>完成时限</w:t>
            </w:r>
          </w:p>
        </w:tc>
        <w:tc>
          <w:tcPr>
            <w:tcW w:w="826" w:type="dxa"/>
            <w:noWrap w:val="0"/>
            <w:vAlign w:val="center"/>
          </w:tcPr>
          <w:p w14:paraId="4F610115">
            <w:pPr>
              <w:jc w:val="center"/>
              <w:rPr>
                <w:rFonts w:hint="eastAsia" w:ascii="宋体" w:hAnsi="宋体" w:cs="宋体"/>
                <w:bCs/>
                <w:kern w:val="0"/>
                <w:highlight w:val="none"/>
              </w:rPr>
            </w:pPr>
            <w:r>
              <w:rPr>
                <w:rFonts w:hint="eastAsia" w:ascii="宋体" w:hAnsi="宋体" w:cs="宋体"/>
                <w:bCs/>
                <w:kern w:val="0"/>
                <w:highlight w:val="none"/>
              </w:rPr>
              <w:t>整改责任人</w:t>
            </w:r>
          </w:p>
        </w:tc>
        <w:tc>
          <w:tcPr>
            <w:tcW w:w="770" w:type="dxa"/>
            <w:noWrap w:val="0"/>
            <w:vAlign w:val="center"/>
          </w:tcPr>
          <w:p w14:paraId="0421D598">
            <w:pPr>
              <w:jc w:val="center"/>
              <w:rPr>
                <w:rFonts w:hint="eastAsia" w:ascii="宋体" w:hAnsi="宋体" w:cs="宋体"/>
                <w:bCs/>
                <w:kern w:val="0"/>
                <w:highlight w:val="none"/>
              </w:rPr>
            </w:pPr>
            <w:r>
              <w:rPr>
                <w:rFonts w:hint="eastAsia" w:ascii="宋体" w:hAnsi="宋体" w:cs="宋体"/>
                <w:bCs/>
                <w:kern w:val="0"/>
                <w:highlight w:val="none"/>
              </w:rPr>
              <w:t>复查人员</w:t>
            </w:r>
          </w:p>
        </w:tc>
        <w:tc>
          <w:tcPr>
            <w:tcW w:w="777" w:type="dxa"/>
            <w:noWrap w:val="0"/>
            <w:vAlign w:val="center"/>
          </w:tcPr>
          <w:p w14:paraId="5FC9908A">
            <w:pPr>
              <w:jc w:val="center"/>
              <w:rPr>
                <w:rFonts w:hint="eastAsia" w:ascii="宋体" w:hAnsi="宋体" w:cs="宋体"/>
                <w:bCs/>
                <w:kern w:val="0"/>
                <w:highlight w:val="none"/>
              </w:rPr>
            </w:pPr>
            <w:r>
              <w:rPr>
                <w:rFonts w:hint="eastAsia" w:ascii="宋体" w:hAnsi="宋体" w:cs="宋体"/>
                <w:bCs/>
                <w:kern w:val="0"/>
                <w:highlight w:val="none"/>
              </w:rPr>
              <w:t>复查时间</w:t>
            </w:r>
          </w:p>
        </w:tc>
        <w:tc>
          <w:tcPr>
            <w:tcW w:w="762" w:type="dxa"/>
            <w:noWrap w:val="0"/>
            <w:vAlign w:val="center"/>
          </w:tcPr>
          <w:p w14:paraId="172571A2">
            <w:pPr>
              <w:jc w:val="center"/>
              <w:rPr>
                <w:rFonts w:hint="eastAsia" w:ascii="宋体" w:hAnsi="宋体" w:cs="宋体"/>
                <w:bCs/>
                <w:kern w:val="0"/>
                <w:highlight w:val="none"/>
              </w:rPr>
            </w:pPr>
            <w:r>
              <w:rPr>
                <w:rFonts w:hint="eastAsia" w:ascii="宋体" w:hAnsi="宋体" w:cs="宋体"/>
                <w:bCs/>
                <w:kern w:val="0"/>
                <w:highlight w:val="none"/>
              </w:rPr>
              <w:t>复查结果</w:t>
            </w:r>
          </w:p>
        </w:tc>
      </w:tr>
      <w:tr w14:paraId="31D0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7" w:type="dxa"/>
            <w:noWrap w:val="0"/>
            <w:vAlign w:val="top"/>
          </w:tcPr>
          <w:p w14:paraId="0B19DF5F">
            <w:pPr>
              <w:rPr>
                <w:rFonts w:hint="eastAsia" w:ascii="宋体" w:hAnsi="宋体" w:cs="宋体"/>
                <w:bCs/>
                <w:kern w:val="0"/>
                <w:highlight w:val="none"/>
              </w:rPr>
            </w:pPr>
          </w:p>
        </w:tc>
        <w:tc>
          <w:tcPr>
            <w:tcW w:w="748" w:type="dxa"/>
            <w:noWrap w:val="0"/>
            <w:vAlign w:val="top"/>
          </w:tcPr>
          <w:p w14:paraId="03791EF5">
            <w:pPr>
              <w:rPr>
                <w:rFonts w:hint="eastAsia" w:ascii="宋体" w:hAnsi="宋体" w:cs="宋体"/>
                <w:bCs/>
                <w:kern w:val="0"/>
                <w:highlight w:val="none"/>
              </w:rPr>
            </w:pPr>
          </w:p>
        </w:tc>
        <w:tc>
          <w:tcPr>
            <w:tcW w:w="619" w:type="dxa"/>
            <w:noWrap w:val="0"/>
            <w:vAlign w:val="top"/>
          </w:tcPr>
          <w:p w14:paraId="1C8CADB9">
            <w:pPr>
              <w:rPr>
                <w:rFonts w:hint="eastAsia" w:ascii="宋体" w:hAnsi="宋体" w:cs="宋体"/>
                <w:bCs/>
                <w:kern w:val="0"/>
                <w:highlight w:val="none"/>
              </w:rPr>
            </w:pPr>
          </w:p>
        </w:tc>
        <w:tc>
          <w:tcPr>
            <w:tcW w:w="748" w:type="dxa"/>
            <w:noWrap w:val="0"/>
            <w:vAlign w:val="top"/>
          </w:tcPr>
          <w:p w14:paraId="51F4445D">
            <w:pPr>
              <w:rPr>
                <w:rFonts w:hint="eastAsia" w:ascii="宋体" w:hAnsi="宋体" w:cs="宋体"/>
                <w:bCs/>
                <w:kern w:val="0"/>
                <w:highlight w:val="none"/>
              </w:rPr>
            </w:pPr>
          </w:p>
        </w:tc>
        <w:tc>
          <w:tcPr>
            <w:tcW w:w="1190" w:type="dxa"/>
            <w:noWrap w:val="0"/>
            <w:vAlign w:val="top"/>
          </w:tcPr>
          <w:p w14:paraId="57C35E4F">
            <w:pPr>
              <w:rPr>
                <w:rFonts w:hint="eastAsia" w:ascii="宋体" w:hAnsi="宋体" w:cs="宋体"/>
                <w:bCs/>
                <w:kern w:val="0"/>
                <w:highlight w:val="none"/>
              </w:rPr>
            </w:pPr>
          </w:p>
        </w:tc>
        <w:tc>
          <w:tcPr>
            <w:tcW w:w="769" w:type="dxa"/>
            <w:noWrap w:val="0"/>
            <w:vAlign w:val="top"/>
          </w:tcPr>
          <w:p w14:paraId="1E3A67B5">
            <w:pPr>
              <w:rPr>
                <w:rFonts w:hint="eastAsia" w:ascii="宋体" w:hAnsi="宋体" w:cs="宋体"/>
                <w:bCs/>
                <w:kern w:val="0"/>
                <w:highlight w:val="none"/>
              </w:rPr>
            </w:pPr>
          </w:p>
        </w:tc>
        <w:tc>
          <w:tcPr>
            <w:tcW w:w="770" w:type="dxa"/>
            <w:noWrap w:val="0"/>
            <w:vAlign w:val="top"/>
          </w:tcPr>
          <w:p w14:paraId="6F7D54B2">
            <w:pPr>
              <w:rPr>
                <w:rFonts w:hint="eastAsia" w:ascii="宋体" w:hAnsi="宋体" w:cs="宋体"/>
                <w:bCs/>
                <w:kern w:val="0"/>
                <w:highlight w:val="none"/>
              </w:rPr>
            </w:pPr>
          </w:p>
        </w:tc>
        <w:tc>
          <w:tcPr>
            <w:tcW w:w="713" w:type="dxa"/>
            <w:noWrap w:val="0"/>
            <w:vAlign w:val="top"/>
          </w:tcPr>
          <w:p w14:paraId="54720A1E">
            <w:pPr>
              <w:rPr>
                <w:rFonts w:hint="eastAsia" w:ascii="宋体" w:hAnsi="宋体" w:cs="宋体"/>
                <w:bCs/>
                <w:kern w:val="0"/>
                <w:highlight w:val="none"/>
              </w:rPr>
            </w:pPr>
          </w:p>
        </w:tc>
        <w:tc>
          <w:tcPr>
            <w:tcW w:w="826" w:type="dxa"/>
            <w:noWrap w:val="0"/>
            <w:vAlign w:val="top"/>
          </w:tcPr>
          <w:p w14:paraId="02D4CD49">
            <w:pPr>
              <w:rPr>
                <w:rFonts w:hint="eastAsia" w:ascii="宋体" w:hAnsi="宋体" w:cs="宋体"/>
                <w:bCs/>
                <w:kern w:val="0"/>
                <w:highlight w:val="none"/>
              </w:rPr>
            </w:pPr>
          </w:p>
        </w:tc>
        <w:tc>
          <w:tcPr>
            <w:tcW w:w="770" w:type="dxa"/>
            <w:noWrap w:val="0"/>
            <w:vAlign w:val="top"/>
          </w:tcPr>
          <w:p w14:paraId="4149488D">
            <w:pPr>
              <w:rPr>
                <w:rFonts w:hint="eastAsia" w:ascii="宋体" w:hAnsi="宋体" w:cs="宋体"/>
                <w:bCs/>
                <w:kern w:val="0"/>
                <w:highlight w:val="none"/>
              </w:rPr>
            </w:pPr>
          </w:p>
        </w:tc>
        <w:tc>
          <w:tcPr>
            <w:tcW w:w="777" w:type="dxa"/>
            <w:noWrap w:val="0"/>
            <w:vAlign w:val="top"/>
          </w:tcPr>
          <w:p w14:paraId="2D82A19A">
            <w:pPr>
              <w:rPr>
                <w:rFonts w:hint="eastAsia" w:ascii="宋体" w:hAnsi="宋体" w:cs="宋体"/>
                <w:bCs/>
                <w:kern w:val="0"/>
                <w:highlight w:val="none"/>
              </w:rPr>
            </w:pPr>
          </w:p>
        </w:tc>
        <w:tc>
          <w:tcPr>
            <w:tcW w:w="762" w:type="dxa"/>
            <w:noWrap w:val="0"/>
            <w:vAlign w:val="top"/>
          </w:tcPr>
          <w:p w14:paraId="3CC7AE24">
            <w:pPr>
              <w:rPr>
                <w:rFonts w:hint="eastAsia" w:ascii="宋体" w:hAnsi="宋体" w:cs="宋体"/>
                <w:bCs/>
                <w:kern w:val="0"/>
                <w:highlight w:val="none"/>
              </w:rPr>
            </w:pPr>
          </w:p>
        </w:tc>
      </w:tr>
      <w:tr w14:paraId="6AA1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0909EF20">
            <w:pPr>
              <w:rPr>
                <w:rFonts w:hint="eastAsia" w:ascii="宋体" w:hAnsi="宋体" w:cs="宋体"/>
                <w:bCs/>
                <w:kern w:val="0"/>
                <w:highlight w:val="none"/>
              </w:rPr>
            </w:pPr>
          </w:p>
        </w:tc>
        <w:tc>
          <w:tcPr>
            <w:tcW w:w="748" w:type="dxa"/>
            <w:noWrap w:val="0"/>
            <w:vAlign w:val="top"/>
          </w:tcPr>
          <w:p w14:paraId="54667E59">
            <w:pPr>
              <w:rPr>
                <w:rFonts w:hint="eastAsia" w:ascii="宋体" w:hAnsi="宋体" w:cs="宋体"/>
                <w:bCs/>
                <w:kern w:val="0"/>
                <w:highlight w:val="none"/>
              </w:rPr>
            </w:pPr>
          </w:p>
        </w:tc>
        <w:tc>
          <w:tcPr>
            <w:tcW w:w="619" w:type="dxa"/>
            <w:noWrap w:val="0"/>
            <w:vAlign w:val="top"/>
          </w:tcPr>
          <w:p w14:paraId="246767AC">
            <w:pPr>
              <w:rPr>
                <w:rFonts w:hint="eastAsia" w:ascii="宋体" w:hAnsi="宋体" w:cs="宋体"/>
                <w:bCs/>
                <w:kern w:val="0"/>
                <w:highlight w:val="none"/>
              </w:rPr>
            </w:pPr>
          </w:p>
        </w:tc>
        <w:tc>
          <w:tcPr>
            <w:tcW w:w="748" w:type="dxa"/>
            <w:noWrap w:val="0"/>
            <w:vAlign w:val="top"/>
          </w:tcPr>
          <w:p w14:paraId="659B8DFE">
            <w:pPr>
              <w:rPr>
                <w:rFonts w:hint="eastAsia" w:ascii="宋体" w:hAnsi="宋体" w:cs="宋体"/>
                <w:bCs/>
                <w:kern w:val="0"/>
                <w:highlight w:val="none"/>
              </w:rPr>
            </w:pPr>
          </w:p>
        </w:tc>
        <w:tc>
          <w:tcPr>
            <w:tcW w:w="1190" w:type="dxa"/>
            <w:noWrap w:val="0"/>
            <w:vAlign w:val="top"/>
          </w:tcPr>
          <w:p w14:paraId="22E52761">
            <w:pPr>
              <w:rPr>
                <w:rFonts w:hint="eastAsia" w:ascii="宋体" w:hAnsi="宋体" w:cs="宋体"/>
                <w:bCs/>
                <w:kern w:val="0"/>
                <w:highlight w:val="none"/>
              </w:rPr>
            </w:pPr>
          </w:p>
        </w:tc>
        <w:tc>
          <w:tcPr>
            <w:tcW w:w="769" w:type="dxa"/>
            <w:noWrap w:val="0"/>
            <w:vAlign w:val="top"/>
          </w:tcPr>
          <w:p w14:paraId="08CA1916">
            <w:pPr>
              <w:rPr>
                <w:rFonts w:hint="eastAsia" w:ascii="宋体" w:hAnsi="宋体" w:cs="宋体"/>
                <w:bCs/>
                <w:kern w:val="0"/>
                <w:highlight w:val="none"/>
              </w:rPr>
            </w:pPr>
          </w:p>
        </w:tc>
        <w:tc>
          <w:tcPr>
            <w:tcW w:w="770" w:type="dxa"/>
            <w:noWrap w:val="0"/>
            <w:vAlign w:val="top"/>
          </w:tcPr>
          <w:p w14:paraId="23A553EF">
            <w:pPr>
              <w:rPr>
                <w:rFonts w:hint="eastAsia" w:ascii="宋体" w:hAnsi="宋体" w:cs="宋体"/>
                <w:bCs/>
                <w:kern w:val="0"/>
                <w:highlight w:val="none"/>
              </w:rPr>
            </w:pPr>
          </w:p>
        </w:tc>
        <w:tc>
          <w:tcPr>
            <w:tcW w:w="713" w:type="dxa"/>
            <w:noWrap w:val="0"/>
            <w:vAlign w:val="top"/>
          </w:tcPr>
          <w:p w14:paraId="086B6510">
            <w:pPr>
              <w:rPr>
                <w:rFonts w:hint="eastAsia" w:ascii="宋体" w:hAnsi="宋体" w:cs="宋体"/>
                <w:bCs/>
                <w:kern w:val="0"/>
                <w:highlight w:val="none"/>
              </w:rPr>
            </w:pPr>
          </w:p>
        </w:tc>
        <w:tc>
          <w:tcPr>
            <w:tcW w:w="826" w:type="dxa"/>
            <w:noWrap w:val="0"/>
            <w:vAlign w:val="top"/>
          </w:tcPr>
          <w:p w14:paraId="5A91FEBF">
            <w:pPr>
              <w:rPr>
                <w:rFonts w:hint="eastAsia" w:ascii="宋体" w:hAnsi="宋体" w:cs="宋体"/>
                <w:bCs/>
                <w:kern w:val="0"/>
                <w:highlight w:val="none"/>
              </w:rPr>
            </w:pPr>
          </w:p>
        </w:tc>
        <w:tc>
          <w:tcPr>
            <w:tcW w:w="770" w:type="dxa"/>
            <w:noWrap w:val="0"/>
            <w:vAlign w:val="top"/>
          </w:tcPr>
          <w:p w14:paraId="35E6E887">
            <w:pPr>
              <w:rPr>
                <w:rFonts w:hint="eastAsia" w:ascii="宋体" w:hAnsi="宋体" w:cs="宋体"/>
                <w:bCs/>
                <w:kern w:val="0"/>
                <w:highlight w:val="none"/>
              </w:rPr>
            </w:pPr>
          </w:p>
        </w:tc>
        <w:tc>
          <w:tcPr>
            <w:tcW w:w="777" w:type="dxa"/>
            <w:noWrap w:val="0"/>
            <w:vAlign w:val="top"/>
          </w:tcPr>
          <w:p w14:paraId="41936A7A">
            <w:pPr>
              <w:rPr>
                <w:rFonts w:hint="eastAsia" w:ascii="宋体" w:hAnsi="宋体" w:cs="宋体"/>
                <w:bCs/>
                <w:kern w:val="0"/>
                <w:highlight w:val="none"/>
              </w:rPr>
            </w:pPr>
          </w:p>
        </w:tc>
        <w:tc>
          <w:tcPr>
            <w:tcW w:w="762" w:type="dxa"/>
            <w:noWrap w:val="0"/>
            <w:vAlign w:val="top"/>
          </w:tcPr>
          <w:p w14:paraId="6995E9F8">
            <w:pPr>
              <w:rPr>
                <w:rFonts w:hint="eastAsia" w:ascii="宋体" w:hAnsi="宋体" w:cs="宋体"/>
                <w:bCs/>
                <w:kern w:val="0"/>
                <w:highlight w:val="none"/>
              </w:rPr>
            </w:pPr>
          </w:p>
        </w:tc>
      </w:tr>
      <w:tr w14:paraId="5A26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0436D991">
            <w:pPr>
              <w:rPr>
                <w:rFonts w:hint="eastAsia" w:ascii="宋体" w:hAnsi="宋体" w:cs="宋体"/>
                <w:bCs/>
                <w:kern w:val="0"/>
                <w:highlight w:val="none"/>
              </w:rPr>
            </w:pPr>
          </w:p>
        </w:tc>
        <w:tc>
          <w:tcPr>
            <w:tcW w:w="748" w:type="dxa"/>
            <w:noWrap w:val="0"/>
            <w:vAlign w:val="top"/>
          </w:tcPr>
          <w:p w14:paraId="7F60B57A">
            <w:pPr>
              <w:rPr>
                <w:rFonts w:hint="eastAsia" w:ascii="宋体" w:hAnsi="宋体" w:cs="宋体"/>
                <w:bCs/>
                <w:kern w:val="0"/>
                <w:highlight w:val="none"/>
              </w:rPr>
            </w:pPr>
          </w:p>
        </w:tc>
        <w:tc>
          <w:tcPr>
            <w:tcW w:w="619" w:type="dxa"/>
            <w:noWrap w:val="0"/>
            <w:vAlign w:val="top"/>
          </w:tcPr>
          <w:p w14:paraId="0D9066EF">
            <w:pPr>
              <w:rPr>
                <w:rFonts w:hint="eastAsia" w:ascii="宋体" w:hAnsi="宋体" w:cs="宋体"/>
                <w:bCs/>
                <w:kern w:val="0"/>
                <w:highlight w:val="none"/>
              </w:rPr>
            </w:pPr>
          </w:p>
        </w:tc>
        <w:tc>
          <w:tcPr>
            <w:tcW w:w="748" w:type="dxa"/>
            <w:noWrap w:val="0"/>
            <w:vAlign w:val="top"/>
          </w:tcPr>
          <w:p w14:paraId="6F33EF8A">
            <w:pPr>
              <w:rPr>
                <w:rFonts w:hint="eastAsia" w:ascii="宋体" w:hAnsi="宋体" w:cs="宋体"/>
                <w:bCs/>
                <w:kern w:val="0"/>
                <w:highlight w:val="none"/>
              </w:rPr>
            </w:pPr>
          </w:p>
        </w:tc>
        <w:tc>
          <w:tcPr>
            <w:tcW w:w="1190" w:type="dxa"/>
            <w:noWrap w:val="0"/>
            <w:vAlign w:val="top"/>
          </w:tcPr>
          <w:p w14:paraId="4214E7D1">
            <w:pPr>
              <w:rPr>
                <w:rFonts w:hint="eastAsia" w:ascii="宋体" w:hAnsi="宋体" w:cs="宋体"/>
                <w:bCs/>
                <w:kern w:val="0"/>
                <w:highlight w:val="none"/>
              </w:rPr>
            </w:pPr>
          </w:p>
        </w:tc>
        <w:tc>
          <w:tcPr>
            <w:tcW w:w="769" w:type="dxa"/>
            <w:noWrap w:val="0"/>
            <w:vAlign w:val="top"/>
          </w:tcPr>
          <w:p w14:paraId="413987F8">
            <w:pPr>
              <w:rPr>
                <w:rFonts w:hint="eastAsia" w:ascii="宋体" w:hAnsi="宋体" w:cs="宋体"/>
                <w:bCs/>
                <w:kern w:val="0"/>
                <w:highlight w:val="none"/>
              </w:rPr>
            </w:pPr>
          </w:p>
        </w:tc>
        <w:tc>
          <w:tcPr>
            <w:tcW w:w="770" w:type="dxa"/>
            <w:noWrap w:val="0"/>
            <w:vAlign w:val="top"/>
          </w:tcPr>
          <w:p w14:paraId="5386D709">
            <w:pPr>
              <w:rPr>
                <w:rFonts w:hint="eastAsia" w:ascii="宋体" w:hAnsi="宋体" w:cs="宋体"/>
                <w:bCs/>
                <w:kern w:val="0"/>
                <w:highlight w:val="none"/>
              </w:rPr>
            </w:pPr>
          </w:p>
        </w:tc>
        <w:tc>
          <w:tcPr>
            <w:tcW w:w="713" w:type="dxa"/>
            <w:noWrap w:val="0"/>
            <w:vAlign w:val="top"/>
          </w:tcPr>
          <w:p w14:paraId="308E2DAC">
            <w:pPr>
              <w:rPr>
                <w:rFonts w:hint="eastAsia" w:ascii="宋体" w:hAnsi="宋体" w:cs="宋体"/>
                <w:bCs/>
                <w:kern w:val="0"/>
                <w:highlight w:val="none"/>
              </w:rPr>
            </w:pPr>
          </w:p>
        </w:tc>
        <w:tc>
          <w:tcPr>
            <w:tcW w:w="826" w:type="dxa"/>
            <w:noWrap w:val="0"/>
            <w:vAlign w:val="top"/>
          </w:tcPr>
          <w:p w14:paraId="6AAA9C1F">
            <w:pPr>
              <w:rPr>
                <w:rFonts w:hint="eastAsia" w:ascii="宋体" w:hAnsi="宋体" w:cs="宋体"/>
                <w:bCs/>
                <w:kern w:val="0"/>
                <w:highlight w:val="none"/>
              </w:rPr>
            </w:pPr>
          </w:p>
        </w:tc>
        <w:tc>
          <w:tcPr>
            <w:tcW w:w="770" w:type="dxa"/>
            <w:noWrap w:val="0"/>
            <w:vAlign w:val="top"/>
          </w:tcPr>
          <w:p w14:paraId="6BFCA279">
            <w:pPr>
              <w:rPr>
                <w:rFonts w:hint="eastAsia" w:ascii="宋体" w:hAnsi="宋体" w:cs="宋体"/>
                <w:bCs/>
                <w:kern w:val="0"/>
                <w:highlight w:val="none"/>
              </w:rPr>
            </w:pPr>
          </w:p>
        </w:tc>
        <w:tc>
          <w:tcPr>
            <w:tcW w:w="777" w:type="dxa"/>
            <w:noWrap w:val="0"/>
            <w:vAlign w:val="top"/>
          </w:tcPr>
          <w:p w14:paraId="5B1EF8EA">
            <w:pPr>
              <w:rPr>
                <w:rFonts w:hint="eastAsia" w:ascii="宋体" w:hAnsi="宋体" w:cs="宋体"/>
                <w:bCs/>
                <w:kern w:val="0"/>
                <w:highlight w:val="none"/>
              </w:rPr>
            </w:pPr>
          </w:p>
        </w:tc>
        <w:tc>
          <w:tcPr>
            <w:tcW w:w="762" w:type="dxa"/>
            <w:noWrap w:val="0"/>
            <w:vAlign w:val="top"/>
          </w:tcPr>
          <w:p w14:paraId="31621B23">
            <w:pPr>
              <w:rPr>
                <w:rFonts w:hint="eastAsia" w:ascii="宋体" w:hAnsi="宋体" w:cs="宋体"/>
                <w:bCs/>
                <w:kern w:val="0"/>
                <w:highlight w:val="none"/>
              </w:rPr>
            </w:pPr>
          </w:p>
        </w:tc>
      </w:tr>
      <w:tr w14:paraId="32B7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1AB2A40E">
            <w:pPr>
              <w:rPr>
                <w:rFonts w:hint="eastAsia" w:ascii="宋体" w:hAnsi="宋体" w:cs="宋体"/>
                <w:bCs/>
                <w:kern w:val="0"/>
                <w:highlight w:val="none"/>
              </w:rPr>
            </w:pPr>
          </w:p>
        </w:tc>
        <w:tc>
          <w:tcPr>
            <w:tcW w:w="748" w:type="dxa"/>
            <w:noWrap w:val="0"/>
            <w:vAlign w:val="top"/>
          </w:tcPr>
          <w:p w14:paraId="290D720C">
            <w:pPr>
              <w:rPr>
                <w:rFonts w:hint="eastAsia" w:ascii="宋体" w:hAnsi="宋体" w:cs="宋体"/>
                <w:bCs/>
                <w:kern w:val="0"/>
                <w:highlight w:val="none"/>
              </w:rPr>
            </w:pPr>
          </w:p>
        </w:tc>
        <w:tc>
          <w:tcPr>
            <w:tcW w:w="619" w:type="dxa"/>
            <w:noWrap w:val="0"/>
            <w:vAlign w:val="top"/>
          </w:tcPr>
          <w:p w14:paraId="2239EA0C">
            <w:pPr>
              <w:rPr>
                <w:rFonts w:hint="eastAsia" w:ascii="宋体" w:hAnsi="宋体" w:cs="宋体"/>
                <w:bCs/>
                <w:kern w:val="0"/>
                <w:highlight w:val="none"/>
              </w:rPr>
            </w:pPr>
          </w:p>
        </w:tc>
        <w:tc>
          <w:tcPr>
            <w:tcW w:w="748" w:type="dxa"/>
            <w:noWrap w:val="0"/>
            <w:vAlign w:val="top"/>
          </w:tcPr>
          <w:p w14:paraId="01E937C5">
            <w:pPr>
              <w:rPr>
                <w:rFonts w:hint="eastAsia" w:ascii="宋体" w:hAnsi="宋体" w:cs="宋体"/>
                <w:bCs/>
                <w:kern w:val="0"/>
                <w:highlight w:val="none"/>
              </w:rPr>
            </w:pPr>
          </w:p>
        </w:tc>
        <w:tc>
          <w:tcPr>
            <w:tcW w:w="1190" w:type="dxa"/>
            <w:noWrap w:val="0"/>
            <w:vAlign w:val="top"/>
          </w:tcPr>
          <w:p w14:paraId="4008DC87">
            <w:pPr>
              <w:rPr>
                <w:rFonts w:hint="eastAsia" w:ascii="宋体" w:hAnsi="宋体" w:cs="宋体"/>
                <w:bCs/>
                <w:kern w:val="0"/>
                <w:highlight w:val="none"/>
              </w:rPr>
            </w:pPr>
          </w:p>
        </w:tc>
        <w:tc>
          <w:tcPr>
            <w:tcW w:w="769" w:type="dxa"/>
            <w:noWrap w:val="0"/>
            <w:vAlign w:val="top"/>
          </w:tcPr>
          <w:p w14:paraId="57FBD17A">
            <w:pPr>
              <w:rPr>
                <w:rFonts w:hint="eastAsia" w:ascii="宋体" w:hAnsi="宋体" w:cs="宋体"/>
                <w:bCs/>
                <w:kern w:val="0"/>
                <w:highlight w:val="none"/>
              </w:rPr>
            </w:pPr>
          </w:p>
        </w:tc>
        <w:tc>
          <w:tcPr>
            <w:tcW w:w="770" w:type="dxa"/>
            <w:noWrap w:val="0"/>
            <w:vAlign w:val="top"/>
          </w:tcPr>
          <w:p w14:paraId="0CBDC73F">
            <w:pPr>
              <w:rPr>
                <w:rFonts w:hint="eastAsia" w:ascii="宋体" w:hAnsi="宋体" w:cs="宋体"/>
                <w:bCs/>
                <w:kern w:val="0"/>
                <w:highlight w:val="none"/>
              </w:rPr>
            </w:pPr>
          </w:p>
        </w:tc>
        <w:tc>
          <w:tcPr>
            <w:tcW w:w="713" w:type="dxa"/>
            <w:noWrap w:val="0"/>
            <w:vAlign w:val="top"/>
          </w:tcPr>
          <w:p w14:paraId="64423116">
            <w:pPr>
              <w:rPr>
                <w:rFonts w:hint="eastAsia" w:ascii="宋体" w:hAnsi="宋体" w:cs="宋体"/>
                <w:bCs/>
                <w:kern w:val="0"/>
                <w:highlight w:val="none"/>
              </w:rPr>
            </w:pPr>
          </w:p>
        </w:tc>
        <w:tc>
          <w:tcPr>
            <w:tcW w:w="826" w:type="dxa"/>
            <w:noWrap w:val="0"/>
            <w:vAlign w:val="top"/>
          </w:tcPr>
          <w:p w14:paraId="09A57840">
            <w:pPr>
              <w:rPr>
                <w:rFonts w:hint="eastAsia" w:ascii="宋体" w:hAnsi="宋体" w:cs="宋体"/>
                <w:bCs/>
                <w:kern w:val="0"/>
                <w:highlight w:val="none"/>
              </w:rPr>
            </w:pPr>
          </w:p>
        </w:tc>
        <w:tc>
          <w:tcPr>
            <w:tcW w:w="770" w:type="dxa"/>
            <w:noWrap w:val="0"/>
            <w:vAlign w:val="top"/>
          </w:tcPr>
          <w:p w14:paraId="3359ACE2">
            <w:pPr>
              <w:rPr>
                <w:rFonts w:hint="eastAsia" w:ascii="宋体" w:hAnsi="宋体" w:cs="宋体"/>
                <w:bCs/>
                <w:kern w:val="0"/>
                <w:highlight w:val="none"/>
              </w:rPr>
            </w:pPr>
          </w:p>
        </w:tc>
        <w:tc>
          <w:tcPr>
            <w:tcW w:w="777" w:type="dxa"/>
            <w:noWrap w:val="0"/>
            <w:vAlign w:val="top"/>
          </w:tcPr>
          <w:p w14:paraId="29365147">
            <w:pPr>
              <w:rPr>
                <w:rFonts w:hint="eastAsia" w:ascii="宋体" w:hAnsi="宋体" w:cs="宋体"/>
                <w:bCs/>
                <w:kern w:val="0"/>
                <w:highlight w:val="none"/>
              </w:rPr>
            </w:pPr>
          </w:p>
        </w:tc>
        <w:tc>
          <w:tcPr>
            <w:tcW w:w="762" w:type="dxa"/>
            <w:noWrap w:val="0"/>
            <w:vAlign w:val="top"/>
          </w:tcPr>
          <w:p w14:paraId="43E7FF6C">
            <w:pPr>
              <w:rPr>
                <w:rFonts w:hint="eastAsia" w:ascii="宋体" w:hAnsi="宋体" w:cs="宋体"/>
                <w:bCs/>
                <w:kern w:val="0"/>
                <w:highlight w:val="none"/>
              </w:rPr>
            </w:pPr>
          </w:p>
        </w:tc>
      </w:tr>
      <w:tr w14:paraId="721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2F835015">
            <w:pPr>
              <w:rPr>
                <w:rFonts w:hint="eastAsia" w:ascii="宋体" w:hAnsi="宋体" w:cs="宋体"/>
                <w:bCs/>
                <w:kern w:val="0"/>
                <w:highlight w:val="none"/>
              </w:rPr>
            </w:pPr>
          </w:p>
        </w:tc>
        <w:tc>
          <w:tcPr>
            <w:tcW w:w="748" w:type="dxa"/>
            <w:noWrap w:val="0"/>
            <w:vAlign w:val="top"/>
          </w:tcPr>
          <w:p w14:paraId="32E254E3">
            <w:pPr>
              <w:rPr>
                <w:rFonts w:hint="eastAsia" w:ascii="宋体" w:hAnsi="宋体" w:cs="宋体"/>
                <w:bCs/>
                <w:kern w:val="0"/>
                <w:highlight w:val="none"/>
              </w:rPr>
            </w:pPr>
          </w:p>
        </w:tc>
        <w:tc>
          <w:tcPr>
            <w:tcW w:w="619" w:type="dxa"/>
            <w:noWrap w:val="0"/>
            <w:vAlign w:val="top"/>
          </w:tcPr>
          <w:p w14:paraId="5E114E71">
            <w:pPr>
              <w:rPr>
                <w:rFonts w:hint="eastAsia" w:ascii="宋体" w:hAnsi="宋体" w:cs="宋体"/>
                <w:bCs/>
                <w:kern w:val="0"/>
                <w:highlight w:val="none"/>
              </w:rPr>
            </w:pPr>
          </w:p>
        </w:tc>
        <w:tc>
          <w:tcPr>
            <w:tcW w:w="748" w:type="dxa"/>
            <w:noWrap w:val="0"/>
            <w:vAlign w:val="top"/>
          </w:tcPr>
          <w:p w14:paraId="6577F733">
            <w:pPr>
              <w:rPr>
                <w:rFonts w:hint="eastAsia" w:ascii="宋体" w:hAnsi="宋体" w:cs="宋体"/>
                <w:bCs/>
                <w:kern w:val="0"/>
                <w:highlight w:val="none"/>
              </w:rPr>
            </w:pPr>
          </w:p>
        </w:tc>
        <w:tc>
          <w:tcPr>
            <w:tcW w:w="1190" w:type="dxa"/>
            <w:noWrap w:val="0"/>
            <w:vAlign w:val="top"/>
          </w:tcPr>
          <w:p w14:paraId="4C72D36C">
            <w:pPr>
              <w:rPr>
                <w:rFonts w:hint="eastAsia" w:ascii="宋体" w:hAnsi="宋体" w:cs="宋体"/>
                <w:bCs/>
                <w:kern w:val="0"/>
                <w:highlight w:val="none"/>
              </w:rPr>
            </w:pPr>
          </w:p>
        </w:tc>
        <w:tc>
          <w:tcPr>
            <w:tcW w:w="769" w:type="dxa"/>
            <w:noWrap w:val="0"/>
            <w:vAlign w:val="top"/>
          </w:tcPr>
          <w:p w14:paraId="50E394DC">
            <w:pPr>
              <w:rPr>
                <w:rFonts w:hint="eastAsia" w:ascii="宋体" w:hAnsi="宋体" w:cs="宋体"/>
                <w:bCs/>
                <w:kern w:val="0"/>
                <w:highlight w:val="none"/>
              </w:rPr>
            </w:pPr>
          </w:p>
        </w:tc>
        <w:tc>
          <w:tcPr>
            <w:tcW w:w="770" w:type="dxa"/>
            <w:noWrap w:val="0"/>
            <w:vAlign w:val="top"/>
          </w:tcPr>
          <w:p w14:paraId="76479893">
            <w:pPr>
              <w:rPr>
                <w:rFonts w:hint="eastAsia" w:ascii="宋体" w:hAnsi="宋体" w:cs="宋体"/>
                <w:bCs/>
                <w:kern w:val="0"/>
                <w:highlight w:val="none"/>
              </w:rPr>
            </w:pPr>
          </w:p>
        </w:tc>
        <w:tc>
          <w:tcPr>
            <w:tcW w:w="713" w:type="dxa"/>
            <w:noWrap w:val="0"/>
            <w:vAlign w:val="top"/>
          </w:tcPr>
          <w:p w14:paraId="4992B0E1">
            <w:pPr>
              <w:rPr>
                <w:rFonts w:hint="eastAsia" w:ascii="宋体" w:hAnsi="宋体" w:cs="宋体"/>
                <w:bCs/>
                <w:kern w:val="0"/>
                <w:highlight w:val="none"/>
              </w:rPr>
            </w:pPr>
          </w:p>
        </w:tc>
        <w:tc>
          <w:tcPr>
            <w:tcW w:w="826" w:type="dxa"/>
            <w:noWrap w:val="0"/>
            <w:vAlign w:val="top"/>
          </w:tcPr>
          <w:p w14:paraId="4E9FAEBD">
            <w:pPr>
              <w:rPr>
                <w:rFonts w:hint="eastAsia" w:ascii="宋体" w:hAnsi="宋体" w:cs="宋体"/>
                <w:bCs/>
                <w:kern w:val="0"/>
                <w:highlight w:val="none"/>
              </w:rPr>
            </w:pPr>
          </w:p>
        </w:tc>
        <w:tc>
          <w:tcPr>
            <w:tcW w:w="770" w:type="dxa"/>
            <w:noWrap w:val="0"/>
            <w:vAlign w:val="top"/>
          </w:tcPr>
          <w:p w14:paraId="7913F413">
            <w:pPr>
              <w:rPr>
                <w:rFonts w:hint="eastAsia" w:ascii="宋体" w:hAnsi="宋体" w:cs="宋体"/>
                <w:bCs/>
                <w:kern w:val="0"/>
                <w:highlight w:val="none"/>
              </w:rPr>
            </w:pPr>
          </w:p>
        </w:tc>
        <w:tc>
          <w:tcPr>
            <w:tcW w:w="777" w:type="dxa"/>
            <w:noWrap w:val="0"/>
            <w:vAlign w:val="top"/>
          </w:tcPr>
          <w:p w14:paraId="5868D584">
            <w:pPr>
              <w:rPr>
                <w:rFonts w:hint="eastAsia" w:ascii="宋体" w:hAnsi="宋体" w:cs="宋体"/>
                <w:bCs/>
                <w:kern w:val="0"/>
                <w:highlight w:val="none"/>
              </w:rPr>
            </w:pPr>
          </w:p>
        </w:tc>
        <w:tc>
          <w:tcPr>
            <w:tcW w:w="762" w:type="dxa"/>
            <w:noWrap w:val="0"/>
            <w:vAlign w:val="top"/>
          </w:tcPr>
          <w:p w14:paraId="5F877660">
            <w:pPr>
              <w:rPr>
                <w:rFonts w:hint="eastAsia" w:ascii="宋体" w:hAnsi="宋体" w:cs="宋体"/>
                <w:bCs/>
                <w:kern w:val="0"/>
                <w:highlight w:val="none"/>
              </w:rPr>
            </w:pPr>
          </w:p>
        </w:tc>
      </w:tr>
      <w:tr w14:paraId="5798ECD3">
        <w:tblPrEx>
          <w:tblCellMar>
            <w:top w:w="0" w:type="dxa"/>
            <w:left w:w="108" w:type="dxa"/>
            <w:bottom w:w="0" w:type="dxa"/>
            <w:right w:w="108" w:type="dxa"/>
          </w:tblCellMar>
        </w:tblPrEx>
        <w:trPr>
          <w:trHeight w:val="300" w:hRule="atLeast"/>
        </w:trPr>
        <w:tc>
          <w:tcPr>
            <w:tcW w:w="537" w:type="dxa"/>
            <w:noWrap w:val="0"/>
            <w:vAlign w:val="top"/>
          </w:tcPr>
          <w:p w14:paraId="2652E36F">
            <w:pPr>
              <w:rPr>
                <w:rFonts w:hint="eastAsia" w:ascii="宋体" w:hAnsi="宋体" w:cs="宋体"/>
                <w:bCs/>
                <w:kern w:val="0"/>
                <w:highlight w:val="none"/>
              </w:rPr>
            </w:pPr>
          </w:p>
        </w:tc>
        <w:tc>
          <w:tcPr>
            <w:tcW w:w="748" w:type="dxa"/>
            <w:noWrap w:val="0"/>
            <w:vAlign w:val="top"/>
          </w:tcPr>
          <w:p w14:paraId="23A07E6F">
            <w:pPr>
              <w:rPr>
                <w:rFonts w:hint="eastAsia" w:ascii="宋体" w:hAnsi="宋体" w:cs="宋体"/>
                <w:bCs/>
                <w:kern w:val="0"/>
                <w:highlight w:val="none"/>
              </w:rPr>
            </w:pPr>
          </w:p>
        </w:tc>
        <w:tc>
          <w:tcPr>
            <w:tcW w:w="619" w:type="dxa"/>
            <w:noWrap w:val="0"/>
            <w:vAlign w:val="top"/>
          </w:tcPr>
          <w:p w14:paraId="70A1F41F">
            <w:pPr>
              <w:rPr>
                <w:rFonts w:hint="eastAsia" w:ascii="宋体" w:hAnsi="宋体" w:cs="宋体"/>
                <w:bCs/>
                <w:kern w:val="0"/>
                <w:highlight w:val="none"/>
              </w:rPr>
            </w:pPr>
          </w:p>
        </w:tc>
        <w:tc>
          <w:tcPr>
            <w:tcW w:w="748" w:type="dxa"/>
            <w:noWrap w:val="0"/>
            <w:vAlign w:val="top"/>
          </w:tcPr>
          <w:p w14:paraId="64DCE128">
            <w:pPr>
              <w:rPr>
                <w:rFonts w:hint="eastAsia" w:ascii="宋体" w:hAnsi="宋体" w:cs="宋体"/>
                <w:bCs/>
                <w:kern w:val="0"/>
                <w:highlight w:val="none"/>
              </w:rPr>
            </w:pPr>
          </w:p>
        </w:tc>
        <w:tc>
          <w:tcPr>
            <w:tcW w:w="1190" w:type="dxa"/>
            <w:noWrap w:val="0"/>
            <w:vAlign w:val="top"/>
          </w:tcPr>
          <w:p w14:paraId="64C34853">
            <w:pPr>
              <w:rPr>
                <w:rFonts w:hint="eastAsia" w:ascii="宋体" w:hAnsi="宋体" w:cs="宋体"/>
                <w:bCs/>
                <w:kern w:val="0"/>
                <w:highlight w:val="none"/>
              </w:rPr>
            </w:pPr>
          </w:p>
        </w:tc>
        <w:tc>
          <w:tcPr>
            <w:tcW w:w="769" w:type="dxa"/>
            <w:noWrap w:val="0"/>
            <w:vAlign w:val="top"/>
          </w:tcPr>
          <w:p w14:paraId="1CC797FA">
            <w:pPr>
              <w:rPr>
                <w:rFonts w:hint="eastAsia" w:ascii="宋体" w:hAnsi="宋体" w:cs="宋体"/>
                <w:bCs/>
                <w:kern w:val="0"/>
                <w:highlight w:val="none"/>
              </w:rPr>
            </w:pPr>
          </w:p>
        </w:tc>
        <w:tc>
          <w:tcPr>
            <w:tcW w:w="770" w:type="dxa"/>
            <w:noWrap w:val="0"/>
            <w:vAlign w:val="top"/>
          </w:tcPr>
          <w:p w14:paraId="617456A5">
            <w:pPr>
              <w:rPr>
                <w:rFonts w:hint="eastAsia" w:ascii="宋体" w:hAnsi="宋体" w:cs="宋体"/>
                <w:bCs/>
                <w:kern w:val="0"/>
                <w:highlight w:val="none"/>
              </w:rPr>
            </w:pPr>
          </w:p>
        </w:tc>
        <w:tc>
          <w:tcPr>
            <w:tcW w:w="713" w:type="dxa"/>
            <w:noWrap w:val="0"/>
            <w:vAlign w:val="top"/>
          </w:tcPr>
          <w:p w14:paraId="11AC931E">
            <w:pPr>
              <w:rPr>
                <w:rFonts w:hint="eastAsia" w:ascii="宋体" w:hAnsi="宋体" w:cs="宋体"/>
                <w:bCs/>
                <w:kern w:val="0"/>
                <w:highlight w:val="none"/>
              </w:rPr>
            </w:pPr>
          </w:p>
        </w:tc>
        <w:tc>
          <w:tcPr>
            <w:tcW w:w="826" w:type="dxa"/>
            <w:noWrap w:val="0"/>
            <w:vAlign w:val="top"/>
          </w:tcPr>
          <w:p w14:paraId="5B04646B">
            <w:pPr>
              <w:rPr>
                <w:rFonts w:hint="eastAsia" w:ascii="宋体" w:hAnsi="宋体" w:cs="宋体"/>
                <w:bCs/>
                <w:kern w:val="0"/>
                <w:highlight w:val="none"/>
              </w:rPr>
            </w:pPr>
          </w:p>
        </w:tc>
        <w:tc>
          <w:tcPr>
            <w:tcW w:w="770" w:type="dxa"/>
            <w:noWrap w:val="0"/>
            <w:vAlign w:val="top"/>
          </w:tcPr>
          <w:p w14:paraId="00A62112">
            <w:pPr>
              <w:rPr>
                <w:rFonts w:hint="eastAsia" w:ascii="宋体" w:hAnsi="宋体" w:cs="宋体"/>
                <w:bCs/>
                <w:kern w:val="0"/>
                <w:highlight w:val="none"/>
              </w:rPr>
            </w:pPr>
          </w:p>
        </w:tc>
        <w:tc>
          <w:tcPr>
            <w:tcW w:w="777" w:type="dxa"/>
            <w:noWrap w:val="0"/>
            <w:vAlign w:val="top"/>
          </w:tcPr>
          <w:p w14:paraId="2EB4451B">
            <w:pPr>
              <w:rPr>
                <w:rFonts w:hint="eastAsia" w:ascii="宋体" w:hAnsi="宋体" w:cs="宋体"/>
                <w:bCs/>
                <w:kern w:val="0"/>
                <w:highlight w:val="none"/>
              </w:rPr>
            </w:pPr>
          </w:p>
        </w:tc>
        <w:tc>
          <w:tcPr>
            <w:tcW w:w="762" w:type="dxa"/>
            <w:noWrap w:val="0"/>
            <w:vAlign w:val="top"/>
          </w:tcPr>
          <w:p w14:paraId="561D613A">
            <w:pPr>
              <w:rPr>
                <w:rFonts w:hint="eastAsia" w:ascii="宋体" w:hAnsi="宋体" w:cs="宋体"/>
                <w:bCs/>
                <w:kern w:val="0"/>
                <w:highlight w:val="none"/>
              </w:rPr>
            </w:pPr>
          </w:p>
        </w:tc>
      </w:tr>
      <w:tr w14:paraId="0FA6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6CF9B3B3">
            <w:pPr>
              <w:rPr>
                <w:rFonts w:hint="eastAsia" w:ascii="宋体" w:hAnsi="宋体" w:cs="宋体"/>
                <w:bCs/>
                <w:kern w:val="0"/>
                <w:highlight w:val="none"/>
              </w:rPr>
            </w:pPr>
          </w:p>
        </w:tc>
        <w:tc>
          <w:tcPr>
            <w:tcW w:w="748" w:type="dxa"/>
            <w:noWrap w:val="0"/>
            <w:vAlign w:val="top"/>
          </w:tcPr>
          <w:p w14:paraId="7BBEE5AB">
            <w:pPr>
              <w:rPr>
                <w:rFonts w:hint="eastAsia" w:ascii="宋体" w:hAnsi="宋体" w:cs="宋体"/>
                <w:bCs/>
                <w:kern w:val="0"/>
                <w:highlight w:val="none"/>
              </w:rPr>
            </w:pPr>
          </w:p>
        </w:tc>
        <w:tc>
          <w:tcPr>
            <w:tcW w:w="619" w:type="dxa"/>
            <w:noWrap w:val="0"/>
            <w:vAlign w:val="top"/>
          </w:tcPr>
          <w:p w14:paraId="238659CF">
            <w:pPr>
              <w:rPr>
                <w:rFonts w:hint="eastAsia" w:ascii="宋体" w:hAnsi="宋体" w:cs="宋体"/>
                <w:bCs/>
                <w:kern w:val="0"/>
                <w:highlight w:val="none"/>
              </w:rPr>
            </w:pPr>
          </w:p>
        </w:tc>
        <w:tc>
          <w:tcPr>
            <w:tcW w:w="748" w:type="dxa"/>
            <w:noWrap w:val="0"/>
            <w:vAlign w:val="top"/>
          </w:tcPr>
          <w:p w14:paraId="62F7F95C">
            <w:pPr>
              <w:rPr>
                <w:rFonts w:hint="eastAsia" w:ascii="宋体" w:hAnsi="宋体" w:cs="宋体"/>
                <w:bCs/>
                <w:kern w:val="0"/>
                <w:highlight w:val="none"/>
              </w:rPr>
            </w:pPr>
          </w:p>
        </w:tc>
        <w:tc>
          <w:tcPr>
            <w:tcW w:w="1190" w:type="dxa"/>
            <w:noWrap w:val="0"/>
            <w:vAlign w:val="top"/>
          </w:tcPr>
          <w:p w14:paraId="0A0B8CA5">
            <w:pPr>
              <w:rPr>
                <w:rFonts w:hint="eastAsia" w:ascii="宋体" w:hAnsi="宋体" w:cs="宋体"/>
                <w:bCs/>
                <w:kern w:val="0"/>
                <w:highlight w:val="none"/>
              </w:rPr>
            </w:pPr>
          </w:p>
        </w:tc>
        <w:tc>
          <w:tcPr>
            <w:tcW w:w="769" w:type="dxa"/>
            <w:noWrap w:val="0"/>
            <w:vAlign w:val="top"/>
          </w:tcPr>
          <w:p w14:paraId="4AD5AB5D">
            <w:pPr>
              <w:rPr>
                <w:rFonts w:hint="eastAsia" w:ascii="宋体" w:hAnsi="宋体" w:cs="宋体"/>
                <w:bCs/>
                <w:kern w:val="0"/>
                <w:highlight w:val="none"/>
              </w:rPr>
            </w:pPr>
          </w:p>
        </w:tc>
        <w:tc>
          <w:tcPr>
            <w:tcW w:w="770" w:type="dxa"/>
            <w:noWrap w:val="0"/>
            <w:vAlign w:val="top"/>
          </w:tcPr>
          <w:p w14:paraId="15CCB4EB">
            <w:pPr>
              <w:rPr>
                <w:rFonts w:hint="eastAsia" w:ascii="宋体" w:hAnsi="宋体" w:cs="宋体"/>
                <w:bCs/>
                <w:kern w:val="0"/>
                <w:highlight w:val="none"/>
              </w:rPr>
            </w:pPr>
          </w:p>
        </w:tc>
        <w:tc>
          <w:tcPr>
            <w:tcW w:w="713" w:type="dxa"/>
            <w:noWrap w:val="0"/>
            <w:vAlign w:val="top"/>
          </w:tcPr>
          <w:p w14:paraId="6D64E0C4">
            <w:pPr>
              <w:rPr>
                <w:rFonts w:hint="eastAsia" w:ascii="宋体" w:hAnsi="宋体" w:cs="宋体"/>
                <w:bCs/>
                <w:kern w:val="0"/>
                <w:highlight w:val="none"/>
              </w:rPr>
            </w:pPr>
          </w:p>
        </w:tc>
        <w:tc>
          <w:tcPr>
            <w:tcW w:w="826" w:type="dxa"/>
            <w:noWrap w:val="0"/>
            <w:vAlign w:val="top"/>
          </w:tcPr>
          <w:p w14:paraId="4E90089F">
            <w:pPr>
              <w:rPr>
                <w:rFonts w:hint="eastAsia" w:ascii="宋体" w:hAnsi="宋体" w:cs="宋体"/>
                <w:bCs/>
                <w:kern w:val="0"/>
                <w:highlight w:val="none"/>
              </w:rPr>
            </w:pPr>
          </w:p>
        </w:tc>
        <w:tc>
          <w:tcPr>
            <w:tcW w:w="770" w:type="dxa"/>
            <w:noWrap w:val="0"/>
            <w:vAlign w:val="top"/>
          </w:tcPr>
          <w:p w14:paraId="56B0E8D4">
            <w:pPr>
              <w:rPr>
                <w:rFonts w:hint="eastAsia" w:ascii="宋体" w:hAnsi="宋体" w:cs="宋体"/>
                <w:bCs/>
                <w:kern w:val="0"/>
                <w:highlight w:val="none"/>
              </w:rPr>
            </w:pPr>
          </w:p>
        </w:tc>
        <w:tc>
          <w:tcPr>
            <w:tcW w:w="777" w:type="dxa"/>
            <w:noWrap w:val="0"/>
            <w:vAlign w:val="top"/>
          </w:tcPr>
          <w:p w14:paraId="3FF7C5C1">
            <w:pPr>
              <w:rPr>
                <w:rFonts w:hint="eastAsia" w:ascii="宋体" w:hAnsi="宋体" w:cs="宋体"/>
                <w:bCs/>
                <w:kern w:val="0"/>
                <w:highlight w:val="none"/>
              </w:rPr>
            </w:pPr>
          </w:p>
        </w:tc>
        <w:tc>
          <w:tcPr>
            <w:tcW w:w="762" w:type="dxa"/>
            <w:noWrap w:val="0"/>
            <w:vAlign w:val="top"/>
          </w:tcPr>
          <w:p w14:paraId="079FDB6C">
            <w:pPr>
              <w:rPr>
                <w:rFonts w:hint="eastAsia" w:ascii="宋体" w:hAnsi="宋体" w:cs="宋体"/>
                <w:bCs/>
                <w:kern w:val="0"/>
                <w:highlight w:val="none"/>
              </w:rPr>
            </w:pPr>
          </w:p>
        </w:tc>
      </w:tr>
      <w:tr w14:paraId="6A28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18ED6CB7">
            <w:pPr>
              <w:rPr>
                <w:rFonts w:hint="eastAsia" w:ascii="宋体" w:hAnsi="宋体" w:cs="宋体"/>
                <w:bCs/>
                <w:kern w:val="0"/>
                <w:highlight w:val="none"/>
              </w:rPr>
            </w:pPr>
          </w:p>
        </w:tc>
        <w:tc>
          <w:tcPr>
            <w:tcW w:w="748" w:type="dxa"/>
            <w:noWrap w:val="0"/>
            <w:vAlign w:val="top"/>
          </w:tcPr>
          <w:p w14:paraId="6DB74792">
            <w:pPr>
              <w:rPr>
                <w:rFonts w:hint="eastAsia" w:ascii="宋体" w:hAnsi="宋体" w:cs="宋体"/>
                <w:bCs/>
                <w:kern w:val="0"/>
                <w:highlight w:val="none"/>
              </w:rPr>
            </w:pPr>
          </w:p>
        </w:tc>
        <w:tc>
          <w:tcPr>
            <w:tcW w:w="619" w:type="dxa"/>
            <w:noWrap w:val="0"/>
            <w:vAlign w:val="top"/>
          </w:tcPr>
          <w:p w14:paraId="6E74C2A4">
            <w:pPr>
              <w:rPr>
                <w:rFonts w:hint="eastAsia" w:ascii="宋体" w:hAnsi="宋体" w:cs="宋体"/>
                <w:bCs/>
                <w:kern w:val="0"/>
                <w:highlight w:val="none"/>
              </w:rPr>
            </w:pPr>
          </w:p>
        </w:tc>
        <w:tc>
          <w:tcPr>
            <w:tcW w:w="748" w:type="dxa"/>
            <w:noWrap w:val="0"/>
            <w:vAlign w:val="top"/>
          </w:tcPr>
          <w:p w14:paraId="6CB86EA5">
            <w:pPr>
              <w:rPr>
                <w:rFonts w:hint="eastAsia" w:ascii="宋体" w:hAnsi="宋体" w:cs="宋体"/>
                <w:bCs/>
                <w:kern w:val="0"/>
                <w:highlight w:val="none"/>
              </w:rPr>
            </w:pPr>
          </w:p>
        </w:tc>
        <w:tc>
          <w:tcPr>
            <w:tcW w:w="1190" w:type="dxa"/>
            <w:noWrap w:val="0"/>
            <w:vAlign w:val="top"/>
          </w:tcPr>
          <w:p w14:paraId="7608C975">
            <w:pPr>
              <w:rPr>
                <w:rFonts w:hint="eastAsia" w:ascii="宋体" w:hAnsi="宋体" w:cs="宋体"/>
                <w:bCs/>
                <w:kern w:val="0"/>
                <w:highlight w:val="none"/>
              </w:rPr>
            </w:pPr>
          </w:p>
        </w:tc>
        <w:tc>
          <w:tcPr>
            <w:tcW w:w="769" w:type="dxa"/>
            <w:noWrap w:val="0"/>
            <w:vAlign w:val="top"/>
          </w:tcPr>
          <w:p w14:paraId="22D5DB27">
            <w:pPr>
              <w:rPr>
                <w:rFonts w:hint="eastAsia" w:ascii="宋体" w:hAnsi="宋体" w:cs="宋体"/>
                <w:bCs/>
                <w:kern w:val="0"/>
                <w:highlight w:val="none"/>
              </w:rPr>
            </w:pPr>
          </w:p>
        </w:tc>
        <w:tc>
          <w:tcPr>
            <w:tcW w:w="770" w:type="dxa"/>
            <w:noWrap w:val="0"/>
            <w:vAlign w:val="top"/>
          </w:tcPr>
          <w:p w14:paraId="142026BD">
            <w:pPr>
              <w:rPr>
                <w:rFonts w:hint="eastAsia" w:ascii="宋体" w:hAnsi="宋体" w:cs="宋体"/>
                <w:bCs/>
                <w:kern w:val="0"/>
                <w:highlight w:val="none"/>
              </w:rPr>
            </w:pPr>
          </w:p>
        </w:tc>
        <w:tc>
          <w:tcPr>
            <w:tcW w:w="713" w:type="dxa"/>
            <w:noWrap w:val="0"/>
            <w:vAlign w:val="top"/>
          </w:tcPr>
          <w:p w14:paraId="6087BF8F">
            <w:pPr>
              <w:rPr>
                <w:rFonts w:hint="eastAsia" w:ascii="宋体" w:hAnsi="宋体" w:cs="宋体"/>
                <w:bCs/>
                <w:kern w:val="0"/>
                <w:highlight w:val="none"/>
              </w:rPr>
            </w:pPr>
          </w:p>
        </w:tc>
        <w:tc>
          <w:tcPr>
            <w:tcW w:w="826" w:type="dxa"/>
            <w:noWrap w:val="0"/>
            <w:vAlign w:val="top"/>
          </w:tcPr>
          <w:p w14:paraId="6EDE06C9">
            <w:pPr>
              <w:rPr>
                <w:rFonts w:hint="eastAsia" w:ascii="宋体" w:hAnsi="宋体" w:cs="宋体"/>
                <w:bCs/>
                <w:kern w:val="0"/>
                <w:highlight w:val="none"/>
              </w:rPr>
            </w:pPr>
          </w:p>
        </w:tc>
        <w:tc>
          <w:tcPr>
            <w:tcW w:w="770" w:type="dxa"/>
            <w:noWrap w:val="0"/>
            <w:vAlign w:val="top"/>
          </w:tcPr>
          <w:p w14:paraId="4BDBB12B">
            <w:pPr>
              <w:rPr>
                <w:rFonts w:hint="eastAsia" w:ascii="宋体" w:hAnsi="宋体" w:cs="宋体"/>
                <w:bCs/>
                <w:kern w:val="0"/>
                <w:highlight w:val="none"/>
              </w:rPr>
            </w:pPr>
          </w:p>
        </w:tc>
        <w:tc>
          <w:tcPr>
            <w:tcW w:w="777" w:type="dxa"/>
            <w:noWrap w:val="0"/>
            <w:vAlign w:val="top"/>
          </w:tcPr>
          <w:p w14:paraId="10E705E8">
            <w:pPr>
              <w:rPr>
                <w:rFonts w:hint="eastAsia" w:ascii="宋体" w:hAnsi="宋体" w:cs="宋体"/>
                <w:bCs/>
                <w:kern w:val="0"/>
                <w:highlight w:val="none"/>
              </w:rPr>
            </w:pPr>
          </w:p>
        </w:tc>
        <w:tc>
          <w:tcPr>
            <w:tcW w:w="762" w:type="dxa"/>
            <w:noWrap w:val="0"/>
            <w:vAlign w:val="top"/>
          </w:tcPr>
          <w:p w14:paraId="0A27BE59">
            <w:pPr>
              <w:rPr>
                <w:rFonts w:hint="eastAsia" w:ascii="宋体" w:hAnsi="宋体" w:cs="宋体"/>
                <w:bCs/>
                <w:kern w:val="0"/>
                <w:highlight w:val="none"/>
              </w:rPr>
            </w:pPr>
          </w:p>
        </w:tc>
      </w:tr>
      <w:tr w14:paraId="33E5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39E6CD0A">
            <w:pPr>
              <w:rPr>
                <w:rFonts w:hint="eastAsia" w:ascii="宋体" w:hAnsi="宋体" w:cs="宋体"/>
                <w:bCs/>
                <w:kern w:val="0"/>
                <w:highlight w:val="none"/>
              </w:rPr>
            </w:pPr>
          </w:p>
        </w:tc>
        <w:tc>
          <w:tcPr>
            <w:tcW w:w="748" w:type="dxa"/>
            <w:noWrap w:val="0"/>
            <w:vAlign w:val="top"/>
          </w:tcPr>
          <w:p w14:paraId="2B9C8D11">
            <w:pPr>
              <w:rPr>
                <w:rFonts w:hint="eastAsia" w:ascii="宋体" w:hAnsi="宋体" w:cs="宋体"/>
                <w:bCs/>
                <w:kern w:val="0"/>
                <w:highlight w:val="none"/>
              </w:rPr>
            </w:pPr>
          </w:p>
        </w:tc>
        <w:tc>
          <w:tcPr>
            <w:tcW w:w="619" w:type="dxa"/>
            <w:noWrap w:val="0"/>
            <w:vAlign w:val="top"/>
          </w:tcPr>
          <w:p w14:paraId="2BED2DE4">
            <w:pPr>
              <w:rPr>
                <w:rFonts w:hint="eastAsia" w:ascii="宋体" w:hAnsi="宋体" w:cs="宋体"/>
                <w:bCs/>
                <w:kern w:val="0"/>
                <w:highlight w:val="none"/>
              </w:rPr>
            </w:pPr>
          </w:p>
        </w:tc>
        <w:tc>
          <w:tcPr>
            <w:tcW w:w="748" w:type="dxa"/>
            <w:noWrap w:val="0"/>
            <w:vAlign w:val="top"/>
          </w:tcPr>
          <w:p w14:paraId="2AC46D9C">
            <w:pPr>
              <w:rPr>
                <w:rFonts w:hint="eastAsia" w:ascii="宋体" w:hAnsi="宋体" w:cs="宋体"/>
                <w:bCs/>
                <w:kern w:val="0"/>
                <w:highlight w:val="none"/>
              </w:rPr>
            </w:pPr>
          </w:p>
        </w:tc>
        <w:tc>
          <w:tcPr>
            <w:tcW w:w="1190" w:type="dxa"/>
            <w:noWrap w:val="0"/>
            <w:vAlign w:val="top"/>
          </w:tcPr>
          <w:p w14:paraId="2268335E">
            <w:pPr>
              <w:rPr>
                <w:rFonts w:hint="eastAsia" w:ascii="宋体" w:hAnsi="宋体" w:cs="宋体"/>
                <w:bCs/>
                <w:kern w:val="0"/>
                <w:highlight w:val="none"/>
              </w:rPr>
            </w:pPr>
          </w:p>
        </w:tc>
        <w:tc>
          <w:tcPr>
            <w:tcW w:w="769" w:type="dxa"/>
            <w:noWrap w:val="0"/>
            <w:vAlign w:val="top"/>
          </w:tcPr>
          <w:p w14:paraId="19EC0B8C">
            <w:pPr>
              <w:rPr>
                <w:rFonts w:hint="eastAsia" w:ascii="宋体" w:hAnsi="宋体" w:cs="宋体"/>
                <w:bCs/>
                <w:kern w:val="0"/>
                <w:highlight w:val="none"/>
              </w:rPr>
            </w:pPr>
          </w:p>
        </w:tc>
        <w:tc>
          <w:tcPr>
            <w:tcW w:w="770" w:type="dxa"/>
            <w:noWrap w:val="0"/>
            <w:vAlign w:val="top"/>
          </w:tcPr>
          <w:p w14:paraId="38DC53E0">
            <w:pPr>
              <w:rPr>
                <w:rFonts w:hint="eastAsia" w:ascii="宋体" w:hAnsi="宋体" w:cs="宋体"/>
                <w:bCs/>
                <w:kern w:val="0"/>
                <w:highlight w:val="none"/>
              </w:rPr>
            </w:pPr>
          </w:p>
        </w:tc>
        <w:tc>
          <w:tcPr>
            <w:tcW w:w="713" w:type="dxa"/>
            <w:noWrap w:val="0"/>
            <w:vAlign w:val="top"/>
          </w:tcPr>
          <w:p w14:paraId="1FBCB33E">
            <w:pPr>
              <w:rPr>
                <w:rFonts w:hint="eastAsia" w:ascii="宋体" w:hAnsi="宋体" w:cs="宋体"/>
                <w:bCs/>
                <w:kern w:val="0"/>
                <w:highlight w:val="none"/>
              </w:rPr>
            </w:pPr>
          </w:p>
        </w:tc>
        <w:tc>
          <w:tcPr>
            <w:tcW w:w="826" w:type="dxa"/>
            <w:noWrap w:val="0"/>
            <w:vAlign w:val="top"/>
          </w:tcPr>
          <w:p w14:paraId="25808429">
            <w:pPr>
              <w:rPr>
                <w:rFonts w:hint="eastAsia" w:ascii="宋体" w:hAnsi="宋体" w:cs="宋体"/>
                <w:bCs/>
                <w:kern w:val="0"/>
                <w:highlight w:val="none"/>
              </w:rPr>
            </w:pPr>
          </w:p>
        </w:tc>
        <w:tc>
          <w:tcPr>
            <w:tcW w:w="770" w:type="dxa"/>
            <w:noWrap w:val="0"/>
            <w:vAlign w:val="top"/>
          </w:tcPr>
          <w:p w14:paraId="3DA1A83E">
            <w:pPr>
              <w:rPr>
                <w:rFonts w:hint="eastAsia" w:ascii="宋体" w:hAnsi="宋体" w:cs="宋体"/>
                <w:bCs/>
                <w:kern w:val="0"/>
                <w:highlight w:val="none"/>
              </w:rPr>
            </w:pPr>
          </w:p>
        </w:tc>
        <w:tc>
          <w:tcPr>
            <w:tcW w:w="777" w:type="dxa"/>
            <w:noWrap w:val="0"/>
            <w:vAlign w:val="top"/>
          </w:tcPr>
          <w:p w14:paraId="798BD98D">
            <w:pPr>
              <w:rPr>
                <w:rFonts w:hint="eastAsia" w:ascii="宋体" w:hAnsi="宋体" w:cs="宋体"/>
                <w:bCs/>
                <w:kern w:val="0"/>
                <w:highlight w:val="none"/>
              </w:rPr>
            </w:pPr>
          </w:p>
        </w:tc>
        <w:tc>
          <w:tcPr>
            <w:tcW w:w="762" w:type="dxa"/>
            <w:noWrap w:val="0"/>
            <w:vAlign w:val="top"/>
          </w:tcPr>
          <w:p w14:paraId="1DC234C6">
            <w:pPr>
              <w:rPr>
                <w:rFonts w:hint="eastAsia" w:ascii="宋体" w:hAnsi="宋体" w:cs="宋体"/>
                <w:bCs/>
                <w:kern w:val="0"/>
                <w:highlight w:val="none"/>
              </w:rPr>
            </w:pPr>
          </w:p>
        </w:tc>
      </w:tr>
      <w:tr w14:paraId="38AD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5C00A6B4">
            <w:pPr>
              <w:rPr>
                <w:rFonts w:hint="eastAsia" w:ascii="宋体" w:hAnsi="宋体" w:cs="宋体"/>
                <w:bCs/>
                <w:kern w:val="0"/>
                <w:highlight w:val="none"/>
              </w:rPr>
            </w:pPr>
          </w:p>
        </w:tc>
        <w:tc>
          <w:tcPr>
            <w:tcW w:w="748" w:type="dxa"/>
            <w:noWrap w:val="0"/>
            <w:vAlign w:val="top"/>
          </w:tcPr>
          <w:p w14:paraId="4667AEDD">
            <w:pPr>
              <w:rPr>
                <w:rFonts w:hint="eastAsia" w:ascii="宋体" w:hAnsi="宋体" w:cs="宋体"/>
                <w:bCs/>
                <w:kern w:val="0"/>
                <w:highlight w:val="none"/>
              </w:rPr>
            </w:pPr>
          </w:p>
        </w:tc>
        <w:tc>
          <w:tcPr>
            <w:tcW w:w="619" w:type="dxa"/>
            <w:noWrap w:val="0"/>
            <w:vAlign w:val="top"/>
          </w:tcPr>
          <w:p w14:paraId="2B3BCC0B">
            <w:pPr>
              <w:rPr>
                <w:rFonts w:hint="eastAsia" w:ascii="宋体" w:hAnsi="宋体" w:cs="宋体"/>
                <w:bCs/>
                <w:kern w:val="0"/>
                <w:highlight w:val="none"/>
              </w:rPr>
            </w:pPr>
          </w:p>
        </w:tc>
        <w:tc>
          <w:tcPr>
            <w:tcW w:w="748" w:type="dxa"/>
            <w:noWrap w:val="0"/>
            <w:vAlign w:val="top"/>
          </w:tcPr>
          <w:p w14:paraId="238DF714">
            <w:pPr>
              <w:rPr>
                <w:rFonts w:hint="eastAsia" w:ascii="宋体" w:hAnsi="宋体" w:cs="宋体"/>
                <w:bCs/>
                <w:kern w:val="0"/>
                <w:highlight w:val="none"/>
              </w:rPr>
            </w:pPr>
          </w:p>
        </w:tc>
        <w:tc>
          <w:tcPr>
            <w:tcW w:w="1190" w:type="dxa"/>
            <w:noWrap w:val="0"/>
            <w:vAlign w:val="top"/>
          </w:tcPr>
          <w:p w14:paraId="43F84E86">
            <w:pPr>
              <w:rPr>
                <w:rFonts w:hint="eastAsia" w:ascii="宋体" w:hAnsi="宋体" w:cs="宋体"/>
                <w:bCs/>
                <w:kern w:val="0"/>
                <w:highlight w:val="none"/>
              </w:rPr>
            </w:pPr>
          </w:p>
        </w:tc>
        <w:tc>
          <w:tcPr>
            <w:tcW w:w="769" w:type="dxa"/>
            <w:noWrap w:val="0"/>
            <w:vAlign w:val="top"/>
          </w:tcPr>
          <w:p w14:paraId="7F3C718F">
            <w:pPr>
              <w:rPr>
                <w:rFonts w:hint="eastAsia" w:ascii="宋体" w:hAnsi="宋体" w:cs="宋体"/>
                <w:bCs/>
                <w:kern w:val="0"/>
                <w:highlight w:val="none"/>
              </w:rPr>
            </w:pPr>
          </w:p>
        </w:tc>
        <w:tc>
          <w:tcPr>
            <w:tcW w:w="770" w:type="dxa"/>
            <w:noWrap w:val="0"/>
            <w:vAlign w:val="top"/>
          </w:tcPr>
          <w:p w14:paraId="212428ED">
            <w:pPr>
              <w:rPr>
                <w:rFonts w:hint="eastAsia" w:ascii="宋体" w:hAnsi="宋体" w:cs="宋体"/>
                <w:bCs/>
                <w:kern w:val="0"/>
                <w:highlight w:val="none"/>
              </w:rPr>
            </w:pPr>
          </w:p>
        </w:tc>
        <w:tc>
          <w:tcPr>
            <w:tcW w:w="713" w:type="dxa"/>
            <w:noWrap w:val="0"/>
            <w:vAlign w:val="top"/>
          </w:tcPr>
          <w:p w14:paraId="415F957B">
            <w:pPr>
              <w:rPr>
                <w:rFonts w:hint="eastAsia" w:ascii="宋体" w:hAnsi="宋体" w:cs="宋体"/>
                <w:bCs/>
                <w:kern w:val="0"/>
                <w:highlight w:val="none"/>
              </w:rPr>
            </w:pPr>
          </w:p>
        </w:tc>
        <w:tc>
          <w:tcPr>
            <w:tcW w:w="826" w:type="dxa"/>
            <w:noWrap w:val="0"/>
            <w:vAlign w:val="top"/>
          </w:tcPr>
          <w:p w14:paraId="62C3465A">
            <w:pPr>
              <w:rPr>
                <w:rFonts w:hint="eastAsia" w:ascii="宋体" w:hAnsi="宋体" w:cs="宋体"/>
                <w:bCs/>
                <w:kern w:val="0"/>
                <w:highlight w:val="none"/>
              </w:rPr>
            </w:pPr>
          </w:p>
        </w:tc>
        <w:tc>
          <w:tcPr>
            <w:tcW w:w="770" w:type="dxa"/>
            <w:noWrap w:val="0"/>
            <w:vAlign w:val="top"/>
          </w:tcPr>
          <w:p w14:paraId="5258EA64">
            <w:pPr>
              <w:rPr>
                <w:rFonts w:hint="eastAsia" w:ascii="宋体" w:hAnsi="宋体" w:cs="宋体"/>
                <w:bCs/>
                <w:kern w:val="0"/>
                <w:highlight w:val="none"/>
              </w:rPr>
            </w:pPr>
          </w:p>
        </w:tc>
        <w:tc>
          <w:tcPr>
            <w:tcW w:w="777" w:type="dxa"/>
            <w:noWrap w:val="0"/>
            <w:vAlign w:val="top"/>
          </w:tcPr>
          <w:p w14:paraId="55499DEC">
            <w:pPr>
              <w:rPr>
                <w:rFonts w:hint="eastAsia" w:ascii="宋体" w:hAnsi="宋体" w:cs="宋体"/>
                <w:bCs/>
                <w:kern w:val="0"/>
                <w:highlight w:val="none"/>
              </w:rPr>
            </w:pPr>
          </w:p>
        </w:tc>
        <w:tc>
          <w:tcPr>
            <w:tcW w:w="762" w:type="dxa"/>
            <w:noWrap w:val="0"/>
            <w:vAlign w:val="top"/>
          </w:tcPr>
          <w:p w14:paraId="364A2551">
            <w:pPr>
              <w:rPr>
                <w:rFonts w:hint="eastAsia" w:ascii="宋体" w:hAnsi="宋体" w:cs="宋体"/>
                <w:bCs/>
                <w:kern w:val="0"/>
                <w:highlight w:val="none"/>
              </w:rPr>
            </w:pPr>
          </w:p>
        </w:tc>
      </w:tr>
      <w:tr w14:paraId="2538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47BC02C1">
            <w:pPr>
              <w:rPr>
                <w:rFonts w:hint="eastAsia" w:ascii="宋体" w:hAnsi="宋体" w:cs="宋体"/>
                <w:bCs/>
                <w:kern w:val="0"/>
                <w:highlight w:val="none"/>
              </w:rPr>
            </w:pPr>
          </w:p>
        </w:tc>
        <w:tc>
          <w:tcPr>
            <w:tcW w:w="748" w:type="dxa"/>
            <w:noWrap w:val="0"/>
            <w:vAlign w:val="top"/>
          </w:tcPr>
          <w:p w14:paraId="67E526CD">
            <w:pPr>
              <w:rPr>
                <w:rFonts w:hint="eastAsia" w:ascii="宋体" w:hAnsi="宋体" w:cs="宋体"/>
                <w:bCs/>
                <w:kern w:val="0"/>
                <w:highlight w:val="none"/>
              </w:rPr>
            </w:pPr>
          </w:p>
        </w:tc>
        <w:tc>
          <w:tcPr>
            <w:tcW w:w="619" w:type="dxa"/>
            <w:noWrap w:val="0"/>
            <w:vAlign w:val="top"/>
          </w:tcPr>
          <w:p w14:paraId="60F6A871">
            <w:pPr>
              <w:rPr>
                <w:rFonts w:hint="eastAsia" w:ascii="宋体" w:hAnsi="宋体" w:cs="宋体"/>
                <w:bCs/>
                <w:kern w:val="0"/>
                <w:highlight w:val="none"/>
              </w:rPr>
            </w:pPr>
          </w:p>
        </w:tc>
        <w:tc>
          <w:tcPr>
            <w:tcW w:w="748" w:type="dxa"/>
            <w:noWrap w:val="0"/>
            <w:vAlign w:val="top"/>
          </w:tcPr>
          <w:p w14:paraId="6F1FAF5B">
            <w:pPr>
              <w:rPr>
                <w:rFonts w:hint="eastAsia" w:ascii="宋体" w:hAnsi="宋体" w:cs="宋体"/>
                <w:bCs/>
                <w:kern w:val="0"/>
                <w:highlight w:val="none"/>
              </w:rPr>
            </w:pPr>
          </w:p>
        </w:tc>
        <w:tc>
          <w:tcPr>
            <w:tcW w:w="1190" w:type="dxa"/>
            <w:noWrap w:val="0"/>
            <w:vAlign w:val="top"/>
          </w:tcPr>
          <w:p w14:paraId="7238370B">
            <w:pPr>
              <w:rPr>
                <w:rFonts w:hint="eastAsia" w:ascii="宋体" w:hAnsi="宋体" w:cs="宋体"/>
                <w:bCs/>
                <w:kern w:val="0"/>
                <w:highlight w:val="none"/>
              </w:rPr>
            </w:pPr>
          </w:p>
        </w:tc>
        <w:tc>
          <w:tcPr>
            <w:tcW w:w="769" w:type="dxa"/>
            <w:noWrap w:val="0"/>
            <w:vAlign w:val="top"/>
          </w:tcPr>
          <w:p w14:paraId="7A62F708">
            <w:pPr>
              <w:rPr>
                <w:rFonts w:hint="eastAsia" w:ascii="宋体" w:hAnsi="宋体" w:cs="宋体"/>
                <w:bCs/>
                <w:kern w:val="0"/>
                <w:highlight w:val="none"/>
              </w:rPr>
            </w:pPr>
          </w:p>
        </w:tc>
        <w:tc>
          <w:tcPr>
            <w:tcW w:w="770" w:type="dxa"/>
            <w:noWrap w:val="0"/>
            <w:vAlign w:val="top"/>
          </w:tcPr>
          <w:p w14:paraId="3BCD9375">
            <w:pPr>
              <w:rPr>
                <w:rFonts w:hint="eastAsia" w:ascii="宋体" w:hAnsi="宋体" w:cs="宋体"/>
                <w:bCs/>
                <w:kern w:val="0"/>
                <w:highlight w:val="none"/>
              </w:rPr>
            </w:pPr>
          </w:p>
        </w:tc>
        <w:tc>
          <w:tcPr>
            <w:tcW w:w="713" w:type="dxa"/>
            <w:noWrap w:val="0"/>
            <w:vAlign w:val="top"/>
          </w:tcPr>
          <w:p w14:paraId="14B65A49">
            <w:pPr>
              <w:rPr>
                <w:rFonts w:hint="eastAsia" w:ascii="宋体" w:hAnsi="宋体" w:cs="宋体"/>
                <w:bCs/>
                <w:kern w:val="0"/>
                <w:highlight w:val="none"/>
              </w:rPr>
            </w:pPr>
          </w:p>
        </w:tc>
        <w:tc>
          <w:tcPr>
            <w:tcW w:w="826" w:type="dxa"/>
            <w:noWrap w:val="0"/>
            <w:vAlign w:val="top"/>
          </w:tcPr>
          <w:p w14:paraId="7E0F4487">
            <w:pPr>
              <w:rPr>
                <w:rFonts w:hint="eastAsia" w:ascii="宋体" w:hAnsi="宋体" w:cs="宋体"/>
                <w:bCs/>
                <w:kern w:val="0"/>
                <w:highlight w:val="none"/>
              </w:rPr>
            </w:pPr>
          </w:p>
        </w:tc>
        <w:tc>
          <w:tcPr>
            <w:tcW w:w="770" w:type="dxa"/>
            <w:noWrap w:val="0"/>
            <w:vAlign w:val="top"/>
          </w:tcPr>
          <w:p w14:paraId="5BAF0B47">
            <w:pPr>
              <w:rPr>
                <w:rFonts w:hint="eastAsia" w:ascii="宋体" w:hAnsi="宋体" w:cs="宋体"/>
                <w:bCs/>
                <w:kern w:val="0"/>
                <w:highlight w:val="none"/>
              </w:rPr>
            </w:pPr>
          </w:p>
        </w:tc>
        <w:tc>
          <w:tcPr>
            <w:tcW w:w="777" w:type="dxa"/>
            <w:noWrap w:val="0"/>
            <w:vAlign w:val="top"/>
          </w:tcPr>
          <w:p w14:paraId="0E6068B0">
            <w:pPr>
              <w:rPr>
                <w:rFonts w:hint="eastAsia" w:ascii="宋体" w:hAnsi="宋体" w:cs="宋体"/>
                <w:bCs/>
                <w:kern w:val="0"/>
                <w:highlight w:val="none"/>
              </w:rPr>
            </w:pPr>
          </w:p>
        </w:tc>
        <w:tc>
          <w:tcPr>
            <w:tcW w:w="762" w:type="dxa"/>
            <w:noWrap w:val="0"/>
            <w:vAlign w:val="top"/>
          </w:tcPr>
          <w:p w14:paraId="71A522DC">
            <w:pPr>
              <w:rPr>
                <w:rFonts w:hint="eastAsia" w:ascii="宋体" w:hAnsi="宋体" w:cs="宋体"/>
                <w:bCs/>
                <w:kern w:val="0"/>
                <w:highlight w:val="none"/>
              </w:rPr>
            </w:pPr>
          </w:p>
        </w:tc>
      </w:tr>
      <w:tr w14:paraId="568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1B4E6FB3">
            <w:pPr>
              <w:rPr>
                <w:rFonts w:hint="eastAsia" w:ascii="宋体" w:hAnsi="宋体" w:cs="宋体"/>
                <w:bCs/>
                <w:kern w:val="0"/>
                <w:highlight w:val="none"/>
              </w:rPr>
            </w:pPr>
          </w:p>
        </w:tc>
        <w:tc>
          <w:tcPr>
            <w:tcW w:w="748" w:type="dxa"/>
            <w:noWrap w:val="0"/>
            <w:vAlign w:val="top"/>
          </w:tcPr>
          <w:p w14:paraId="2F5DE5D2">
            <w:pPr>
              <w:rPr>
                <w:rFonts w:hint="eastAsia" w:ascii="宋体" w:hAnsi="宋体" w:cs="宋体"/>
                <w:bCs/>
                <w:kern w:val="0"/>
                <w:highlight w:val="none"/>
              </w:rPr>
            </w:pPr>
          </w:p>
        </w:tc>
        <w:tc>
          <w:tcPr>
            <w:tcW w:w="619" w:type="dxa"/>
            <w:noWrap w:val="0"/>
            <w:vAlign w:val="top"/>
          </w:tcPr>
          <w:p w14:paraId="7DB40B2B">
            <w:pPr>
              <w:rPr>
                <w:rFonts w:hint="eastAsia" w:ascii="宋体" w:hAnsi="宋体" w:cs="宋体"/>
                <w:bCs/>
                <w:kern w:val="0"/>
                <w:highlight w:val="none"/>
              </w:rPr>
            </w:pPr>
          </w:p>
        </w:tc>
        <w:tc>
          <w:tcPr>
            <w:tcW w:w="748" w:type="dxa"/>
            <w:noWrap w:val="0"/>
            <w:vAlign w:val="top"/>
          </w:tcPr>
          <w:p w14:paraId="4D2836D0">
            <w:pPr>
              <w:rPr>
                <w:rFonts w:hint="eastAsia" w:ascii="宋体" w:hAnsi="宋体" w:cs="宋体"/>
                <w:bCs/>
                <w:kern w:val="0"/>
                <w:highlight w:val="none"/>
              </w:rPr>
            </w:pPr>
          </w:p>
        </w:tc>
        <w:tc>
          <w:tcPr>
            <w:tcW w:w="1190" w:type="dxa"/>
            <w:noWrap w:val="0"/>
            <w:vAlign w:val="top"/>
          </w:tcPr>
          <w:p w14:paraId="1C5DA053">
            <w:pPr>
              <w:rPr>
                <w:rFonts w:hint="eastAsia" w:ascii="宋体" w:hAnsi="宋体" w:cs="宋体"/>
                <w:bCs/>
                <w:kern w:val="0"/>
                <w:highlight w:val="none"/>
              </w:rPr>
            </w:pPr>
          </w:p>
        </w:tc>
        <w:tc>
          <w:tcPr>
            <w:tcW w:w="769" w:type="dxa"/>
            <w:noWrap w:val="0"/>
            <w:vAlign w:val="top"/>
          </w:tcPr>
          <w:p w14:paraId="131C17C9">
            <w:pPr>
              <w:rPr>
                <w:rFonts w:hint="eastAsia" w:ascii="宋体" w:hAnsi="宋体" w:cs="宋体"/>
                <w:bCs/>
                <w:kern w:val="0"/>
                <w:highlight w:val="none"/>
              </w:rPr>
            </w:pPr>
          </w:p>
        </w:tc>
        <w:tc>
          <w:tcPr>
            <w:tcW w:w="770" w:type="dxa"/>
            <w:noWrap w:val="0"/>
            <w:vAlign w:val="top"/>
          </w:tcPr>
          <w:p w14:paraId="26DD0339">
            <w:pPr>
              <w:rPr>
                <w:rFonts w:hint="eastAsia" w:ascii="宋体" w:hAnsi="宋体" w:cs="宋体"/>
                <w:bCs/>
                <w:kern w:val="0"/>
                <w:highlight w:val="none"/>
              </w:rPr>
            </w:pPr>
          </w:p>
        </w:tc>
        <w:tc>
          <w:tcPr>
            <w:tcW w:w="713" w:type="dxa"/>
            <w:noWrap w:val="0"/>
            <w:vAlign w:val="top"/>
          </w:tcPr>
          <w:p w14:paraId="1B8BE27E">
            <w:pPr>
              <w:rPr>
                <w:rFonts w:hint="eastAsia" w:ascii="宋体" w:hAnsi="宋体" w:cs="宋体"/>
                <w:bCs/>
                <w:kern w:val="0"/>
                <w:highlight w:val="none"/>
              </w:rPr>
            </w:pPr>
          </w:p>
        </w:tc>
        <w:tc>
          <w:tcPr>
            <w:tcW w:w="826" w:type="dxa"/>
            <w:noWrap w:val="0"/>
            <w:vAlign w:val="top"/>
          </w:tcPr>
          <w:p w14:paraId="7A46FFC1">
            <w:pPr>
              <w:rPr>
                <w:rFonts w:hint="eastAsia" w:ascii="宋体" w:hAnsi="宋体" w:cs="宋体"/>
                <w:bCs/>
                <w:kern w:val="0"/>
                <w:highlight w:val="none"/>
              </w:rPr>
            </w:pPr>
          </w:p>
        </w:tc>
        <w:tc>
          <w:tcPr>
            <w:tcW w:w="770" w:type="dxa"/>
            <w:noWrap w:val="0"/>
            <w:vAlign w:val="top"/>
          </w:tcPr>
          <w:p w14:paraId="2D64CCC3">
            <w:pPr>
              <w:rPr>
                <w:rFonts w:hint="eastAsia" w:ascii="宋体" w:hAnsi="宋体" w:cs="宋体"/>
                <w:bCs/>
                <w:kern w:val="0"/>
                <w:highlight w:val="none"/>
              </w:rPr>
            </w:pPr>
          </w:p>
        </w:tc>
        <w:tc>
          <w:tcPr>
            <w:tcW w:w="777" w:type="dxa"/>
            <w:noWrap w:val="0"/>
            <w:vAlign w:val="top"/>
          </w:tcPr>
          <w:p w14:paraId="5C5E2BB6">
            <w:pPr>
              <w:rPr>
                <w:rFonts w:hint="eastAsia" w:ascii="宋体" w:hAnsi="宋体" w:cs="宋体"/>
                <w:bCs/>
                <w:kern w:val="0"/>
                <w:highlight w:val="none"/>
              </w:rPr>
            </w:pPr>
          </w:p>
        </w:tc>
        <w:tc>
          <w:tcPr>
            <w:tcW w:w="762" w:type="dxa"/>
            <w:noWrap w:val="0"/>
            <w:vAlign w:val="top"/>
          </w:tcPr>
          <w:p w14:paraId="5E85E83B">
            <w:pPr>
              <w:rPr>
                <w:rFonts w:hint="eastAsia" w:ascii="宋体" w:hAnsi="宋体" w:cs="宋体"/>
                <w:bCs/>
                <w:kern w:val="0"/>
                <w:highlight w:val="none"/>
              </w:rPr>
            </w:pPr>
          </w:p>
        </w:tc>
      </w:tr>
      <w:tr w14:paraId="62B4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7" w:type="dxa"/>
            <w:noWrap w:val="0"/>
            <w:vAlign w:val="top"/>
          </w:tcPr>
          <w:p w14:paraId="119AEF0B">
            <w:pPr>
              <w:rPr>
                <w:rFonts w:hint="eastAsia" w:ascii="宋体" w:hAnsi="宋体" w:cs="宋体"/>
                <w:bCs/>
                <w:kern w:val="0"/>
                <w:highlight w:val="none"/>
              </w:rPr>
            </w:pPr>
          </w:p>
        </w:tc>
        <w:tc>
          <w:tcPr>
            <w:tcW w:w="748" w:type="dxa"/>
            <w:noWrap w:val="0"/>
            <w:vAlign w:val="top"/>
          </w:tcPr>
          <w:p w14:paraId="555436F9">
            <w:pPr>
              <w:rPr>
                <w:rFonts w:hint="eastAsia" w:ascii="宋体" w:hAnsi="宋体" w:cs="宋体"/>
                <w:bCs/>
                <w:kern w:val="0"/>
                <w:highlight w:val="none"/>
              </w:rPr>
            </w:pPr>
          </w:p>
        </w:tc>
        <w:tc>
          <w:tcPr>
            <w:tcW w:w="619" w:type="dxa"/>
            <w:noWrap w:val="0"/>
            <w:vAlign w:val="top"/>
          </w:tcPr>
          <w:p w14:paraId="71417563">
            <w:pPr>
              <w:rPr>
                <w:rFonts w:hint="eastAsia" w:ascii="宋体" w:hAnsi="宋体" w:cs="宋体"/>
                <w:bCs/>
                <w:kern w:val="0"/>
                <w:highlight w:val="none"/>
              </w:rPr>
            </w:pPr>
          </w:p>
        </w:tc>
        <w:tc>
          <w:tcPr>
            <w:tcW w:w="748" w:type="dxa"/>
            <w:noWrap w:val="0"/>
            <w:vAlign w:val="top"/>
          </w:tcPr>
          <w:p w14:paraId="4EADD6F6">
            <w:pPr>
              <w:rPr>
                <w:rFonts w:hint="eastAsia" w:ascii="宋体" w:hAnsi="宋体" w:cs="宋体"/>
                <w:bCs/>
                <w:kern w:val="0"/>
                <w:highlight w:val="none"/>
              </w:rPr>
            </w:pPr>
          </w:p>
        </w:tc>
        <w:tc>
          <w:tcPr>
            <w:tcW w:w="1190" w:type="dxa"/>
            <w:noWrap w:val="0"/>
            <w:vAlign w:val="top"/>
          </w:tcPr>
          <w:p w14:paraId="337B8031">
            <w:pPr>
              <w:rPr>
                <w:rFonts w:hint="eastAsia" w:ascii="宋体" w:hAnsi="宋体" w:cs="宋体"/>
                <w:bCs/>
                <w:kern w:val="0"/>
                <w:highlight w:val="none"/>
              </w:rPr>
            </w:pPr>
          </w:p>
        </w:tc>
        <w:tc>
          <w:tcPr>
            <w:tcW w:w="769" w:type="dxa"/>
            <w:noWrap w:val="0"/>
            <w:vAlign w:val="top"/>
          </w:tcPr>
          <w:p w14:paraId="7D844951">
            <w:pPr>
              <w:rPr>
                <w:rFonts w:hint="eastAsia" w:ascii="宋体" w:hAnsi="宋体" w:cs="宋体"/>
                <w:bCs/>
                <w:kern w:val="0"/>
                <w:highlight w:val="none"/>
              </w:rPr>
            </w:pPr>
          </w:p>
        </w:tc>
        <w:tc>
          <w:tcPr>
            <w:tcW w:w="770" w:type="dxa"/>
            <w:noWrap w:val="0"/>
            <w:vAlign w:val="top"/>
          </w:tcPr>
          <w:p w14:paraId="45369FE2">
            <w:pPr>
              <w:rPr>
                <w:rFonts w:hint="eastAsia" w:ascii="宋体" w:hAnsi="宋体" w:cs="宋体"/>
                <w:bCs/>
                <w:kern w:val="0"/>
                <w:highlight w:val="none"/>
              </w:rPr>
            </w:pPr>
          </w:p>
        </w:tc>
        <w:tc>
          <w:tcPr>
            <w:tcW w:w="713" w:type="dxa"/>
            <w:noWrap w:val="0"/>
            <w:vAlign w:val="top"/>
          </w:tcPr>
          <w:p w14:paraId="2FB6A6AA">
            <w:pPr>
              <w:rPr>
                <w:rFonts w:hint="eastAsia" w:ascii="宋体" w:hAnsi="宋体" w:cs="宋体"/>
                <w:bCs/>
                <w:kern w:val="0"/>
                <w:highlight w:val="none"/>
              </w:rPr>
            </w:pPr>
          </w:p>
        </w:tc>
        <w:tc>
          <w:tcPr>
            <w:tcW w:w="826" w:type="dxa"/>
            <w:noWrap w:val="0"/>
            <w:vAlign w:val="top"/>
          </w:tcPr>
          <w:p w14:paraId="0F456991">
            <w:pPr>
              <w:rPr>
                <w:rFonts w:hint="eastAsia" w:ascii="宋体" w:hAnsi="宋体" w:cs="宋体"/>
                <w:bCs/>
                <w:kern w:val="0"/>
                <w:highlight w:val="none"/>
              </w:rPr>
            </w:pPr>
          </w:p>
        </w:tc>
        <w:tc>
          <w:tcPr>
            <w:tcW w:w="770" w:type="dxa"/>
            <w:noWrap w:val="0"/>
            <w:vAlign w:val="top"/>
          </w:tcPr>
          <w:p w14:paraId="50EDB7B1">
            <w:pPr>
              <w:rPr>
                <w:rFonts w:hint="eastAsia" w:ascii="宋体" w:hAnsi="宋体" w:cs="宋体"/>
                <w:bCs/>
                <w:kern w:val="0"/>
                <w:highlight w:val="none"/>
              </w:rPr>
            </w:pPr>
          </w:p>
        </w:tc>
        <w:tc>
          <w:tcPr>
            <w:tcW w:w="777" w:type="dxa"/>
            <w:noWrap w:val="0"/>
            <w:vAlign w:val="top"/>
          </w:tcPr>
          <w:p w14:paraId="55499E0C">
            <w:pPr>
              <w:rPr>
                <w:rFonts w:hint="eastAsia" w:ascii="宋体" w:hAnsi="宋体" w:cs="宋体"/>
                <w:bCs/>
                <w:kern w:val="0"/>
                <w:highlight w:val="none"/>
              </w:rPr>
            </w:pPr>
          </w:p>
        </w:tc>
        <w:tc>
          <w:tcPr>
            <w:tcW w:w="762" w:type="dxa"/>
            <w:noWrap w:val="0"/>
            <w:vAlign w:val="top"/>
          </w:tcPr>
          <w:p w14:paraId="620AD8E7">
            <w:pPr>
              <w:rPr>
                <w:rFonts w:hint="eastAsia" w:ascii="宋体" w:hAnsi="宋体" w:cs="宋体"/>
                <w:bCs/>
                <w:kern w:val="0"/>
                <w:highlight w:val="none"/>
              </w:rPr>
            </w:pPr>
          </w:p>
        </w:tc>
      </w:tr>
      <w:tr w14:paraId="71D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49EE846A">
            <w:pPr>
              <w:rPr>
                <w:rFonts w:hint="eastAsia" w:ascii="宋体" w:hAnsi="宋体" w:cs="宋体"/>
                <w:bCs/>
                <w:kern w:val="0"/>
                <w:highlight w:val="none"/>
              </w:rPr>
            </w:pPr>
          </w:p>
        </w:tc>
        <w:tc>
          <w:tcPr>
            <w:tcW w:w="748" w:type="dxa"/>
            <w:noWrap w:val="0"/>
            <w:vAlign w:val="top"/>
          </w:tcPr>
          <w:p w14:paraId="0AFF5433">
            <w:pPr>
              <w:rPr>
                <w:rFonts w:hint="eastAsia" w:ascii="宋体" w:hAnsi="宋体" w:cs="宋体"/>
                <w:bCs/>
                <w:kern w:val="0"/>
                <w:highlight w:val="none"/>
              </w:rPr>
            </w:pPr>
          </w:p>
        </w:tc>
        <w:tc>
          <w:tcPr>
            <w:tcW w:w="619" w:type="dxa"/>
            <w:noWrap w:val="0"/>
            <w:vAlign w:val="top"/>
          </w:tcPr>
          <w:p w14:paraId="09F4D1B3">
            <w:pPr>
              <w:rPr>
                <w:rFonts w:hint="eastAsia" w:ascii="宋体" w:hAnsi="宋体" w:cs="宋体"/>
                <w:bCs/>
                <w:kern w:val="0"/>
                <w:highlight w:val="none"/>
              </w:rPr>
            </w:pPr>
          </w:p>
        </w:tc>
        <w:tc>
          <w:tcPr>
            <w:tcW w:w="748" w:type="dxa"/>
            <w:noWrap w:val="0"/>
            <w:vAlign w:val="top"/>
          </w:tcPr>
          <w:p w14:paraId="2B3C3A71">
            <w:pPr>
              <w:rPr>
                <w:rFonts w:hint="eastAsia" w:ascii="宋体" w:hAnsi="宋体" w:cs="宋体"/>
                <w:bCs/>
                <w:kern w:val="0"/>
                <w:highlight w:val="none"/>
              </w:rPr>
            </w:pPr>
          </w:p>
        </w:tc>
        <w:tc>
          <w:tcPr>
            <w:tcW w:w="1190" w:type="dxa"/>
            <w:noWrap w:val="0"/>
            <w:vAlign w:val="top"/>
          </w:tcPr>
          <w:p w14:paraId="79A531F4">
            <w:pPr>
              <w:rPr>
                <w:rFonts w:hint="eastAsia" w:ascii="宋体" w:hAnsi="宋体" w:cs="宋体"/>
                <w:bCs/>
                <w:kern w:val="0"/>
                <w:highlight w:val="none"/>
              </w:rPr>
            </w:pPr>
          </w:p>
        </w:tc>
        <w:tc>
          <w:tcPr>
            <w:tcW w:w="769" w:type="dxa"/>
            <w:noWrap w:val="0"/>
            <w:vAlign w:val="top"/>
          </w:tcPr>
          <w:p w14:paraId="123CF524">
            <w:pPr>
              <w:rPr>
                <w:rFonts w:hint="eastAsia" w:ascii="宋体" w:hAnsi="宋体" w:cs="宋体"/>
                <w:bCs/>
                <w:kern w:val="0"/>
                <w:highlight w:val="none"/>
              </w:rPr>
            </w:pPr>
          </w:p>
        </w:tc>
        <w:tc>
          <w:tcPr>
            <w:tcW w:w="770" w:type="dxa"/>
            <w:noWrap w:val="0"/>
            <w:vAlign w:val="top"/>
          </w:tcPr>
          <w:p w14:paraId="4DC7648C">
            <w:pPr>
              <w:rPr>
                <w:rFonts w:hint="eastAsia" w:ascii="宋体" w:hAnsi="宋体" w:cs="宋体"/>
                <w:bCs/>
                <w:kern w:val="0"/>
                <w:highlight w:val="none"/>
              </w:rPr>
            </w:pPr>
          </w:p>
        </w:tc>
        <w:tc>
          <w:tcPr>
            <w:tcW w:w="713" w:type="dxa"/>
            <w:noWrap w:val="0"/>
            <w:vAlign w:val="top"/>
          </w:tcPr>
          <w:p w14:paraId="6239A640">
            <w:pPr>
              <w:rPr>
                <w:rFonts w:hint="eastAsia" w:ascii="宋体" w:hAnsi="宋体" w:cs="宋体"/>
                <w:bCs/>
                <w:kern w:val="0"/>
                <w:highlight w:val="none"/>
              </w:rPr>
            </w:pPr>
          </w:p>
        </w:tc>
        <w:tc>
          <w:tcPr>
            <w:tcW w:w="826" w:type="dxa"/>
            <w:noWrap w:val="0"/>
            <w:vAlign w:val="top"/>
          </w:tcPr>
          <w:p w14:paraId="3D3D6991">
            <w:pPr>
              <w:rPr>
                <w:rFonts w:hint="eastAsia" w:ascii="宋体" w:hAnsi="宋体" w:cs="宋体"/>
                <w:bCs/>
                <w:kern w:val="0"/>
                <w:highlight w:val="none"/>
              </w:rPr>
            </w:pPr>
          </w:p>
        </w:tc>
        <w:tc>
          <w:tcPr>
            <w:tcW w:w="770" w:type="dxa"/>
            <w:noWrap w:val="0"/>
            <w:vAlign w:val="top"/>
          </w:tcPr>
          <w:p w14:paraId="21D55E12">
            <w:pPr>
              <w:rPr>
                <w:rFonts w:hint="eastAsia" w:ascii="宋体" w:hAnsi="宋体" w:cs="宋体"/>
                <w:bCs/>
                <w:kern w:val="0"/>
                <w:highlight w:val="none"/>
              </w:rPr>
            </w:pPr>
          </w:p>
        </w:tc>
        <w:tc>
          <w:tcPr>
            <w:tcW w:w="777" w:type="dxa"/>
            <w:noWrap w:val="0"/>
            <w:vAlign w:val="top"/>
          </w:tcPr>
          <w:p w14:paraId="3138A65D">
            <w:pPr>
              <w:rPr>
                <w:rFonts w:hint="eastAsia" w:ascii="宋体" w:hAnsi="宋体" w:cs="宋体"/>
                <w:bCs/>
                <w:kern w:val="0"/>
                <w:highlight w:val="none"/>
              </w:rPr>
            </w:pPr>
          </w:p>
        </w:tc>
        <w:tc>
          <w:tcPr>
            <w:tcW w:w="762" w:type="dxa"/>
            <w:noWrap w:val="0"/>
            <w:vAlign w:val="top"/>
          </w:tcPr>
          <w:p w14:paraId="53CD3067">
            <w:pPr>
              <w:rPr>
                <w:rFonts w:hint="eastAsia" w:ascii="宋体" w:hAnsi="宋体" w:cs="宋体"/>
                <w:bCs/>
                <w:kern w:val="0"/>
                <w:highlight w:val="none"/>
              </w:rPr>
            </w:pPr>
          </w:p>
        </w:tc>
      </w:tr>
      <w:tr w14:paraId="26BF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298F3E82">
            <w:pPr>
              <w:rPr>
                <w:rFonts w:hint="eastAsia" w:ascii="宋体" w:hAnsi="宋体" w:cs="宋体"/>
                <w:bCs/>
                <w:kern w:val="0"/>
                <w:highlight w:val="none"/>
              </w:rPr>
            </w:pPr>
          </w:p>
        </w:tc>
        <w:tc>
          <w:tcPr>
            <w:tcW w:w="748" w:type="dxa"/>
            <w:noWrap w:val="0"/>
            <w:vAlign w:val="top"/>
          </w:tcPr>
          <w:p w14:paraId="4A531D5B">
            <w:pPr>
              <w:rPr>
                <w:rFonts w:hint="eastAsia" w:ascii="宋体" w:hAnsi="宋体" w:cs="宋体"/>
                <w:bCs/>
                <w:kern w:val="0"/>
                <w:highlight w:val="none"/>
              </w:rPr>
            </w:pPr>
          </w:p>
        </w:tc>
        <w:tc>
          <w:tcPr>
            <w:tcW w:w="619" w:type="dxa"/>
            <w:noWrap w:val="0"/>
            <w:vAlign w:val="top"/>
          </w:tcPr>
          <w:p w14:paraId="3C3F8FA1">
            <w:pPr>
              <w:rPr>
                <w:rFonts w:hint="eastAsia" w:ascii="宋体" w:hAnsi="宋体" w:cs="宋体"/>
                <w:bCs/>
                <w:kern w:val="0"/>
                <w:highlight w:val="none"/>
              </w:rPr>
            </w:pPr>
          </w:p>
        </w:tc>
        <w:tc>
          <w:tcPr>
            <w:tcW w:w="748" w:type="dxa"/>
            <w:noWrap w:val="0"/>
            <w:vAlign w:val="top"/>
          </w:tcPr>
          <w:p w14:paraId="69201B02">
            <w:pPr>
              <w:rPr>
                <w:rFonts w:hint="eastAsia" w:ascii="宋体" w:hAnsi="宋体" w:cs="宋体"/>
                <w:bCs/>
                <w:kern w:val="0"/>
                <w:highlight w:val="none"/>
              </w:rPr>
            </w:pPr>
          </w:p>
        </w:tc>
        <w:tc>
          <w:tcPr>
            <w:tcW w:w="1190" w:type="dxa"/>
            <w:noWrap w:val="0"/>
            <w:vAlign w:val="top"/>
          </w:tcPr>
          <w:p w14:paraId="1C162151">
            <w:pPr>
              <w:rPr>
                <w:rFonts w:hint="eastAsia" w:ascii="宋体" w:hAnsi="宋体" w:cs="宋体"/>
                <w:bCs/>
                <w:kern w:val="0"/>
                <w:highlight w:val="none"/>
              </w:rPr>
            </w:pPr>
          </w:p>
        </w:tc>
        <w:tc>
          <w:tcPr>
            <w:tcW w:w="769" w:type="dxa"/>
            <w:noWrap w:val="0"/>
            <w:vAlign w:val="top"/>
          </w:tcPr>
          <w:p w14:paraId="4A6A503B">
            <w:pPr>
              <w:rPr>
                <w:rFonts w:hint="eastAsia" w:ascii="宋体" w:hAnsi="宋体" w:cs="宋体"/>
                <w:bCs/>
                <w:kern w:val="0"/>
                <w:highlight w:val="none"/>
              </w:rPr>
            </w:pPr>
          </w:p>
        </w:tc>
        <w:tc>
          <w:tcPr>
            <w:tcW w:w="770" w:type="dxa"/>
            <w:noWrap w:val="0"/>
            <w:vAlign w:val="top"/>
          </w:tcPr>
          <w:p w14:paraId="30137F8F">
            <w:pPr>
              <w:rPr>
                <w:rFonts w:hint="eastAsia" w:ascii="宋体" w:hAnsi="宋体" w:cs="宋体"/>
                <w:bCs/>
                <w:kern w:val="0"/>
                <w:highlight w:val="none"/>
              </w:rPr>
            </w:pPr>
          </w:p>
        </w:tc>
        <w:tc>
          <w:tcPr>
            <w:tcW w:w="713" w:type="dxa"/>
            <w:noWrap w:val="0"/>
            <w:vAlign w:val="top"/>
          </w:tcPr>
          <w:p w14:paraId="179CDAD3">
            <w:pPr>
              <w:rPr>
                <w:rFonts w:hint="eastAsia" w:ascii="宋体" w:hAnsi="宋体" w:cs="宋体"/>
                <w:bCs/>
                <w:kern w:val="0"/>
                <w:highlight w:val="none"/>
              </w:rPr>
            </w:pPr>
          </w:p>
        </w:tc>
        <w:tc>
          <w:tcPr>
            <w:tcW w:w="826" w:type="dxa"/>
            <w:noWrap w:val="0"/>
            <w:vAlign w:val="top"/>
          </w:tcPr>
          <w:p w14:paraId="02B6CA80">
            <w:pPr>
              <w:rPr>
                <w:rFonts w:hint="eastAsia" w:ascii="宋体" w:hAnsi="宋体" w:cs="宋体"/>
                <w:bCs/>
                <w:kern w:val="0"/>
                <w:highlight w:val="none"/>
              </w:rPr>
            </w:pPr>
          </w:p>
        </w:tc>
        <w:tc>
          <w:tcPr>
            <w:tcW w:w="770" w:type="dxa"/>
            <w:noWrap w:val="0"/>
            <w:vAlign w:val="top"/>
          </w:tcPr>
          <w:p w14:paraId="6F02A819">
            <w:pPr>
              <w:rPr>
                <w:rFonts w:hint="eastAsia" w:ascii="宋体" w:hAnsi="宋体" w:cs="宋体"/>
                <w:bCs/>
                <w:kern w:val="0"/>
                <w:highlight w:val="none"/>
              </w:rPr>
            </w:pPr>
          </w:p>
        </w:tc>
        <w:tc>
          <w:tcPr>
            <w:tcW w:w="777" w:type="dxa"/>
            <w:noWrap w:val="0"/>
            <w:vAlign w:val="top"/>
          </w:tcPr>
          <w:p w14:paraId="32E73EAB">
            <w:pPr>
              <w:rPr>
                <w:rFonts w:hint="eastAsia" w:ascii="宋体" w:hAnsi="宋体" w:cs="宋体"/>
                <w:bCs/>
                <w:kern w:val="0"/>
                <w:highlight w:val="none"/>
              </w:rPr>
            </w:pPr>
          </w:p>
        </w:tc>
        <w:tc>
          <w:tcPr>
            <w:tcW w:w="762" w:type="dxa"/>
            <w:noWrap w:val="0"/>
            <w:vAlign w:val="top"/>
          </w:tcPr>
          <w:p w14:paraId="5233B2E0">
            <w:pPr>
              <w:rPr>
                <w:rFonts w:hint="eastAsia" w:ascii="宋体" w:hAnsi="宋体" w:cs="宋体"/>
                <w:bCs/>
                <w:kern w:val="0"/>
                <w:highlight w:val="none"/>
              </w:rPr>
            </w:pPr>
          </w:p>
        </w:tc>
      </w:tr>
      <w:tr w14:paraId="3297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7" w:type="dxa"/>
            <w:noWrap w:val="0"/>
            <w:vAlign w:val="top"/>
          </w:tcPr>
          <w:p w14:paraId="1E3F218D">
            <w:pPr>
              <w:rPr>
                <w:rFonts w:hint="eastAsia" w:ascii="宋体" w:hAnsi="宋体" w:cs="宋体"/>
                <w:bCs/>
                <w:kern w:val="0"/>
                <w:highlight w:val="none"/>
              </w:rPr>
            </w:pPr>
          </w:p>
        </w:tc>
        <w:tc>
          <w:tcPr>
            <w:tcW w:w="748" w:type="dxa"/>
            <w:noWrap w:val="0"/>
            <w:vAlign w:val="top"/>
          </w:tcPr>
          <w:p w14:paraId="75E4DBC5">
            <w:pPr>
              <w:rPr>
                <w:rFonts w:hint="eastAsia" w:ascii="宋体" w:hAnsi="宋体" w:cs="宋体"/>
                <w:bCs/>
                <w:kern w:val="0"/>
                <w:highlight w:val="none"/>
              </w:rPr>
            </w:pPr>
          </w:p>
        </w:tc>
        <w:tc>
          <w:tcPr>
            <w:tcW w:w="619" w:type="dxa"/>
            <w:noWrap w:val="0"/>
            <w:vAlign w:val="top"/>
          </w:tcPr>
          <w:p w14:paraId="3E815B6F">
            <w:pPr>
              <w:rPr>
                <w:rFonts w:hint="eastAsia" w:ascii="宋体" w:hAnsi="宋体" w:cs="宋体"/>
                <w:bCs/>
                <w:kern w:val="0"/>
                <w:highlight w:val="none"/>
              </w:rPr>
            </w:pPr>
          </w:p>
        </w:tc>
        <w:tc>
          <w:tcPr>
            <w:tcW w:w="748" w:type="dxa"/>
            <w:noWrap w:val="0"/>
            <w:vAlign w:val="top"/>
          </w:tcPr>
          <w:p w14:paraId="681E95E2">
            <w:pPr>
              <w:rPr>
                <w:rFonts w:hint="eastAsia" w:ascii="宋体" w:hAnsi="宋体" w:cs="宋体"/>
                <w:bCs/>
                <w:kern w:val="0"/>
                <w:highlight w:val="none"/>
              </w:rPr>
            </w:pPr>
          </w:p>
        </w:tc>
        <w:tc>
          <w:tcPr>
            <w:tcW w:w="1190" w:type="dxa"/>
            <w:noWrap w:val="0"/>
            <w:vAlign w:val="top"/>
          </w:tcPr>
          <w:p w14:paraId="39EDD2B0">
            <w:pPr>
              <w:rPr>
                <w:rFonts w:hint="eastAsia" w:ascii="宋体" w:hAnsi="宋体" w:cs="宋体"/>
                <w:bCs/>
                <w:kern w:val="0"/>
                <w:highlight w:val="none"/>
              </w:rPr>
            </w:pPr>
          </w:p>
        </w:tc>
        <w:tc>
          <w:tcPr>
            <w:tcW w:w="769" w:type="dxa"/>
            <w:noWrap w:val="0"/>
            <w:vAlign w:val="top"/>
          </w:tcPr>
          <w:p w14:paraId="420889C6">
            <w:pPr>
              <w:rPr>
                <w:rFonts w:hint="eastAsia" w:ascii="宋体" w:hAnsi="宋体" w:cs="宋体"/>
                <w:bCs/>
                <w:kern w:val="0"/>
                <w:highlight w:val="none"/>
              </w:rPr>
            </w:pPr>
          </w:p>
        </w:tc>
        <w:tc>
          <w:tcPr>
            <w:tcW w:w="770" w:type="dxa"/>
            <w:noWrap w:val="0"/>
            <w:vAlign w:val="top"/>
          </w:tcPr>
          <w:p w14:paraId="55B16613">
            <w:pPr>
              <w:rPr>
                <w:rFonts w:hint="eastAsia" w:ascii="宋体" w:hAnsi="宋体" w:cs="宋体"/>
                <w:bCs/>
                <w:kern w:val="0"/>
                <w:highlight w:val="none"/>
              </w:rPr>
            </w:pPr>
          </w:p>
        </w:tc>
        <w:tc>
          <w:tcPr>
            <w:tcW w:w="713" w:type="dxa"/>
            <w:noWrap w:val="0"/>
            <w:vAlign w:val="top"/>
          </w:tcPr>
          <w:p w14:paraId="253394D5">
            <w:pPr>
              <w:rPr>
                <w:rFonts w:hint="eastAsia" w:ascii="宋体" w:hAnsi="宋体" w:cs="宋体"/>
                <w:bCs/>
                <w:kern w:val="0"/>
                <w:highlight w:val="none"/>
              </w:rPr>
            </w:pPr>
          </w:p>
        </w:tc>
        <w:tc>
          <w:tcPr>
            <w:tcW w:w="826" w:type="dxa"/>
            <w:noWrap w:val="0"/>
            <w:vAlign w:val="top"/>
          </w:tcPr>
          <w:p w14:paraId="5FF214A6">
            <w:pPr>
              <w:rPr>
                <w:rFonts w:hint="eastAsia" w:ascii="宋体" w:hAnsi="宋体" w:cs="宋体"/>
                <w:bCs/>
                <w:kern w:val="0"/>
                <w:highlight w:val="none"/>
              </w:rPr>
            </w:pPr>
          </w:p>
        </w:tc>
        <w:tc>
          <w:tcPr>
            <w:tcW w:w="770" w:type="dxa"/>
            <w:noWrap w:val="0"/>
            <w:vAlign w:val="top"/>
          </w:tcPr>
          <w:p w14:paraId="577B83E9">
            <w:pPr>
              <w:rPr>
                <w:rFonts w:hint="eastAsia" w:ascii="宋体" w:hAnsi="宋体" w:cs="宋体"/>
                <w:bCs/>
                <w:kern w:val="0"/>
                <w:highlight w:val="none"/>
              </w:rPr>
            </w:pPr>
          </w:p>
        </w:tc>
        <w:tc>
          <w:tcPr>
            <w:tcW w:w="777" w:type="dxa"/>
            <w:noWrap w:val="0"/>
            <w:vAlign w:val="top"/>
          </w:tcPr>
          <w:p w14:paraId="48AE58CB">
            <w:pPr>
              <w:rPr>
                <w:rFonts w:hint="eastAsia" w:ascii="宋体" w:hAnsi="宋体" w:cs="宋体"/>
                <w:bCs/>
                <w:kern w:val="0"/>
                <w:highlight w:val="none"/>
              </w:rPr>
            </w:pPr>
          </w:p>
        </w:tc>
        <w:tc>
          <w:tcPr>
            <w:tcW w:w="762" w:type="dxa"/>
            <w:noWrap w:val="0"/>
            <w:vAlign w:val="top"/>
          </w:tcPr>
          <w:p w14:paraId="24B40AB0">
            <w:pPr>
              <w:rPr>
                <w:rFonts w:hint="eastAsia" w:ascii="宋体" w:hAnsi="宋体" w:cs="宋体"/>
                <w:bCs/>
                <w:kern w:val="0"/>
                <w:highlight w:val="none"/>
              </w:rPr>
            </w:pPr>
          </w:p>
        </w:tc>
      </w:tr>
      <w:tr w14:paraId="1070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37" w:type="dxa"/>
            <w:noWrap w:val="0"/>
            <w:vAlign w:val="top"/>
          </w:tcPr>
          <w:p w14:paraId="7538A69D">
            <w:pPr>
              <w:rPr>
                <w:rFonts w:hint="eastAsia" w:ascii="宋体" w:hAnsi="宋体" w:cs="宋体"/>
                <w:bCs/>
                <w:kern w:val="0"/>
                <w:highlight w:val="none"/>
              </w:rPr>
            </w:pPr>
          </w:p>
        </w:tc>
        <w:tc>
          <w:tcPr>
            <w:tcW w:w="748" w:type="dxa"/>
            <w:noWrap w:val="0"/>
            <w:vAlign w:val="top"/>
          </w:tcPr>
          <w:p w14:paraId="544A4A08">
            <w:pPr>
              <w:rPr>
                <w:rFonts w:hint="eastAsia" w:ascii="宋体" w:hAnsi="宋体" w:cs="宋体"/>
                <w:bCs/>
                <w:kern w:val="0"/>
                <w:highlight w:val="none"/>
              </w:rPr>
            </w:pPr>
          </w:p>
        </w:tc>
        <w:tc>
          <w:tcPr>
            <w:tcW w:w="619" w:type="dxa"/>
            <w:noWrap w:val="0"/>
            <w:vAlign w:val="top"/>
          </w:tcPr>
          <w:p w14:paraId="57EDAA2C">
            <w:pPr>
              <w:rPr>
                <w:rFonts w:hint="eastAsia" w:ascii="宋体" w:hAnsi="宋体" w:cs="宋体"/>
                <w:bCs/>
                <w:kern w:val="0"/>
                <w:highlight w:val="none"/>
              </w:rPr>
            </w:pPr>
          </w:p>
        </w:tc>
        <w:tc>
          <w:tcPr>
            <w:tcW w:w="748" w:type="dxa"/>
            <w:noWrap w:val="0"/>
            <w:vAlign w:val="top"/>
          </w:tcPr>
          <w:p w14:paraId="456C105D">
            <w:pPr>
              <w:rPr>
                <w:rFonts w:hint="eastAsia" w:ascii="宋体" w:hAnsi="宋体" w:cs="宋体"/>
                <w:bCs/>
                <w:kern w:val="0"/>
                <w:highlight w:val="none"/>
              </w:rPr>
            </w:pPr>
          </w:p>
        </w:tc>
        <w:tc>
          <w:tcPr>
            <w:tcW w:w="1190" w:type="dxa"/>
            <w:noWrap w:val="0"/>
            <w:vAlign w:val="top"/>
          </w:tcPr>
          <w:p w14:paraId="12AC6605">
            <w:pPr>
              <w:rPr>
                <w:rFonts w:hint="eastAsia" w:ascii="宋体" w:hAnsi="宋体" w:cs="宋体"/>
                <w:bCs/>
                <w:kern w:val="0"/>
                <w:highlight w:val="none"/>
              </w:rPr>
            </w:pPr>
          </w:p>
        </w:tc>
        <w:tc>
          <w:tcPr>
            <w:tcW w:w="769" w:type="dxa"/>
            <w:noWrap w:val="0"/>
            <w:vAlign w:val="top"/>
          </w:tcPr>
          <w:p w14:paraId="79DBB3BC">
            <w:pPr>
              <w:rPr>
                <w:rFonts w:hint="eastAsia" w:ascii="宋体" w:hAnsi="宋体" w:cs="宋体"/>
                <w:bCs/>
                <w:kern w:val="0"/>
                <w:highlight w:val="none"/>
              </w:rPr>
            </w:pPr>
          </w:p>
        </w:tc>
        <w:tc>
          <w:tcPr>
            <w:tcW w:w="770" w:type="dxa"/>
            <w:noWrap w:val="0"/>
            <w:vAlign w:val="top"/>
          </w:tcPr>
          <w:p w14:paraId="611F6649">
            <w:pPr>
              <w:rPr>
                <w:rFonts w:hint="eastAsia" w:ascii="宋体" w:hAnsi="宋体" w:cs="宋体"/>
                <w:bCs/>
                <w:kern w:val="0"/>
                <w:highlight w:val="none"/>
              </w:rPr>
            </w:pPr>
          </w:p>
        </w:tc>
        <w:tc>
          <w:tcPr>
            <w:tcW w:w="713" w:type="dxa"/>
            <w:noWrap w:val="0"/>
            <w:vAlign w:val="top"/>
          </w:tcPr>
          <w:p w14:paraId="445A5EAE">
            <w:pPr>
              <w:rPr>
                <w:rFonts w:hint="eastAsia" w:ascii="宋体" w:hAnsi="宋体" w:cs="宋体"/>
                <w:bCs/>
                <w:kern w:val="0"/>
                <w:highlight w:val="none"/>
              </w:rPr>
            </w:pPr>
          </w:p>
        </w:tc>
        <w:tc>
          <w:tcPr>
            <w:tcW w:w="826" w:type="dxa"/>
            <w:noWrap w:val="0"/>
            <w:vAlign w:val="top"/>
          </w:tcPr>
          <w:p w14:paraId="4FFD9071">
            <w:pPr>
              <w:rPr>
                <w:rFonts w:hint="eastAsia" w:ascii="宋体" w:hAnsi="宋体" w:cs="宋体"/>
                <w:bCs/>
                <w:kern w:val="0"/>
                <w:highlight w:val="none"/>
              </w:rPr>
            </w:pPr>
          </w:p>
        </w:tc>
        <w:tc>
          <w:tcPr>
            <w:tcW w:w="770" w:type="dxa"/>
            <w:noWrap w:val="0"/>
            <w:vAlign w:val="top"/>
          </w:tcPr>
          <w:p w14:paraId="43EF7250">
            <w:pPr>
              <w:rPr>
                <w:rFonts w:hint="eastAsia" w:ascii="宋体" w:hAnsi="宋体" w:cs="宋体"/>
                <w:bCs/>
                <w:kern w:val="0"/>
                <w:highlight w:val="none"/>
              </w:rPr>
            </w:pPr>
          </w:p>
        </w:tc>
        <w:tc>
          <w:tcPr>
            <w:tcW w:w="777" w:type="dxa"/>
            <w:noWrap w:val="0"/>
            <w:vAlign w:val="top"/>
          </w:tcPr>
          <w:p w14:paraId="2B9249FE">
            <w:pPr>
              <w:rPr>
                <w:rFonts w:hint="eastAsia" w:ascii="宋体" w:hAnsi="宋体" w:cs="宋体"/>
                <w:bCs/>
                <w:kern w:val="0"/>
                <w:highlight w:val="none"/>
              </w:rPr>
            </w:pPr>
          </w:p>
        </w:tc>
        <w:tc>
          <w:tcPr>
            <w:tcW w:w="762" w:type="dxa"/>
            <w:noWrap w:val="0"/>
            <w:vAlign w:val="top"/>
          </w:tcPr>
          <w:p w14:paraId="47BD6B7B">
            <w:pPr>
              <w:rPr>
                <w:rFonts w:hint="eastAsia" w:ascii="宋体" w:hAnsi="宋体" w:cs="宋体"/>
                <w:bCs/>
                <w:kern w:val="0"/>
                <w:highlight w:val="none"/>
              </w:rPr>
            </w:pPr>
          </w:p>
        </w:tc>
      </w:tr>
    </w:tbl>
    <w:p w14:paraId="54198668">
      <w:pPr>
        <w:ind w:firstLine="371" w:firstLineChars="177"/>
        <w:rPr>
          <w:rFonts w:hint="eastAsia" w:ascii="宋体" w:hAnsi="宋体" w:cs="宋体"/>
          <w:bCs/>
          <w:kern w:val="0"/>
          <w:highlight w:val="none"/>
        </w:rPr>
      </w:pPr>
    </w:p>
    <w:p w14:paraId="718EA7A0">
      <w:pPr>
        <w:spacing w:line="360" w:lineRule="exact"/>
        <w:ind w:right="-328" w:firstLine="371" w:firstLineChars="177"/>
        <w:jc w:val="left"/>
        <w:rPr>
          <w:rFonts w:hint="eastAsia" w:ascii="宋体" w:hAnsi="宋体" w:cs="宋体"/>
          <w:bCs/>
          <w:kern w:val="0"/>
          <w:highlight w:val="none"/>
        </w:rPr>
      </w:pPr>
      <w:r>
        <w:rPr>
          <w:rFonts w:hint="eastAsia" w:ascii="宋体" w:hAnsi="宋体" w:cs="宋体"/>
          <w:bCs/>
          <w:kern w:val="0"/>
          <w:highlight w:val="none"/>
        </w:rPr>
        <w:t>单位领导签字：</w:t>
      </w:r>
      <w:r>
        <w:rPr>
          <w:rFonts w:ascii="宋体" w:hAnsi="宋体" w:cs="宋体"/>
          <w:bCs/>
          <w:kern w:val="0"/>
          <w:highlight w:val="none"/>
          <w:u w:val="single"/>
        </w:rPr>
        <w:t xml:space="preserve">               </w:t>
      </w:r>
      <w:r>
        <w:rPr>
          <w:rFonts w:ascii="宋体" w:hAnsi="宋体" w:cs="宋体"/>
          <w:bCs/>
          <w:kern w:val="0"/>
          <w:highlight w:val="none"/>
        </w:rPr>
        <w:t xml:space="preserve">    </w:t>
      </w:r>
    </w:p>
    <w:p w14:paraId="7E2E0346">
      <w:pPr>
        <w:spacing w:line="360" w:lineRule="exact"/>
        <w:ind w:right="-328" w:firstLine="371" w:firstLineChars="177"/>
        <w:jc w:val="left"/>
        <w:rPr>
          <w:rFonts w:hint="eastAsia" w:ascii="宋体" w:hAnsi="宋体" w:cs="宋体"/>
          <w:bCs/>
          <w:kern w:val="0"/>
          <w:highlight w:val="none"/>
        </w:rPr>
      </w:pPr>
    </w:p>
    <w:p w14:paraId="7D068F1F">
      <w:pPr>
        <w:rPr>
          <w:highlight w:val="none"/>
        </w:rPr>
      </w:pPr>
    </w:p>
    <w:p w14:paraId="5417902C">
      <w:pPr>
        <w:spacing w:line="400" w:lineRule="exact"/>
        <w:ind w:firstLine="420" w:firstLineChars="200"/>
        <w:rPr>
          <w:rFonts w:hint="eastAsia"/>
          <w:highlight w:val="none"/>
        </w:rPr>
      </w:pPr>
    </w:p>
    <w:sectPr>
      <w:pgSz w:w="11906" w:h="16838"/>
      <w:pgMar w:top="1440" w:right="1418" w:bottom="1440"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AB30">
    <w:pPr>
      <w:pStyle w:val="14"/>
      <w:pBdr>
        <w:top w:val="thickThinSmallGap" w:color="auto" w:sz="24" w:space="1"/>
      </w:pBdr>
      <w:ind w:right="360" w:firstLine="360"/>
      <w:jc w:val="center"/>
      <w:rPr>
        <w:rFonts w:hint="eastAsia"/>
      </w:rPr>
    </w:pPr>
  </w:p>
  <w:p w14:paraId="1016181F">
    <w:pPr>
      <w:pStyle w:val="14"/>
      <w:ind w:right="360" w:firstLine="360"/>
      <w:jc w:val="center"/>
      <w:rPr>
        <w:rFonts w:hint="eastAsia"/>
        <w:sz w:val="21"/>
        <w:szCs w:val="21"/>
      </w:rPr>
    </w:pPr>
    <w:r>
      <w:rPr>
        <w:rFonts w:hint="eastAsia"/>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C2C6">
    <w:pPr>
      <w:pStyle w:val="15"/>
      <w:pBdr>
        <w:bottom w:val="thinThickSmallGap" w:color="auto" w:sz="24" w:space="1"/>
      </w:pBdr>
      <w:wordWrap w:val="0"/>
      <w:jc w:val="right"/>
      <w:rPr>
        <w:sz w:val="21"/>
        <w:szCs w:val="21"/>
      </w:rPr>
    </w:pPr>
  </w:p>
  <w:p w14:paraId="44CEE14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5DBA">
    <w:pPr>
      <w:pStyle w:val="15"/>
      <w:pBdr>
        <w:bottom w:val="thinThickSmallGap" w:color="auto" w:sz="24" w:space="1"/>
      </w:pBdr>
      <w:wordWrap w:val="0"/>
      <w:jc w:val="right"/>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55AA">
    <w:pPr>
      <w:pStyle w:val="15"/>
      <w:pBdr>
        <w:bottom w:val="thinThickSmallGap" w:color="auto" w:sz="24" w:space="1"/>
      </w:pBdr>
      <w:wordWrap w:val="0"/>
      <w:jc w:val="right"/>
      <w:rPr>
        <w:rFonts w:hint="eastAsia"/>
        <w:sz w:val="21"/>
        <w:szCs w:val="21"/>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-131445</wp:posOffset>
              </wp:positionV>
              <wp:extent cx="1485900" cy="762000"/>
              <wp:effectExtent l="0" t="0" r="0" b="0"/>
              <wp:wrapNone/>
              <wp:docPr id="10" name="流程图: 过程 10"/>
              <wp:cNvGraphicFramePr/>
              <a:graphic xmlns:a="http://schemas.openxmlformats.org/drawingml/2006/main">
                <a:graphicData uri="http://schemas.microsoft.com/office/word/2010/wordprocessingShape">
                  <wps:wsp>
                    <wps:cNvSpPr/>
                    <wps:spPr>
                      <a:xfrm>
                        <a:off x="0" y="0"/>
                        <a:ext cx="1485900" cy="762000"/>
                      </a:xfrm>
                      <a:prstGeom prst="flowChartProcess">
                        <a:avLst/>
                      </a:prstGeom>
                      <a:solidFill>
                        <a:sysClr val="window" lastClr="FFFFFF"/>
                      </a:solidFill>
                      <a:ln w="25400" cap="flat" cmpd="sng" algn="ctr">
                        <a:noFill/>
                        <a:prstDash val="solid"/>
                      </a:ln>
                      <a:effectLst/>
                    </wps:spPr>
                    <wps:txbx>
                      <w:txbxContent>
                        <w:p w14:paraId="632CAAB0">
                          <w:pPr>
                            <w:jc w:val="center"/>
                          </w:pPr>
                          <w:r>
                            <w:drawing>
                              <wp:inline distT="0" distB="0" distL="114300" distR="114300">
                                <wp:extent cx="1238250" cy="617220"/>
                                <wp:effectExtent l="0" t="0" r="0" b="0"/>
                                <wp:docPr id="2" name="图片 11" descr="说明: C:\Users\Administrator\Desktop\风帆新组合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说明: C:\Users\Administrator\Desktop\风帆新组合标.jpg"/>
                                        <pic:cNvPicPr>
                                          <a:picLocks noChangeAspect="1"/>
                                        </pic:cNvPicPr>
                                      </pic:nvPicPr>
                                      <pic:blipFill>
                                        <a:blip r:embed="rId1"/>
                                        <a:stretch>
                                          <a:fillRect/>
                                        </a:stretch>
                                      </pic:blipFill>
                                      <pic:spPr>
                                        <a:xfrm>
                                          <a:off x="0" y="0"/>
                                          <a:ext cx="1238250" cy="617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0.35pt;margin-top:-10.35pt;height:60pt;width:117pt;z-index:251659264;v-text-anchor:middle;mso-width-relative:page;mso-height-relative:page;" fillcolor="#FFFFFF" filled="t" stroked="f" coordsize="21600,21600" o:gfxdata="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ft/ytYAAAAHAQAADwAA&#10;AAAAAAABACAAAAAiAAAAZHJzL2Rvd25yZXYueG1sUEsBAhQAFAAAAAgAh07iQKiMfDqKAgAA9gQA&#10;AA4AAAAAAAAAAQAgAAAAJQEAAGRycy9lMm9Eb2MueG1sUEsFBgAAAAAGAAYAWQEAACEGAAAAAA==&#10;">
              <v:fill on="t" focussize="0,0"/>
              <v:stroke on="f" weight="2pt"/>
              <v:imagedata o:title=""/>
              <o:lock v:ext="edit" aspectratio="f"/>
              <v:textbox>
                <w:txbxContent>
                  <w:p w14:paraId="632CAAB0">
                    <w:pPr>
                      <w:jc w:val="center"/>
                    </w:pPr>
                    <w:r>
                      <w:drawing>
                        <wp:inline distT="0" distB="0" distL="114300" distR="114300">
                          <wp:extent cx="1238250" cy="617220"/>
                          <wp:effectExtent l="0" t="0" r="0" b="0"/>
                          <wp:docPr id="2" name="图片 11" descr="说明: C:\Users\Administrator\Desktop\风帆新组合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说明: C:\Users\Administrator\Desktop\风帆新组合标.jpg"/>
                                  <pic:cNvPicPr>
                                    <a:picLocks noChangeAspect="1"/>
                                  </pic:cNvPicPr>
                                </pic:nvPicPr>
                                <pic:blipFill>
                                  <a:blip r:embed="rId1"/>
                                  <a:stretch>
                                    <a:fillRect/>
                                  </a:stretch>
                                </pic:blipFill>
                                <pic:spPr>
                                  <a:xfrm>
                                    <a:off x="0" y="0"/>
                                    <a:ext cx="1238250" cy="617220"/>
                                  </a:xfrm>
                                  <a:prstGeom prst="rect">
                                    <a:avLst/>
                                  </a:prstGeom>
                                  <a:noFill/>
                                  <a:ln>
                                    <a:noFill/>
                                  </a:ln>
                                </pic:spPr>
                              </pic:pic>
                            </a:graphicData>
                          </a:graphic>
                        </wp:inline>
                      </w:drawing>
                    </w:r>
                  </w:p>
                </w:txbxContent>
              </v:textbox>
            </v:shape>
          </w:pict>
        </mc:Fallback>
      </mc:AlternateContent>
    </w:r>
  </w:p>
  <w:p w14:paraId="2F5A411C">
    <w:pPr>
      <w:pStyle w:val="15"/>
      <w:pBdr>
        <w:bottom w:val="thinThickSmallGap" w:color="auto" w:sz="24" w:space="1"/>
      </w:pBdr>
      <w:jc w:val="right"/>
      <w:rPr>
        <w:rFonts w:hint="eastAsia"/>
        <w:sz w:val="21"/>
        <w:szCs w:val="21"/>
      </w:rPr>
    </w:pPr>
  </w:p>
  <w:p w14:paraId="23E4B969">
    <w:pPr>
      <w:pStyle w:val="15"/>
      <w:pBdr>
        <w:bottom w:val="thinThickSmallGap" w:color="auto" w:sz="24" w:space="1"/>
      </w:pBdr>
      <w:jc w:val="right"/>
      <w:rPr>
        <w:sz w:val="21"/>
        <w:szCs w:val="21"/>
      </w:rPr>
    </w:pPr>
    <w:r>
      <w:rPr>
        <w:rFonts w:hint="eastAsia"/>
        <w:b/>
        <w:sz w:val="21"/>
        <w:szCs w:val="21"/>
      </w:rPr>
      <w:t>风帆</w:t>
    </w:r>
    <w:r>
      <w:rPr>
        <w:rFonts w:hint="eastAsia"/>
        <w:b/>
        <w:sz w:val="21"/>
        <w:szCs w:val="21"/>
        <w:lang w:val="en-US" w:eastAsia="zh-CN"/>
      </w:rPr>
      <w:t>储能科技有限</w:t>
    </w:r>
    <w:r>
      <w:rPr>
        <w:rFonts w:hint="eastAsia"/>
        <w:b/>
        <w:sz w:val="21"/>
        <w:szCs w:val="21"/>
      </w:rPr>
      <w:t>公司管理制度汇编</w:t>
    </w:r>
  </w:p>
  <w:p w14:paraId="62FB8426">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Tc3MGY1YmQ4NzFiZmMzNDliM2ZiNDJjYWU2OWUifQ=="/>
  </w:docVars>
  <w:rsids>
    <w:rsidRoot w:val="00003301"/>
    <w:rsid w:val="00000FB8"/>
    <w:rsid w:val="00003301"/>
    <w:rsid w:val="00004069"/>
    <w:rsid w:val="00012269"/>
    <w:rsid w:val="00020FB6"/>
    <w:rsid w:val="00025129"/>
    <w:rsid w:val="0002519D"/>
    <w:rsid w:val="000264BF"/>
    <w:rsid w:val="0002673C"/>
    <w:rsid w:val="0003029A"/>
    <w:rsid w:val="00044450"/>
    <w:rsid w:val="00044C89"/>
    <w:rsid w:val="0005271E"/>
    <w:rsid w:val="00057CAB"/>
    <w:rsid w:val="00061C8E"/>
    <w:rsid w:val="00064AE9"/>
    <w:rsid w:val="0007081F"/>
    <w:rsid w:val="000726AB"/>
    <w:rsid w:val="00077E34"/>
    <w:rsid w:val="0008142A"/>
    <w:rsid w:val="000912AD"/>
    <w:rsid w:val="00093B04"/>
    <w:rsid w:val="00096960"/>
    <w:rsid w:val="000A04B8"/>
    <w:rsid w:val="000A432F"/>
    <w:rsid w:val="000B1D40"/>
    <w:rsid w:val="000B2796"/>
    <w:rsid w:val="000C5386"/>
    <w:rsid w:val="000D03EC"/>
    <w:rsid w:val="000D1621"/>
    <w:rsid w:val="000E024E"/>
    <w:rsid w:val="000E7A74"/>
    <w:rsid w:val="000E7E3C"/>
    <w:rsid w:val="000F475B"/>
    <w:rsid w:val="00111EA7"/>
    <w:rsid w:val="0011388A"/>
    <w:rsid w:val="001167C2"/>
    <w:rsid w:val="0012229E"/>
    <w:rsid w:val="001260E0"/>
    <w:rsid w:val="00131869"/>
    <w:rsid w:val="00133F19"/>
    <w:rsid w:val="00136538"/>
    <w:rsid w:val="00142272"/>
    <w:rsid w:val="001425C6"/>
    <w:rsid w:val="00142A39"/>
    <w:rsid w:val="001436AD"/>
    <w:rsid w:val="0014440F"/>
    <w:rsid w:val="001472B0"/>
    <w:rsid w:val="00154494"/>
    <w:rsid w:val="00155953"/>
    <w:rsid w:val="00163CB5"/>
    <w:rsid w:val="00163F96"/>
    <w:rsid w:val="00170F9A"/>
    <w:rsid w:val="00171970"/>
    <w:rsid w:val="00181A8A"/>
    <w:rsid w:val="001839C6"/>
    <w:rsid w:val="001951B2"/>
    <w:rsid w:val="001967A8"/>
    <w:rsid w:val="00196BF4"/>
    <w:rsid w:val="001B417A"/>
    <w:rsid w:val="001B51B9"/>
    <w:rsid w:val="001C20A3"/>
    <w:rsid w:val="001C3913"/>
    <w:rsid w:val="001C6E56"/>
    <w:rsid w:val="001D266A"/>
    <w:rsid w:val="001D2753"/>
    <w:rsid w:val="001D307F"/>
    <w:rsid w:val="001E0333"/>
    <w:rsid w:val="001E0EF4"/>
    <w:rsid w:val="001E2070"/>
    <w:rsid w:val="001E2EDA"/>
    <w:rsid w:val="001E7410"/>
    <w:rsid w:val="001F2366"/>
    <w:rsid w:val="001F5ADC"/>
    <w:rsid w:val="001F6AEB"/>
    <w:rsid w:val="002051EC"/>
    <w:rsid w:val="00212755"/>
    <w:rsid w:val="00213A2F"/>
    <w:rsid w:val="00235FF3"/>
    <w:rsid w:val="002404AB"/>
    <w:rsid w:val="00242B67"/>
    <w:rsid w:val="00247577"/>
    <w:rsid w:val="00252078"/>
    <w:rsid w:val="0025211C"/>
    <w:rsid w:val="00253B84"/>
    <w:rsid w:val="0025684C"/>
    <w:rsid w:val="002572D2"/>
    <w:rsid w:val="00266CF7"/>
    <w:rsid w:val="002726A7"/>
    <w:rsid w:val="002766C4"/>
    <w:rsid w:val="0029086C"/>
    <w:rsid w:val="002934A7"/>
    <w:rsid w:val="00293E52"/>
    <w:rsid w:val="002A5C7C"/>
    <w:rsid w:val="002B5CDB"/>
    <w:rsid w:val="002C16B3"/>
    <w:rsid w:val="002C4815"/>
    <w:rsid w:val="002D186F"/>
    <w:rsid w:val="002D4034"/>
    <w:rsid w:val="002D40AE"/>
    <w:rsid w:val="002E201C"/>
    <w:rsid w:val="002E297D"/>
    <w:rsid w:val="002E2B1C"/>
    <w:rsid w:val="002E5ACE"/>
    <w:rsid w:val="002E67A5"/>
    <w:rsid w:val="002E7F48"/>
    <w:rsid w:val="002F76BD"/>
    <w:rsid w:val="00300F99"/>
    <w:rsid w:val="0030113F"/>
    <w:rsid w:val="00301C6B"/>
    <w:rsid w:val="003034EF"/>
    <w:rsid w:val="00303A8A"/>
    <w:rsid w:val="00304BE4"/>
    <w:rsid w:val="00304CD4"/>
    <w:rsid w:val="00310656"/>
    <w:rsid w:val="003119E8"/>
    <w:rsid w:val="003227D1"/>
    <w:rsid w:val="00327888"/>
    <w:rsid w:val="003315EF"/>
    <w:rsid w:val="00331C0E"/>
    <w:rsid w:val="00332A2A"/>
    <w:rsid w:val="003442EC"/>
    <w:rsid w:val="0034737D"/>
    <w:rsid w:val="00350F1D"/>
    <w:rsid w:val="00352E77"/>
    <w:rsid w:val="00354CAA"/>
    <w:rsid w:val="00356035"/>
    <w:rsid w:val="00357FB5"/>
    <w:rsid w:val="0036001E"/>
    <w:rsid w:val="003616CC"/>
    <w:rsid w:val="00364034"/>
    <w:rsid w:val="00370C8C"/>
    <w:rsid w:val="00386043"/>
    <w:rsid w:val="00386ACF"/>
    <w:rsid w:val="00394BF8"/>
    <w:rsid w:val="003A4071"/>
    <w:rsid w:val="003A7ECC"/>
    <w:rsid w:val="003B0350"/>
    <w:rsid w:val="003B0CEE"/>
    <w:rsid w:val="003B3B4E"/>
    <w:rsid w:val="003B528F"/>
    <w:rsid w:val="003C1E2E"/>
    <w:rsid w:val="003C32A0"/>
    <w:rsid w:val="003C6328"/>
    <w:rsid w:val="003D29B9"/>
    <w:rsid w:val="003D7453"/>
    <w:rsid w:val="003E0898"/>
    <w:rsid w:val="003E2D11"/>
    <w:rsid w:val="003E4A94"/>
    <w:rsid w:val="003F2321"/>
    <w:rsid w:val="00400151"/>
    <w:rsid w:val="00400C98"/>
    <w:rsid w:val="00401412"/>
    <w:rsid w:val="004022DE"/>
    <w:rsid w:val="00402DCE"/>
    <w:rsid w:val="00405557"/>
    <w:rsid w:val="0040757C"/>
    <w:rsid w:val="004135C9"/>
    <w:rsid w:val="00415FB7"/>
    <w:rsid w:val="00424CE2"/>
    <w:rsid w:val="00430F70"/>
    <w:rsid w:val="004342AB"/>
    <w:rsid w:val="004357FD"/>
    <w:rsid w:val="004437E1"/>
    <w:rsid w:val="00444C87"/>
    <w:rsid w:val="0044683C"/>
    <w:rsid w:val="004508AD"/>
    <w:rsid w:val="0045348A"/>
    <w:rsid w:val="00454222"/>
    <w:rsid w:val="00456471"/>
    <w:rsid w:val="0045672D"/>
    <w:rsid w:val="0046079E"/>
    <w:rsid w:val="00462278"/>
    <w:rsid w:val="0046527D"/>
    <w:rsid w:val="0046786C"/>
    <w:rsid w:val="00471402"/>
    <w:rsid w:val="00473D89"/>
    <w:rsid w:val="00490B3D"/>
    <w:rsid w:val="0049136A"/>
    <w:rsid w:val="00493AD7"/>
    <w:rsid w:val="004A373B"/>
    <w:rsid w:val="004B3EFA"/>
    <w:rsid w:val="004B5AC3"/>
    <w:rsid w:val="004C1300"/>
    <w:rsid w:val="004C1B66"/>
    <w:rsid w:val="004C4C86"/>
    <w:rsid w:val="004D1F05"/>
    <w:rsid w:val="004D4DA1"/>
    <w:rsid w:val="004D6B1E"/>
    <w:rsid w:val="004E0DE1"/>
    <w:rsid w:val="004E4356"/>
    <w:rsid w:val="004F41CD"/>
    <w:rsid w:val="005004B5"/>
    <w:rsid w:val="005021E2"/>
    <w:rsid w:val="005032A9"/>
    <w:rsid w:val="00524F68"/>
    <w:rsid w:val="00533E7D"/>
    <w:rsid w:val="0053589D"/>
    <w:rsid w:val="00551A38"/>
    <w:rsid w:val="0056697F"/>
    <w:rsid w:val="00583044"/>
    <w:rsid w:val="005A22C0"/>
    <w:rsid w:val="005B6DF8"/>
    <w:rsid w:val="005C2E15"/>
    <w:rsid w:val="005C591B"/>
    <w:rsid w:val="005C5FF1"/>
    <w:rsid w:val="005C65FB"/>
    <w:rsid w:val="005D2F31"/>
    <w:rsid w:val="005D48E7"/>
    <w:rsid w:val="005E08BC"/>
    <w:rsid w:val="005E4380"/>
    <w:rsid w:val="005E4CFE"/>
    <w:rsid w:val="005F718C"/>
    <w:rsid w:val="00601298"/>
    <w:rsid w:val="0060231B"/>
    <w:rsid w:val="0060451A"/>
    <w:rsid w:val="00605C2D"/>
    <w:rsid w:val="00615484"/>
    <w:rsid w:val="00615835"/>
    <w:rsid w:val="00625E44"/>
    <w:rsid w:val="0063064C"/>
    <w:rsid w:val="00642AA5"/>
    <w:rsid w:val="00645687"/>
    <w:rsid w:val="00645D3F"/>
    <w:rsid w:val="00665780"/>
    <w:rsid w:val="0067073F"/>
    <w:rsid w:val="0068331A"/>
    <w:rsid w:val="00684A8E"/>
    <w:rsid w:val="00690567"/>
    <w:rsid w:val="006B3A72"/>
    <w:rsid w:val="006B69EB"/>
    <w:rsid w:val="006B6E72"/>
    <w:rsid w:val="006D7AA7"/>
    <w:rsid w:val="006E0751"/>
    <w:rsid w:val="006E19A8"/>
    <w:rsid w:val="006E3296"/>
    <w:rsid w:val="006E3A06"/>
    <w:rsid w:val="006E3FAE"/>
    <w:rsid w:val="006E55E6"/>
    <w:rsid w:val="006E7137"/>
    <w:rsid w:val="006F00B7"/>
    <w:rsid w:val="006F3549"/>
    <w:rsid w:val="006F6B99"/>
    <w:rsid w:val="00701035"/>
    <w:rsid w:val="00701BC1"/>
    <w:rsid w:val="00704393"/>
    <w:rsid w:val="00707C5C"/>
    <w:rsid w:val="00715D6F"/>
    <w:rsid w:val="007177BC"/>
    <w:rsid w:val="00733644"/>
    <w:rsid w:val="00734F87"/>
    <w:rsid w:val="0074128B"/>
    <w:rsid w:val="00745A8F"/>
    <w:rsid w:val="0075792C"/>
    <w:rsid w:val="00762212"/>
    <w:rsid w:val="0076505D"/>
    <w:rsid w:val="00772410"/>
    <w:rsid w:val="00773381"/>
    <w:rsid w:val="007815D3"/>
    <w:rsid w:val="007840A8"/>
    <w:rsid w:val="007A31DD"/>
    <w:rsid w:val="007A6FA3"/>
    <w:rsid w:val="007A7595"/>
    <w:rsid w:val="007A7DAD"/>
    <w:rsid w:val="007B4CF3"/>
    <w:rsid w:val="007B5E5D"/>
    <w:rsid w:val="007B6ACF"/>
    <w:rsid w:val="007B6D50"/>
    <w:rsid w:val="007B7981"/>
    <w:rsid w:val="007C1117"/>
    <w:rsid w:val="007C7344"/>
    <w:rsid w:val="007D412C"/>
    <w:rsid w:val="007D4961"/>
    <w:rsid w:val="007D6E4B"/>
    <w:rsid w:val="007E21BE"/>
    <w:rsid w:val="007F0776"/>
    <w:rsid w:val="008163DB"/>
    <w:rsid w:val="008248CF"/>
    <w:rsid w:val="00824DC4"/>
    <w:rsid w:val="008262BC"/>
    <w:rsid w:val="008327F3"/>
    <w:rsid w:val="00835D73"/>
    <w:rsid w:val="00860F6A"/>
    <w:rsid w:val="00866045"/>
    <w:rsid w:val="0086607D"/>
    <w:rsid w:val="00866588"/>
    <w:rsid w:val="00877F72"/>
    <w:rsid w:val="00880E2B"/>
    <w:rsid w:val="008834A4"/>
    <w:rsid w:val="0088460A"/>
    <w:rsid w:val="008856C4"/>
    <w:rsid w:val="008962E7"/>
    <w:rsid w:val="008A05D1"/>
    <w:rsid w:val="008A0C8E"/>
    <w:rsid w:val="008A12AD"/>
    <w:rsid w:val="008A2C4A"/>
    <w:rsid w:val="008B0F4A"/>
    <w:rsid w:val="008B459B"/>
    <w:rsid w:val="008C1845"/>
    <w:rsid w:val="008C2762"/>
    <w:rsid w:val="008D1DD4"/>
    <w:rsid w:val="008D2A99"/>
    <w:rsid w:val="008E1157"/>
    <w:rsid w:val="008E4CCB"/>
    <w:rsid w:val="008E5E71"/>
    <w:rsid w:val="008F4594"/>
    <w:rsid w:val="00902014"/>
    <w:rsid w:val="00902EE2"/>
    <w:rsid w:val="009044C3"/>
    <w:rsid w:val="00915D4C"/>
    <w:rsid w:val="0092159D"/>
    <w:rsid w:val="00924363"/>
    <w:rsid w:val="00926A10"/>
    <w:rsid w:val="00927587"/>
    <w:rsid w:val="00927EB6"/>
    <w:rsid w:val="00930933"/>
    <w:rsid w:val="009329E3"/>
    <w:rsid w:val="009436D5"/>
    <w:rsid w:val="00950EEE"/>
    <w:rsid w:val="0095291E"/>
    <w:rsid w:val="00953BEF"/>
    <w:rsid w:val="00954B14"/>
    <w:rsid w:val="009677C1"/>
    <w:rsid w:val="009730EC"/>
    <w:rsid w:val="00974E4F"/>
    <w:rsid w:val="00977D48"/>
    <w:rsid w:val="00982123"/>
    <w:rsid w:val="00992F30"/>
    <w:rsid w:val="00997A57"/>
    <w:rsid w:val="009B09ED"/>
    <w:rsid w:val="009B45FA"/>
    <w:rsid w:val="009C6529"/>
    <w:rsid w:val="009C6602"/>
    <w:rsid w:val="009D4CB5"/>
    <w:rsid w:val="009D63C6"/>
    <w:rsid w:val="009E2B96"/>
    <w:rsid w:val="009E527E"/>
    <w:rsid w:val="009F2329"/>
    <w:rsid w:val="009F4E75"/>
    <w:rsid w:val="00A03349"/>
    <w:rsid w:val="00A116BD"/>
    <w:rsid w:val="00A126E3"/>
    <w:rsid w:val="00A1402B"/>
    <w:rsid w:val="00A16803"/>
    <w:rsid w:val="00A16DD3"/>
    <w:rsid w:val="00A17450"/>
    <w:rsid w:val="00A21AB6"/>
    <w:rsid w:val="00A22493"/>
    <w:rsid w:val="00A329D7"/>
    <w:rsid w:val="00A41550"/>
    <w:rsid w:val="00A53641"/>
    <w:rsid w:val="00A545F2"/>
    <w:rsid w:val="00A56F17"/>
    <w:rsid w:val="00A738BE"/>
    <w:rsid w:val="00A7439B"/>
    <w:rsid w:val="00A84EB9"/>
    <w:rsid w:val="00A85B3B"/>
    <w:rsid w:val="00A96C20"/>
    <w:rsid w:val="00A9778E"/>
    <w:rsid w:val="00AA0839"/>
    <w:rsid w:val="00AA448B"/>
    <w:rsid w:val="00AB4BCB"/>
    <w:rsid w:val="00AC2577"/>
    <w:rsid w:val="00AC50F3"/>
    <w:rsid w:val="00AC662E"/>
    <w:rsid w:val="00AD3A91"/>
    <w:rsid w:val="00AE055F"/>
    <w:rsid w:val="00AE1EA9"/>
    <w:rsid w:val="00AE3816"/>
    <w:rsid w:val="00AE45CE"/>
    <w:rsid w:val="00AF477F"/>
    <w:rsid w:val="00AF4E11"/>
    <w:rsid w:val="00B01EF4"/>
    <w:rsid w:val="00B02D96"/>
    <w:rsid w:val="00B0507E"/>
    <w:rsid w:val="00B050F9"/>
    <w:rsid w:val="00B10C44"/>
    <w:rsid w:val="00B1119D"/>
    <w:rsid w:val="00B118BD"/>
    <w:rsid w:val="00B214AE"/>
    <w:rsid w:val="00B228FB"/>
    <w:rsid w:val="00B27B30"/>
    <w:rsid w:val="00B27CEC"/>
    <w:rsid w:val="00B41394"/>
    <w:rsid w:val="00B56D1E"/>
    <w:rsid w:val="00B57A01"/>
    <w:rsid w:val="00B57CDA"/>
    <w:rsid w:val="00B6195F"/>
    <w:rsid w:val="00B61ABE"/>
    <w:rsid w:val="00B70B21"/>
    <w:rsid w:val="00B810B4"/>
    <w:rsid w:val="00B83588"/>
    <w:rsid w:val="00B879A3"/>
    <w:rsid w:val="00BA190A"/>
    <w:rsid w:val="00BB317D"/>
    <w:rsid w:val="00BB4395"/>
    <w:rsid w:val="00BB6C24"/>
    <w:rsid w:val="00BB7B02"/>
    <w:rsid w:val="00BC4181"/>
    <w:rsid w:val="00BC48DD"/>
    <w:rsid w:val="00BC4F4F"/>
    <w:rsid w:val="00BC5324"/>
    <w:rsid w:val="00BC5611"/>
    <w:rsid w:val="00BC5A28"/>
    <w:rsid w:val="00BD3667"/>
    <w:rsid w:val="00BE528E"/>
    <w:rsid w:val="00BE5553"/>
    <w:rsid w:val="00BE5659"/>
    <w:rsid w:val="00BE6B42"/>
    <w:rsid w:val="00BF40B9"/>
    <w:rsid w:val="00C05BF1"/>
    <w:rsid w:val="00C06066"/>
    <w:rsid w:val="00C11A1A"/>
    <w:rsid w:val="00C14C5D"/>
    <w:rsid w:val="00C21FBB"/>
    <w:rsid w:val="00C24E8D"/>
    <w:rsid w:val="00C33314"/>
    <w:rsid w:val="00C33333"/>
    <w:rsid w:val="00C33533"/>
    <w:rsid w:val="00C35574"/>
    <w:rsid w:val="00C46198"/>
    <w:rsid w:val="00C46961"/>
    <w:rsid w:val="00C67294"/>
    <w:rsid w:val="00C71A88"/>
    <w:rsid w:val="00C86696"/>
    <w:rsid w:val="00C939BC"/>
    <w:rsid w:val="00CA39BF"/>
    <w:rsid w:val="00CA3CBF"/>
    <w:rsid w:val="00CB283E"/>
    <w:rsid w:val="00CC0A7E"/>
    <w:rsid w:val="00CC1E36"/>
    <w:rsid w:val="00CC56B5"/>
    <w:rsid w:val="00CC6277"/>
    <w:rsid w:val="00CC7515"/>
    <w:rsid w:val="00CD0F2D"/>
    <w:rsid w:val="00CD2515"/>
    <w:rsid w:val="00CD3478"/>
    <w:rsid w:val="00CD53EE"/>
    <w:rsid w:val="00CD6631"/>
    <w:rsid w:val="00CD756A"/>
    <w:rsid w:val="00CE0793"/>
    <w:rsid w:val="00CE6D2A"/>
    <w:rsid w:val="00CE7B3B"/>
    <w:rsid w:val="00CE7BDA"/>
    <w:rsid w:val="00D01877"/>
    <w:rsid w:val="00D03DEE"/>
    <w:rsid w:val="00D11ABE"/>
    <w:rsid w:val="00D1370A"/>
    <w:rsid w:val="00D153F5"/>
    <w:rsid w:val="00D1582E"/>
    <w:rsid w:val="00D22522"/>
    <w:rsid w:val="00D24B83"/>
    <w:rsid w:val="00D278B0"/>
    <w:rsid w:val="00D30FA5"/>
    <w:rsid w:val="00D34DBC"/>
    <w:rsid w:val="00D35232"/>
    <w:rsid w:val="00D35D2A"/>
    <w:rsid w:val="00D41669"/>
    <w:rsid w:val="00D4449A"/>
    <w:rsid w:val="00D45BD6"/>
    <w:rsid w:val="00D5041D"/>
    <w:rsid w:val="00D54D39"/>
    <w:rsid w:val="00D608DB"/>
    <w:rsid w:val="00D619C1"/>
    <w:rsid w:val="00D63B41"/>
    <w:rsid w:val="00D64E61"/>
    <w:rsid w:val="00D7143F"/>
    <w:rsid w:val="00D72FA0"/>
    <w:rsid w:val="00D7431C"/>
    <w:rsid w:val="00D80D31"/>
    <w:rsid w:val="00D80E8A"/>
    <w:rsid w:val="00D83154"/>
    <w:rsid w:val="00D92FFC"/>
    <w:rsid w:val="00D94A2F"/>
    <w:rsid w:val="00DB00FA"/>
    <w:rsid w:val="00DC7B0F"/>
    <w:rsid w:val="00DE1FE7"/>
    <w:rsid w:val="00DF3B42"/>
    <w:rsid w:val="00DF5736"/>
    <w:rsid w:val="00DF7E1E"/>
    <w:rsid w:val="00E00C45"/>
    <w:rsid w:val="00E05644"/>
    <w:rsid w:val="00E0710F"/>
    <w:rsid w:val="00E07DE6"/>
    <w:rsid w:val="00E17198"/>
    <w:rsid w:val="00E23FA6"/>
    <w:rsid w:val="00E26AE8"/>
    <w:rsid w:val="00E30B00"/>
    <w:rsid w:val="00E33946"/>
    <w:rsid w:val="00E3625E"/>
    <w:rsid w:val="00E37273"/>
    <w:rsid w:val="00E422A9"/>
    <w:rsid w:val="00E470A1"/>
    <w:rsid w:val="00E52279"/>
    <w:rsid w:val="00E53C2D"/>
    <w:rsid w:val="00E5453C"/>
    <w:rsid w:val="00E55E13"/>
    <w:rsid w:val="00E5654B"/>
    <w:rsid w:val="00E5672E"/>
    <w:rsid w:val="00E577B7"/>
    <w:rsid w:val="00E63D56"/>
    <w:rsid w:val="00E65E0B"/>
    <w:rsid w:val="00E664CD"/>
    <w:rsid w:val="00E72565"/>
    <w:rsid w:val="00E74F93"/>
    <w:rsid w:val="00E769A0"/>
    <w:rsid w:val="00E9097A"/>
    <w:rsid w:val="00E9580B"/>
    <w:rsid w:val="00E95D93"/>
    <w:rsid w:val="00E974D4"/>
    <w:rsid w:val="00EA02C0"/>
    <w:rsid w:val="00EA17EB"/>
    <w:rsid w:val="00EA679A"/>
    <w:rsid w:val="00EB0EBE"/>
    <w:rsid w:val="00EB335B"/>
    <w:rsid w:val="00ED28DD"/>
    <w:rsid w:val="00ED424C"/>
    <w:rsid w:val="00ED6F60"/>
    <w:rsid w:val="00EE1C86"/>
    <w:rsid w:val="00EE38C0"/>
    <w:rsid w:val="00EE3991"/>
    <w:rsid w:val="00EE5D51"/>
    <w:rsid w:val="00EE6131"/>
    <w:rsid w:val="00EF4F7C"/>
    <w:rsid w:val="00EF5977"/>
    <w:rsid w:val="00F0003A"/>
    <w:rsid w:val="00F02BA0"/>
    <w:rsid w:val="00F035DA"/>
    <w:rsid w:val="00F03ADE"/>
    <w:rsid w:val="00F07E04"/>
    <w:rsid w:val="00F14B12"/>
    <w:rsid w:val="00F15A69"/>
    <w:rsid w:val="00F16646"/>
    <w:rsid w:val="00F170D7"/>
    <w:rsid w:val="00F24BBF"/>
    <w:rsid w:val="00F25BF2"/>
    <w:rsid w:val="00F25E16"/>
    <w:rsid w:val="00F27EF2"/>
    <w:rsid w:val="00F321B7"/>
    <w:rsid w:val="00F376DF"/>
    <w:rsid w:val="00F40A09"/>
    <w:rsid w:val="00F51329"/>
    <w:rsid w:val="00F514F6"/>
    <w:rsid w:val="00F51ACD"/>
    <w:rsid w:val="00F52C64"/>
    <w:rsid w:val="00F641E7"/>
    <w:rsid w:val="00F64806"/>
    <w:rsid w:val="00F71AB5"/>
    <w:rsid w:val="00F77887"/>
    <w:rsid w:val="00F83561"/>
    <w:rsid w:val="00F85E4F"/>
    <w:rsid w:val="00F873B5"/>
    <w:rsid w:val="00F917EC"/>
    <w:rsid w:val="00F92B6A"/>
    <w:rsid w:val="00F941C1"/>
    <w:rsid w:val="00FA6C61"/>
    <w:rsid w:val="00FA7CF6"/>
    <w:rsid w:val="00FB64B9"/>
    <w:rsid w:val="00FB7DCB"/>
    <w:rsid w:val="00FC32A9"/>
    <w:rsid w:val="00FD26AC"/>
    <w:rsid w:val="00FE0F86"/>
    <w:rsid w:val="00FE1510"/>
    <w:rsid w:val="00FE5E06"/>
    <w:rsid w:val="00FE6448"/>
    <w:rsid w:val="00FF030F"/>
    <w:rsid w:val="00FF6FE4"/>
    <w:rsid w:val="034A16B3"/>
    <w:rsid w:val="03B64756"/>
    <w:rsid w:val="03D3337E"/>
    <w:rsid w:val="061F7F8D"/>
    <w:rsid w:val="08DD41BE"/>
    <w:rsid w:val="0A6822E9"/>
    <w:rsid w:val="0AD9330B"/>
    <w:rsid w:val="103772E9"/>
    <w:rsid w:val="12DD3586"/>
    <w:rsid w:val="177B3894"/>
    <w:rsid w:val="1B2E116B"/>
    <w:rsid w:val="1ED9108A"/>
    <w:rsid w:val="277D71B5"/>
    <w:rsid w:val="2DB22B62"/>
    <w:rsid w:val="2DC5220F"/>
    <w:rsid w:val="2E7E11FB"/>
    <w:rsid w:val="2EE45D6B"/>
    <w:rsid w:val="30A84F47"/>
    <w:rsid w:val="32F774D9"/>
    <w:rsid w:val="346C4160"/>
    <w:rsid w:val="348D63C4"/>
    <w:rsid w:val="35CA55F8"/>
    <w:rsid w:val="35CF1523"/>
    <w:rsid w:val="3879116C"/>
    <w:rsid w:val="3AFB3BB4"/>
    <w:rsid w:val="3DAF102B"/>
    <w:rsid w:val="3E432AAE"/>
    <w:rsid w:val="44F77233"/>
    <w:rsid w:val="47FD3CCE"/>
    <w:rsid w:val="480244B9"/>
    <w:rsid w:val="4EA65A7E"/>
    <w:rsid w:val="501B6C76"/>
    <w:rsid w:val="534704F3"/>
    <w:rsid w:val="54576C9F"/>
    <w:rsid w:val="55006BAB"/>
    <w:rsid w:val="56D4639E"/>
    <w:rsid w:val="57FD21E1"/>
    <w:rsid w:val="58572E1E"/>
    <w:rsid w:val="591A373E"/>
    <w:rsid w:val="5EB41E87"/>
    <w:rsid w:val="621719D8"/>
    <w:rsid w:val="63AB42D6"/>
    <w:rsid w:val="652A321E"/>
    <w:rsid w:val="65940464"/>
    <w:rsid w:val="674D3893"/>
    <w:rsid w:val="6E3207B0"/>
    <w:rsid w:val="6F7D5814"/>
    <w:rsid w:val="6F8F2BAE"/>
    <w:rsid w:val="6FCC0AB6"/>
    <w:rsid w:val="78AC09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widowControl/>
      <w:spacing w:before="240" w:after="240"/>
      <w:ind w:left="240" w:right="240"/>
      <w:jc w:val="left"/>
      <w:outlineLvl w:val="2"/>
    </w:pPr>
    <w:rPr>
      <w:rFonts w:ascii="宋体" w:hAnsi="宋体"/>
      <w:b/>
      <w:bCs/>
      <w:kern w:val="0"/>
      <w:sz w:val="23"/>
      <w:szCs w:val="23"/>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qFormat/>
    <w:uiPriority w:val="0"/>
    <w:pPr>
      <w:spacing w:after="120"/>
    </w:pPr>
  </w:style>
  <w:style w:type="paragraph" w:styleId="8">
    <w:name w:val="Body Text Indent"/>
    <w:basedOn w:val="1"/>
    <w:qFormat/>
    <w:uiPriority w:val="0"/>
    <w:pPr>
      <w:ind w:right="25" w:rightChars="12" w:firstLine="720" w:firstLineChars="257"/>
    </w:pPr>
    <w:rPr>
      <w:rFonts w:ascii="宋体" w:hAnsi="宋体"/>
      <w:sz w:val="28"/>
    </w:rPr>
  </w:style>
  <w:style w:type="paragraph" w:styleId="9">
    <w:name w:val="Block Text"/>
    <w:basedOn w:val="1"/>
    <w:link w:val="28"/>
    <w:qFormat/>
    <w:uiPriority w:val="0"/>
    <w:pPr>
      <w:spacing w:line="360" w:lineRule="exact"/>
      <w:ind w:left="-178" w:leftChars="-85" w:right="-328" w:rightChars="-156" w:firstLine="360" w:firstLineChars="150"/>
    </w:pPr>
    <w:rPr>
      <w:rFonts w:ascii="宋体" w:hAnsi="宋体"/>
      <w:sz w:val="24"/>
      <w:szCs w:val="24"/>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ascii="宋体" w:hAnsi="宋体"/>
      <w:sz w:val="28"/>
    </w:rPr>
  </w:style>
  <w:style w:type="paragraph" w:styleId="12">
    <w:name w:val="Body Text Indent 2"/>
    <w:basedOn w:val="1"/>
    <w:qFormat/>
    <w:uiPriority w:val="0"/>
    <w:pPr>
      <w:spacing w:line="440" w:lineRule="exact"/>
      <w:ind w:firstLine="538" w:firstLineChars="192"/>
    </w:pPr>
    <w:rPr>
      <w:rFonts w:ascii="宋体" w:hAnsi="宋体"/>
      <w:sz w:val="28"/>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Body Text 2"/>
    <w:basedOn w:val="1"/>
    <w:qFormat/>
    <w:uiPriority w:val="0"/>
    <w:pPr>
      <w:spacing w:after="120" w:line="480" w:lineRule="auto"/>
    </w:pPr>
    <w:rPr>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29"/>
    <w:qFormat/>
    <w:uiPriority w:val="0"/>
    <w:pPr>
      <w:spacing w:before="240" w:after="60"/>
      <w:jc w:val="center"/>
      <w:outlineLvl w:val="0"/>
    </w:pPr>
    <w:rPr>
      <w:rFonts w:ascii="Cambria" w:hAnsi="Cambria"/>
      <w:b/>
      <w:bCs/>
      <w:sz w:val="32"/>
      <w:szCs w:val="3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customStyle="1" w:styleId="27">
    <w:name w:val="标题 2 Char"/>
    <w:link w:val="2"/>
    <w:qFormat/>
    <w:uiPriority w:val="0"/>
    <w:rPr>
      <w:rFonts w:ascii="Arial" w:hAnsi="Arial" w:eastAsia="黑体"/>
      <w:b/>
      <w:bCs/>
      <w:kern w:val="2"/>
      <w:sz w:val="32"/>
      <w:szCs w:val="32"/>
      <w:lang w:val="en-US" w:eastAsia="zh-CN" w:bidi="ar-SA"/>
    </w:rPr>
  </w:style>
  <w:style w:type="character" w:customStyle="1" w:styleId="28">
    <w:name w:val="文本块 Char"/>
    <w:link w:val="9"/>
    <w:qFormat/>
    <w:locked/>
    <w:uiPriority w:val="0"/>
    <w:rPr>
      <w:rFonts w:ascii="宋体" w:hAnsi="宋体" w:eastAsia="宋体"/>
      <w:kern w:val="2"/>
      <w:sz w:val="24"/>
      <w:szCs w:val="24"/>
      <w:lang w:val="en-US" w:eastAsia="zh-CN" w:bidi="ar-SA"/>
    </w:rPr>
  </w:style>
  <w:style w:type="character" w:customStyle="1" w:styleId="29">
    <w:name w:val="标题 Char"/>
    <w:link w:val="20"/>
    <w:qFormat/>
    <w:uiPriority w:val="0"/>
    <w:rPr>
      <w:rFonts w:ascii="Cambria" w:hAnsi="Cambria"/>
      <w:b/>
      <w:bCs/>
      <w:kern w:val="2"/>
      <w:sz w:val="32"/>
      <w:szCs w:val="32"/>
    </w:rPr>
  </w:style>
  <w:style w:type="paragraph" w:customStyle="1" w:styleId="30">
    <w:name w:val="xl24"/>
    <w:basedOn w:val="1"/>
    <w:qFormat/>
    <w:uiPriority w:val="0"/>
    <w:pPr>
      <w:widowControl/>
      <w:spacing w:before="100" w:beforeAutospacing="1" w:after="100" w:afterAutospacing="1"/>
      <w:jc w:val="center"/>
    </w:pPr>
    <w:rPr>
      <w:rFonts w:hint="eastAsia" w:ascii="仿宋_GB2312" w:hAnsi="宋体" w:eastAsia="仿宋_GB2312"/>
      <w:kern w:val="0"/>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FF</Company>
  <Pages>18</Pages>
  <Words>12451</Words>
  <Characters>13054</Characters>
  <Lines>90</Lines>
  <Paragraphs>25</Paragraphs>
  <TotalTime>6</TotalTime>
  <ScaleCrop>false</ScaleCrop>
  <LinksUpToDate>false</LinksUpToDate>
  <CharactersWithSpaces>13210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2021-11-18T03:06:00Z</dcterms:created>
  <dc:creator>qg2</dc:creator>
  <cp:lastModifiedBy>军哥</cp:lastModifiedBy>
  <cp:lastPrinted>2024-08-09T09:13:00Z</cp:lastPrinted>
  <dcterms:modified xsi:type="dcterms:W3CDTF">2024-12-31T06:32:59Z</dcterms:modified>
  <dc:title>安全生产检查管理制度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8C2116CC53CE482B97BA27CC2DB14CB4_13</vt:lpwstr>
  </property>
</Properties>
</file>