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仿宋" w:hAnsi="仿宋" w:eastAsia="仿宋"/>
          <w:sz w:val="36"/>
          <w:szCs w:val="36"/>
        </w:rPr>
      </w:pPr>
      <w:bookmarkStart w:id="0" w:name="_Toc388020209"/>
      <w:r>
        <w:rPr>
          <w:rFonts w:hint="eastAsia" w:ascii="仿宋" w:hAnsi="仿宋" w:eastAsia="仿宋"/>
          <w:sz w:val="36"/>
          <w:szCs w:val="36"/>
        </w:rPr>
        <w:t>洛阳交运集团2.2MW分布式光伏发电项目</w:t>
      </w:r>
    </w:p>
    <w:p>
      <w:pPr>
        <w:pStyle w:val="2"/>
        <w:jc w:val="center"/>
      </w:pPr>
    </w:p>
    <w:p>
      <w:pPr>
        <w:pStyle w:val="2"/>
        <w:jc w:val="center"/>
        <w:rPr>
          <w:b/>
          <w:bCs w:val="0"/>
          <w:sz w:val="52"/>
          <w:szCs w:val="52"/>
        </w:rPr>
      </w:pPr>
      <w:r>
        <w:rPr>
          <w:b/>
          <w:bCs w:val="0"/>
          <w:sz w:val="52"/>
          <w:szCs w:val="52"/>
        </w:rPr>
        <w:t>监</w:t>
      </w:r>
      <w:r>
        <w:rPr>
          <w:rFonts w:hint="eastAsia"/>
          <w:b/>
          <w:bCs w:val="0"/>
          <w:sz w:val="52"/>
          <w:szCs w:val="52"/>
        </w:rPr>
        <w:t xml:space="preserve"> </w:t>
      </w:r>
      <w:r>
        <w:rPr>
          <w:b/>
          <w:bCs w:val="0"/>
          <w:sz w:val="52"/>
          <w:szCs w:val="52"/>
        </w:rPr>
        <w:t>理</w:t>
      </w:r>
      <w:r>
        <w:rPr>
          <w:rFonts w:hint="eastAsia"/>
          <w:b/>
          <w:bCs w:val="0"/>
          <w:sz w:val="52"/>
          <w:szCs w:val="52"/>
        </w:rPr>
        <w:t xml:space="preserve"> </w:t>
      </w:r>
      <w:r>
        <w:rPr>
          <w:b/>
          <w:bCs w:val="0"/>
          <w:sz w:val="52"/>
          <w:szCs w:val="52"/>
        </w:rPr>
        <w:t>实</w:t>
      </w:r>
      <w:r>
        <w:rPr>
          <w:rFonts w:hint="eastAsia"/>
          <w:b/>
          <w:bCs w:val="0"/>
          <w:sz w:val="52"/>
          <w:szCs w:val="52"/>
        </w:rPr>
        <w:t xml:space="preserve"> </w:t>
      </w:r>
      <w:r>
        <w:rPr>
          <w:b/>
          <w:bCs w:val="0"/>
          <w:sz w:val="52"/>
          <w:szCs w:val="52"/>
        </w:rPr>
        <w:t>施</w:t>
      </w:r>
      <w:r>
        <w:rPr>
          <w:rFonts w:hint="eastAsia"/>
          <w:b/>
          <w:bCs w:val="0"/>
          <w:sz w:val="52"/>
          <w:szCs w:val="52"/>
        </w:rPr>
        <w:t xml:space="preserve"> </w:t>
      </w:r>
      <w:r>
        <w:rPr>
          <w:b/>
          <w:bCs w:val="0"/>
          <w:sz w:val="52"/>
          <w:szCs w:val="52"/>
        </w:rPr>
        <w:t>细</w:t>
      </w:r>
      <w:r>
        <w:rPr>
          <w:rFonts w:hint="eastAsia"/>
          <w:b/>
          <w:bCs w:val="0"/>
          <w:sz w:val="52"/>
          <w:szCs w:val="52"/>
        </w:rPr>
        <w:t xml:space="preserve"> </w:t>
      </w:r>
      <w:r>
        <w:rPr>
          <w:b/>
          <w:bCs w:val="0"/>
          <w:sz w:val="52"/>
          <w:szCs w:val="52"/>
        </w:rPr>
        <w:t>则</w:t>
      </w:r>
      <w:bookmarkEnd w:id="0"/>
    </w:p>
    <w:p>
      <w:pPr>
        <w:pStyle w:val="2"/>
        <w:jc w:val="center"/>
      </w:pPr>
      <w:r>
        <w:rPr>
          <w:rFonts w:hint="eastAsia"/>
        </w:rPr>
        <w:t>（</w:t>
      </w:r>
      <w:r>
        <w:rPr>
          <w:rFonts w:hint="eastAsia"/>
          <w:lang w:val="en-US" w:eastAsia="zh-CN"/>
        </w:rPr>
        <w:t>安全</w:t>
      </w:r>
      <w:r>
        <w:rPr>
          <w:rFonts w:hint="eastAsia"/>
        </w:rPr>
        <w:t>）</w:t>
      </w:r>
    </w:p>
    <w:p>
      <w:pPr>
        <w:topLinePunct/>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批准</w:t>
      </w:r>
      <w:r>
        <w:rPr>
          <w:rFonts w:hint="eastAsia" w:ascii="仿宋" w:hAnsi="仿宋" w:eastAsia="仿宋"/>
          <w:sz w:val="24"/>
          <w:szCs w:val="21"/>
          <w:u w:val="single"/>
        </w:rPr>
        <w:t xml:space="preserve">                 </w:t>
      </w:r>
      <w:r>
        <w:rPr>
          <w:rFonts w:hint="eastAsia" w:ascii="宋体" w:hAnsi="宋体" w:eastAsia="宋体" w:cs="宋体"/>
          <w:sz w:val="24"/>
          <w:szCs w:val="21"/>
          <w:u w:val="single"/>
        </w:rPr>
        <w:t> </w:t>
      </w:r>
      <w:r>
        <w:rPr>
          <w:rFonts w:hint="eastAsia" w:ascii="仿宋" w:hAnsi="仿宋" w:eastAsia="仿宋"/>
          <w:sz w:val="24"/>
          <w:szCs w:val="21"/>
          <w:u w:val="single"/>
        </w:rPr>
        <w:t xml:space="preserve">    </w:t>
      </w:r>
      <w:r>
        <w:rPr>
          <w:rFonts w:hint="eastAsia" w:ascii="仿宋" w:hAnsi="仿宋" w:eastAsia="仿宋"/>
          <w:sz w:val="24"/>
          <w:szCs w:val="21"/>
        </w:rPr>
        <w:t xml:space="preserve"> </w:t>
      </w: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 xml:space="preserve"> </w:t>
      </w:r>
    </w:p>
    <w:p>
      <w:pPr>
        <w:topLinePunct/>
        <w:spacing w:line="360" w:lineRule="auto"/>
        <w:ind w:left="851" w:firstLine="849" w:firstLineChars="354"/>
        <w:rPr>
          <w:rFonts w:ascii="仿宋" w:hAnsi="仿宋" w:eastAsia="仿宋"/>
          <w:sz w:val="24"/>
          <w:szCs w:val="21"/>
        </w:rPr>
      </w:pPr>
      <w:r>
        <w:rPr>
          <w:rFonts w:hint="eastAsia" w:ascii="仿宋" w:hAnsi="仿宋" w:eastAsia="仿宋"/>
          <w:sz w:val="24"/>
          <w:szCs w:val="21"/>
        </w:rPr>
        <w:t>编制</w:t>
      </w:r>
      <w:r>
        <w:rPr>
          <w:rFonts w:hint="eastAsia" w:ascii="仿宋" w:hAnsi="仿宋" w:eastAsia="仿宋"/>
          <w:sz w:val="24"/>
          <w:szCs w:val="21"/>
          <w:u w:val="single"/>
        </w:rPr>
        <w:t xml:space="preserve">                </w:t>
      </w:r>
      <w:r>
        <w:rPr>
          <w:rFonts w:hint="eastAsia" w:ascii="宋体" w:hAnsi="宋体" w:eastAsia="宋体" w:cs="宋体"/>
          <w:sz w:val="24"/>
          <w:szCs w:val="21"/>
          <w:u w:val="single"/>
        </w:rPr>
        <w:t> </w:t>
      </w:r>
      <w:r>
        <w:rPr>
          <w:rFonts w:hint="eastAsia" w:ascii="仿宋" w:hAnsi="仿宋" w:eastAsia="仿宋"/>
          <w:sz w:val="24"/>
          <w:szCs w:val="21"/>
          <w:u w:val="single"/>
        </w:rPr>
        <w:t xml:space="preserve">     </w:t>
      </w:r>
      <w:r>
        <w:rPr>
          <w:rFonts w:hint="eastAsia" w:ascii="仿宋" w:hAnsi="仿宋" w:eastAsia="仿宋"/>
          <w:sz w:val="24"/>
          <w:szCs w:val="21"/>
        </w:rPr>
        <w:t xml:space="preserve"> </w:t>
      </w:r>
    </w:p>
    <w:p>
      <w:pPr>
        <w:topLinePunct/>
        <w:spacing w:line="360" w:lineRule="auto"/>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ind w:firstLine="425"/>
        <w:rPr>
          <w:rFonts w:ascii="仿宋" w:hAnsi="仿宋" w:eastAsia="仿宋"/>
          <w:szCs w:val="21"/>
        </w:rPr>
      </w:pPr>
    </w:p>
    <w:p>
      <w:pPr>
        <w:topLinePunct/>
        <w:rPr>
          <w:rFonts w:ascii="仿宋" w:hAnsi="仿宋" w:eastAsia="仿宋"/>
          <w:szCs w:val="21"/>
        </w:rPr>
      </w:pPr>
    </w:p>
    <w:p>
      <w:pPr>
        <w:tabs>
          <w:tab w:val="left" w:pos="3560"/>
        </w:tabs>
        <w:topLinePunct/>
        <w:spacing w:line="360" w:lineRule="auto"/>
        <w:jc w:val="center"/>
        <w:rPr>
          <w:rFonts w:ascii="仿宋" w:hAnsi="仿宋" w:eastAsia="仿宋"/>
          <w:sz w:val="24"/>
          <w:szCs w:val="24"/>
        </w:rPr>
      </w:pPr>
      <w:r>
        <w:rPr>
          <w:rFonts w:hint="eastAsia" w:ascii="仿宋" w:hAnsi="仿宋" w:eastAsia="仿宋"/>
          <w:sz w:val="24"/>
          <w:szCs w:val="24"/>
        </w:rPr>
        <w:t>洛阳交运集团2.2</w:t>
      </w:r>
      <w:r>
        <w:rPr>
          <w:rFonts w:hint="eastAsia" w:ascii="仿宋" w:hAnsi="仿宋" w:eastAsia="仿宋"/>
          <w:sz w:val="24"/>
          <w:szCs w:val="24"/>
          <w:lang w:val="en-US" w:eastAsia="zh-CN"/>
        </w:rPr>
        <w:t>mw光伏发电</w:t>
      </w:r>
      <w:bookmarkStart w:id="42" w:name="_GoBack"/>
      <w:bookmarkEnd w:id="42"/>
      <w:r>
        <w:rPr>
          <w:rFonts w:hint="eastAsia" w:ascii="仿宋" w:hAnsi="仿宋" w:eastAsia="仿宋"/>
          <w:sz w:val="24"/>
          <w:szCs w:val="24"/>
        </w:rPr>
        <w:t>监理项目部</w:t>
      </w:r>
    </w:p>
    <w:p>
      <w:pPr>
        <w:tabs>
          <w:tab w:val="left" w:pos="3560"/>
        </w:tabs>
        <w:topLinePunct/>
        <w:spacing w:line="360" w:lineRule="auto"/>
        <w:jc w:val="center"/>
        <w:rPr>
          <w:rFonts w:ascii="宋体" w:hAnsi="宋体" w:cs="Times New Roman"/>
          <w:b/>
          <w:sz w:val="36"/>
          <w:szCs w:val="36"/>
          <w:u w:val="single"/>
        </w:rPr>
      </w:pPr>
      <w:r>
        <w:rPr>
          <w:rFonts w:hint="eastAsia" w:ascii="仿宋" w:hAnsi="仿宋" w:eastAsia="仿宋"/>
          <w:sz w:val="24"/>
          <w:szCs w:val="24"/>
        </w:rPr>
        <w:t>（加盖监理项目部公章）</w:t>
      </w:r>
    </w:p>
    <w:p>
      <w:pPr>
        <w:tabs>
          <w:tab w:val="left" w:pos="3560"/>
        </w:tabs>
        <w:topLinePunct/>
        <w:spacing w:line="360" w:lineRule="auto"/>
        <w:jc w:val="center"/>
        <w:rPr>
          <w:rFonts w:ascii="仿宋" w:hAnsi="仿宋" w:eastAsia="仿宋"/>
          <w:sz w:val="24"/>
          <w:szCs w:val="24"/>
          <w:u w:val="single"/>
        </w:rPr>
      </w:pPr>
      <w:r>
        <w:rPr>
          <w:rFonts w:hint="eastAsia" w:ascii="仿宋" w:hAnsi="仿宋" w:eastAsia="仿宋"/>
          <w:sz w:val="24"/>
          <w:szCs w:val="24"/>
        </w:rPr>
        <w:t>_______</w:t>
      </w:r>
      <w:r>
        <w:rPr>
          <w:rFonts w:hint="eastAsia" w:ascii="仿宋" w:hAnsi="仿宋" w:eastAsia="仿宋"/>
          <w:sz w:val="24"/>
          <w:szCs w:val="24"/>
          <w:lang w:val="en-US" w:eastAsia="zh-CN"/>
        </w:rPr>
        <w:t>________</w:t>
      </w:r>
      <w:r>
        <w:rPr>
          <w:rFonts w:hint="eastAsia" w:ascii="仿宋" w:hAnsi="仿宋" w:eastAsia="仿宋"/>
          <w:sz w:val="24"/>
          <w:szCs w:val="24"/>
        </w:rPr>
        <w:t xml:space="preserve">年____月 </w:t>
      </w:r>
    </w:p>
    <w:p>
      <w:pPr>
        <w:pStyle w:val="8"/>
        <w:tabs>
          <w:tab w:val="right" w:leader="dot" w:pos="9072"/>
        </w:tabs>
        <w:rPr>
          <w:rFonts w:ascii="宋体" w:hAnsi="宋体"/>
          <w:b/>
          <w:color w:val="000000"/>
          <w:sz w:val="24"/>
          <w:szCs w:val="24"/>
        </w:rPr>
      </w:pPr>
    </w:p>
    <w:p>
      <w:pPr>
        <w:pStyle w:val="8"/>
        <w:tabs>
          <w:tab w:val="right" w:leader="dot" w:pos="9072"/>
        </w:tabs>
        <w:jc w:val="center"/>
        <w:rPr>
          <w:rFonts w:hint="eastAsia" w:ascii="宋体" w:hAnsi="宋体"/>
          <w:b/>
          <w:color w:val="000000"/>
          <w:sz w:val="36"/>
          <w:szCs w:val="36"/>
        </w:rPr>
      </w:pPr>
    </w:p>
    <w:p>
      <w:pPr>
        <w:pStyle w:val="8"/>
        <w:tabs>
          <w:tab w:val="right" w:leader="dot" w:pos="9072"/>
        </w:tabs>
        <w:jc w:val="center"/>
        <w:rPr>
          <w:rFonts w:ascii="宋体" w:hAnsi="宋体"/>
          <w:b/>
          <w:color w:val="000000"/>
          <w:sz w:val="36"/>
          <w:szCs w:val="36"/>
        </w:rPr>
      </w:pPr>
      <w:r>
        <w:rPr>
          <w:rFonts w:hint="eastAsia" w:ascii="宋体" w:hAnsi="宋体"/>
          <w:b/>
          <w:color w:val="000000"/>
          <w:sz w:val="36"/>
          <w:szCs w:val="36"/>
        </w:rPr>
        <w:t>目  录</w:t>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sz w:val="28"/>
          <w:szCs w:val="28"/>
        </w:rPr>
        <w:fldChar w:fldCharType="begin"/>
      </w:r>
      <w:r>
        <w:rPr>
          <w:rFonts w:hint="eastAsia" w:asciiTheme="majorEastAsia" w:hAnsiTheme="majorEastAsia" w:eastAsiaTheme="majorEastAsia" w:cstheme="majorEastAsia"/>
          <w:b/>
          <w:color w:val="000000"/>
          <w:sz w:val="28"/>
          <w:szCs w:val="28"/>
        </w:rPr>
        <w:instrText xml:space="preserve">TOC \o "1-3" \h \u </w:instrText>
      </w:r>
      <w:r>
        <w:rPr>
          <w:rFonts w:hint="eastAsia" w:asciiTheme="majorEastAsia" w:hAnsiTheme="majorEastAsia" w:eastAsiaTheme="majorEastAsia" w:cstheme="majorEastAsia"/>
          <w:b/>
          <w:color w:val="000000"/>
          <w:sz w:val="28"/>
          <w:szCs w:val="28"/>
        </w:rPr>
        <w:fldChar w:fldCharType="separate"/>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"_Toc13968"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一、编制依据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_Toc13968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"_Toc3183"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二、工程概况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_Toc3183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"_Toc20844"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三、 监理工作范围</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_Toc20844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"_Toc14489"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四、监理工作流程</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_Toc14489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"_Toc730"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五、控制目标</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_Toc730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"_Toc32303"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1、控制目标</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_Toc32303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"_Toc12693"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2、控制要点</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_Toc12693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"_Toc19493"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color w:val="000000"/>
          <w:sz w:val="28"/>
          <w:szCs w:val="28"/>
        </w:rPr>
        <w:t>六、监理工作方法和措施：</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_Toc19493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"_Toc12126"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1、总则</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_Toc12126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"_Toc14696"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2、安全管理主要内容</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_Toc14696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"_Toc23254"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3、安全的事前控制</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_Toc23254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"_Toc26585"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4、安全的事中控制</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_Toc26585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"_Toc7446"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5、安全的事后控制</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_Toc7446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"_Toc6144"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6、文明施工</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_Toc6144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"_Toc2321"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sz w:val="28"/>
          <w:szCs w:val="28"/>
        </w:rPr>
        <w:t>7、环境保护</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_Toc2321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8"/>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"_Toc15205"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color w:val="000000"/>
          <w:sz w:val="28"/>
          <w:szCs w:val="28"/>
        </w:rPr>
        <w:t>七、管理体系及职责</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_Toc15205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"_Toc21255"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color w:val="000000"/>
          <w:sz w:val="28"/>
          <w:szCs w:val="28"/>
        </w:rPr>
        <w:t>1、管理体系</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_Toc21255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9"/>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"_Toc695"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b/>
          <w:color w:val="000000"/>
          <w:sz w:val="28"/>
          <w:szCs w:val="28"/>
        </w:rPr>
        <w:t>2、岗位安全职责</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_Toc695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spacing w:line="360" w:lineRule="auto"/>
        <w:outlineLvl w:val="1"/>
        <w:rPr>
          <w:rFonts w:hint="eastAsia" w:asciiTheme="majorEastAsia" w:hAnsiTheme="majorEastAsia" w:eastAsiaTheme="majorEastAsia" w:cstheme="majorEastAsia"/>
          <w:b/>
          <w:color w:val="000000"/>
          <w:sz w:val="28"/>
          <w:szCs w:val="28"/>
        </w:rPr>
      </w:pPr>
      <w:r>
        <w:rPr>
          <w:rFonts w:hint="eastAsia" w:asciiTheme="majorEastAsia" w:hAnsiTheme="majorEastAsia" w:eastAsiaTheme="majorEastAsia" w:cstheme="majorEastAsia"/>
          <w:b/>
          <w:color w:val="000000"/>
          <w:sz w:val="28"/>
          <w:szCs w:val="28"/>
        </w:rPr>
        <w:fldChar w:fldCharType="end"/>
      </w:r>
    </w:p>
    <w:p>
      <w:pPr>
        <w:spacing w:after="240" w:line="720" w:lineRule="auto"/>
        <w:ind w:firstLine="1687" w:firstLineChars="600"/>
        <w:rPr>
          <w:rFonts w:hint="eastAsia" w:asciiTheme="majorEastAsia" w:hAnsiTheme="majorEastAsia" w:eastAsiaTheme="majorEastAsia" w:cstheme="majorEastAsia"/>
          <w:b/>
          <w:sz w:val="28"/>
          <w:szCs w:val="28"/>
          <w:u w:val="single"/>
        </w:rPr>
        <w:sectPr>
          <w:headerReference r:id="rId3" w:type="default"/>
          <w:footerReference r:id="rId4" w:type="default"/>
          <w:pgSz w:w="11906" w:h="16838"/>
          <w:pgMar w:top="1440" w:right="1800" w:bottom="1440" w:left="1800" w:header="850" w:footer="850" w:gutter="0"/>
          <w:cols w:space="425" w:num="1"/>
          <w:docGrid w:type="lines" w:linePitch="312" w:charSpace="0"/>
        </w:sectPr>
      </w:pPr>
    </w:p>
    <w:p>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1" w:name="_Toc13386"/>
      <w:bookmarkStart w:id="2" w:name="_Toc13968"/>
      <w:r>
        <w:rPr>
          <w:rFonts w:hint="eastAsia" w:ascii="宋体" w:hAnsi="宋体"/>
          <w:b/>
          <w:sz w:val="24"/>
          <w:szCs w:val="24"/>
        </w:rPr>
        <w:t>一、编制依据</w:t>
      </w:r>
      <w:bookmarkEnd w:id="1"/>
      <w:bookmarkEnd w:id="2"/>
    </w:p>
    <w:p>
      <w:pPr>
        <w:pStyle w:val="3"/>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1、2000-12国家技术监督局、中华人民共和国电力行业标准DL/T5434-2009《电力建设工程监理规范》</w:t>
      </w:r>
    </w:p>
    <w:p>
      <w:pPr>
        <w:pStyle w:val="3"/>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3"/>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pPr>
        <w:pStyle w:val="3"/>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pPr>
        <w:pStyle w:val="3"/>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2013-04-01国家能源局发布实施DL5009.2-2013《电力建设安全工作规程第2部分(电力线路线电力行业标准)》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6、《职业健康安全管理体系规范》GB/T28001-2001</w:t>
      </w:r>
    </w:p>
    <w:p>
      <w:pPr>
        <w:spacing w:line="360" w:lineRule="auto"/>
        <w:rPr>
          <w:rFonts w:ascii="宋体" w:hAnsi="宋体"/>
          <w:sz w:val="24"/>
          <w:szCs w:val="24"/>
        </w:rPr>
      </w:pPr>
      <w:r>
        <w:rPr>
          <w:rFonts w:hint="eastAsia" w:ascii="宋体" w:hAnsi="宋体"/>
          <w:sz w:val="24"/>
          <w:szCs w:val="24"/>
        </w:rPr>
        <w:t>7、《中华人民共和国建筑法》 1997年11月1日中华人民共和国主席令第91号公布， 自1998年3月1日起施行。</w:t>
      </w:r>
    </w:p>
    <w:p>
      <w:pPr>
        <w:spacing w:line="360" w:lineRule="auto"/>
        <w:rPr>
          <w:rFonts w:ascii="宋体" w:hAnsi="宋体"/>
          <w:sz w:val="24"/>
          <w:szCs w:val="24"/>
        </w:rPr>
      </w:pPr>
      <w:r>
        <w:rPr>
          <w:rFonts w:hint="eastAsia" w:ascii="宋体" w:hAnsi="宋体"/>
          <w:sz w:val="24"/>
          <w:szCs w:val="24"/>
        </w:rPr>
        <w:t>8、《中华人民共和国安全生产法》中华人民共和国第九届全国人民代表大会常务委员会第二十八次会议于2002年6月29日通过，现予公布，自2002年11月1日起施行。</w:t>
      </w:r>
    </w:p>
    <w:p>
      <w:pPr>
        <w:spacing w:line="360" w:lineRule="auto"/>
        <w:rPr>
          <w:rFonts w:ascii="宋体" w:hAnsi="宋体"/>
          <w:sz w:val="24"/>
          <w:szCs w:val="24"/>
        </w:rPr>
      </w:pPr>
      <w:r>
        <w:rPr>
          <w:rFonts w:hint="eastAsia" w:ascii="宋体" w:hAnsi="宋体"/>
          <w:sz w:val="24"/>
          <w:szCs w:val="24"/>
        </w:rPr>
        <w:t>9、《建设工程安全生产管理条例》393号令  2003年11月12日国务院第28次常务会议通过，现予公布，自2004年2月1日起施行。</w:t>
      </w:r>
    </w:p>
    <w:p>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11、强制性标准：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12、监理合同、监理规划</w:t>
      </w:r>
    </w:p>
    <w:p>
      <w:pPr>
        <w:spacing w:line="360" w:lineRule="auto"/>
        <w:rPr>
          <w:rFonts w:ascii="宋体" w:hAnsi="宋体"/>
          <w:sz w:val="24"/>
          <w:szCs w:val="24"/>
        </w:rPr>
      </w:pPr>
      <w:r>
        <w:rPr>
          <w:rFonts w:hint="eastAsia" w:ascii="宋体" w:hAnsi="宋体"/>
          <w:sz w:val="24"/>
          <w:szCs w:val="24"/>
        </w:rPr>
        <w:t>13、项目法人提供的本工程技术文件、资料。</w:t>
      </w:r>
    </w:p>
    <w:p>
      <w:pPr>
        <w:spacing w:line="360" w:lineRule="auto"/>
        <w:rPr>
          <w:rFonts w:ascii="宋体" w:hAnsi="宋体"/>
          <w:sz w:val="24"/>
          <w:szCs w:val="24"/>
        </w:rPr>
      </w:pPr>
      <w:r>
        <w:rPr>
          <w:rFonts w:hint="eastAsia" w:ascii="宋体" w:hAnsi="宋体"/>
          <w:sz w:val="24"/>
          <w:szCs w:val="24"/>
        </w:rPr>
        <w:t>14、工程施工组织设计。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numPr>
          <w:ilvl w:val="0"/>
          <w:numId w:val="2"/>
        </w:numPr>
        <w:tabs>
          <w:tab w:val="left" w:pos="7920"/>
        </w:tabs>
        <w:adjustRightInd w:val="0"/>
        <w:snapToGrid w:val="0"/>
        <w:spacing w:line="360" w:lineRule="auto"/>
        <w:ind w:firstLine="490"/>
        <w:rPr>
          <w:rFonts w:hint="eastAsia" w:ascii="宋体" w:hAnsi="宋体"/>
          <w:b/>
          <w:sz w:val="24"/>
          <w:szCs w:val="24"/>
        </w:rPr>
      </w:pPr>
      <w:bookmarkStart w:id="3" w:name="_Toc20534"/>
      <w:bookmarkStart w:id="4" w:name="_Toc3183"/>
      <w:r>
        <w:rPr>
          <w:rFonts w:hint="eastAsia" w:ascii="宋体" w:hAnsi="宋体"/>
          <w:b/>
          <w:sz w:val="24"/>
          <w:szCs w:val="24"/>
        </w:rPr>
        <w:t>工程概况</w:t>
      </w:r>
      <w:bookmarkEnd w:id="3"/>
      <w:bookmarkEnd w:id="4"/>
    </w:p>
    <w:p>
      <w:pPr>
        <w:numPr>
          <w:numId w:val="0"/>
        </w:numPr>
        <w:tabs>
          <w:tab w:val="left" w:pos="7920"/>
        </w:tabs>
        <w:adjustRightInd w:val="0"/>
        <w:snapToGrid w:val="0"/>
        <w:spacing w:line="360" w:lineRule="auto"/>
        <w:rPr>
          <w:rFonts w:ascii="宋体" w:hAnsi="宋体"/>
          <w:b/>
          <w:sz w:val="24"/>
          <w:szCs w:val="24"/>
        </w:rPr>
      </w:pPr>
      <w:r>
        <w:rPr>
          <w:rFonts w:hint="eastAsia" w:ascii="宋体" w:hAnsi="宋体"/>
          <w:sz w:val="24"/>
          <w:szCs w:val="24"/>
          <w:lang w:val="en-US" w:eastAsia="zh-CN"/>
        </w:rPr>
        <w:t>1、</w:t>
      </w:r>
      <w:r>
        <w:rPr>
          <w:rFonts w:ascii="宋体" w:hAnsi="宋体"/>
          <w:sz w:val="24"/>
          <w:szCs w:val="24"/>
        </w:rPr>
        <w:t>本工程光伏并网发电工程规划总装机容量为2.07306MW。采用330Wp多晶硅光伏组件6282块，</w:t>
      </w:r>
      <w:r>
        <w:rPr>
          <w:rFonts w:hint="eastAsia" w:ascii="宋体" w:hAnsi="宋体"/>
          <w:sz w:val="24"/>
          <w:szCs w:val="24"/>
        </w:rPr>
        <w:t>组串式</w:t>
      </w:r>
      <w:r>
        <w:rPr>
          <w:rFonts w:ascii="宋体" w:hAnsi="宋体"/>
          <w:sz w:val="24"/>
          <w:szCs w:val="24"/>
        </w:rPr>
        <w:t>逆变器40台，5进1出汇流箱3套，4进1出汇流箱4套</w:t>
      </w:r>
      <w:r>
        <w:rPr>
          <w:rFonts w:hint="eastAsia" w:ascii="宋体" w:hAnsi="宋体"/>
          <w:sz w:val="24"/>
          <w:szCs w:val="24"/>
        </w:rPr>
        <w:t>，</w:t>
      </w:r>
      <w:r>
        <w:rPr>
          <w:rFonts w:ascii="宋体" w:hAnsi="宋体"/>
          <w:sz w:val="24"/>
          <w:szCs w:val="24"/>
        </w:rPr>
        <w:t>3进1出汇流箱3套。光伏场区发电系统配置一套由北京四方继保工程技术有限责任公司生产的光伏监控系统。光伏区域逆变器的数据通过485线传输至箱变测控装置，最终送至</w:t>
      </w:r>
      <w:r>
        <w:rPr>
          <w:rFonts w:hint="eastAsia" w:ascii="宋体" w:hAnsi="宋体"/>
          <w:sz w:val="24"/>
          <w:szCs w:val="24"/>
        </w:rPr>
        <w:t>场内原有</w:t>
      </w:r>
      <w:r>
        <w:rPr>
          <w:rFonts w:ascii="宋体" w:hAnsi="宋体"/>
          <w:sz w:val="24"/>
          <w:szCs w:val="24"/>
        </w:rPr>
        <w:t>开关站，实现开关站内对光伏区设备的远程监控。光伏箱变高压侧装设负荷开关和熔断器，作为变压器过载及短路保护。箱变低压侧装设断路器可实现速断、过流、单相接地等保护功能，参数整定需将汇流箱出口至箱变低压侧之间电缆纳入保</w:t>
      </w:r>
      <w:r>
        <w:rPr>
          <w:rFonts w:hint="eastAsia" w:ascii="宋体" w:hAnsi="宋体"/>
          <w:sz w:val="24"/>
          <w:szCs w:val="24"/>
        </w:rPr>
        <w:t>护范围。本光伏电站运营模式为自发自用，上下网关口计量电能表同时兼做并网电能表。</w:t>
      </w:r>
    </w:p>
    <w:p>
      <w:pPr>
        <w:numPr>
          <w:ilvl w:val="0"/>
          <w:numId w:val="3"/>
        </w:numPr>
        <w:tabs>
          <w:tab w:val="left" w:pos="7920"/>
        </w:tabs>
        <w:adjustRightInd w:val="0"/>
        <w:snapToGrid w:val="0"/>
        <w:spacing w:line="360" w:lineRule="auto"/>
        <w:rPr>
          <w:rFonts w:hint="eastAsia" w:ascii="宋体" w:hAnsi="宋体" w:cs="宋体"/>
          <w:bCs/>
          <w:sz w:val="24"/>
          <w:szCs w:val="24"/>
        </w:rPr>
      </w:pPr>
      <w:r>
        <w:rPr>
          <w:rFonts w:hint="eastAsia" w:ascii="宋体" w:hAnsi="宋体" w:cs="宋体"/>
          <w:bCs/>
          <w:sz w:val="24"/>
          <w:szCs w:val="24"/>
        </w:rPr>
        <w:t>建设单位：浙江正泰新能源开发有限公司</w:t>
      </w:r>
    </w:p>
    <w:p>
      <w:pPr>
        <w:numPr>
          <w:ilvl w:val="0"/>
          <w:numId w:val="3"/>
        </w:numPr>
        <w:tabs>
          <w:tab w:val="left" w:pos="7920"/>
        </w:tabs>
        <w:adjustRightInd w:val="0"/>
        <w:snapToGrid w:val="0"/>
        <w:spacing w:line="360" w:lineRule="auto"/>
        <w:rPr>
          <w:rFonts w:hint="eastAsia" w:ascii="宋体" w:hAnsi="宋体" w:cs="宋体"/>
          <w:bCs/>
          <w:sz w:val="24"/>
          <w:szCs w:val="24"/>
        </w:rPr>
      </w:pPr>
      <w:r>
        <w:rPr>
          <w:rFonts w:hint="eastAsia" w:ascii="宋体" w:hAnsi="宋体" w:cs="宋体"/>
          <w:bCs/>
          <w:sz w:val="24"/>
          <w:szCs w:val="24"/>
        </w:rPr>
        <w:t>设计单位：</w:t>
      </w:r>
      <w:r>
        <w:rPr>
          <w:rFonts w:hint="eastAsia"/>
          <w:sz w:val="24"/>
          <w:szCs w:val="24"/>
        </w:rPr>
        <w:t>河南省华元电力工程设计有限公司</w:t>
      </w:r>
    </w:p>
    <w:p>
      <w:pPr>
        <w:numPr>
          <w:ilvl w:val="0"/>
          <w:numId w:val="3"/>
        </w:numPr>
        <w:tabs>
          <w:tab w:val="left" w:pos="7920"/>
        </w:tabs>
        <w:adjustRightInd w:val="0"/>
        <w:snapToGrid w:val="0"/>
        <w:spacing w:line="360" w:lineRule="auto"/>
        <w:rPr>
          <w:rFonts w:hint="eastAsia" w:ascii="宋体" w:hAnsi="宋体" w:cs="宋体"/>
          <w:bCs/>
          <w:sz w:val="24"/>
          <w:szCs w:val="24"/>
        </w:rPr>
      </w:pPr>
      <w:r>
        <w:rPr>
          <w:rFonts w:hint="eastAsia" w:ascii="宋体" w:hAnsi="宋体" w:cs="宋体"/>
          <w:bCs/>
          <w:sz w:val="24"/>
          <w:szCs w:val="24"/>
        </w:rPr>
        <w:t>监理单位：</w:t>
      </w:r>
      <w:r>
        <w:rPr>
          <w:rFonts w:ascii="宋体" w:hAnsi="宋体"/>
          <w:sz w:val="24"/>
          <w:szCs w:val="24"/>
        </w:rPr>
        <w:t>江苏</w:t>
      </w:r>
      <w:r>
        <w:rPr>
          <w:rFonts w:hint="eastAsia" w:ascii="宋体" w:hAnsi="宋体"/>
          <w:sz w:val="24"/>
          <w:szCs w:val="24"/>
        </w:rPr>
        <w:t>正衡</w:t>
      </w:r>
      <w:r>
        <w:rPr>
          <w:rFonts w:ascii="宋体" w:hAnsi="宋体"/>
          <w:sz w:val="24"/>
          <w:szCs w:val="24"/>
        </w:rPr>
        <w:t>监理有限公司</w:t>
      </w:r>
    </w:p>
    <w:p>
      <w:pPr>
        <w:numPr>
          <w:ilvl w:val="0"/>
          <w:numId w:val="3"/>
        </w:numPr>
        <w:tabs>
          <w:tab w:val="left" w:pos="7920"/>
        </w:tabs>
        <w:adjustRightInd w:val="0"/>
        <w:snapToGrid w:val="0"/>
        <w:spacing w:line="360" w:lineRule="auto"/>
        <w:rPr>
          <w:rFonts w:hint="eastAsia" w:ascii="宋体" w:hAnsi="宋体" w:cs="宋体"/>
          <w:bCs/>
          <w:sz w:val="24"/>
          <w:szCs w:val="24"/>
        </w:rPr>
      </w:pPr>
      <w:r>
        <w:rPr>
          <w:rFonts w:hint="eastAsia" w:ascii="宋体" w:hAnsi="宋体" w:cs="宋体"/>
          <w:bCs/>
          <w:sz w:val="24"/>
          <w:szCs w:val="24"/>
        </w:rPr>
        <w:t>施工总承包单位：</w:t>
      </w:r>
      <w:r>
        <w:rPr>
          <w:rFonts w:hint="eastAsia" w:ascii="宋体" w:hAnsi="宋体"/>
          <w:bCs/>
          <w:sz w:val="24"/>
          <w:szCs w:val="24"/>
        </w:rPr>
        <w:t>安徽三三建设工程有限公司</w:t>
      </w:r>
    </w:p>
    <w:p>
      <w:pPr>
        <w:tabs>
          <w:tab w:val="left" w:pos="2160"/>
          <w:tab w:val="left" w:pos="3960"/>
          <w:tab w:val="left" w:pos="5400"/>
          <w:tab w:val="left" w:pos="684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建筑规模：</w:t>
      </w:r>
      <w:bookmarkStart w:id="5" w:name="_Toc20844"/>
      <w:bookmarkStart w:id="6" w:name="_Toc6008"/>
      <w:r>
        <w:rPr>
          <w:rFonts w:hint="eastAsia" w:ascii="宋体" w:hAnsi="宋体" w:eastAsia="宋体" w:cs="宋体"/>
          <w:sz w:val="24"/>
          <w:szCs w:val="24"/>
        </w:rPr>
        <w:t>装机总容量2.2</w:t>
      </w:r>
      <w:r>
        <w:rPr>
          <w:rFonts w:hint="eastAsia" w:ascii="宋体" w:hAnsi="宋体" w:eastAsia="宋体" w:cs="宋体"/>
          <w:sz w:val="24"/>
          <w:szCs w:val="24"/>
          <w:lang w:eastAsia="zh-CN"/>
        </w:rPr>
        <w:t>兆瓦</w:t>
      </w:r>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三、监理工作范围:</w:t>
      </w:r>
      <w:bookmarkEnd w:id="5"/>
      <w:bookmarkEnd w:id="6"/>
      <w:r>
        <w:rPr>
          <w:rFonts w:hint="eastAsia" w:ascii="宋体" w:hAnsi="宋体"/>
          <w:b/>
          <w:sz w:val="24"/>
          <w:szCs w:val="24"/>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工程验收、报检、备案所需文件、资料的收集、整理、编制等工作。</w:t>
      </w:r>
    </w:p>
    <w:p>
      <w:pPr>
        <w:tabs>
          <w:tab w:val="left" w:pos="2160"/>
          <w:tab w:val="left" w:pos="3960"/>
          <w:tab w:val="left" w:pos="5400"/>
          <w:tab w:val="left" w:pos="6840"/>
        </w:tabs>
        <w:adjustRightInd w:val="0"/>
        <w:snapToGrid w:val="0"/>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（9</w:t>
      </w:r>
      <w:r>
        <w:rPr>
          <w:rFonts w:hint="eastAsia" w:ascii="宋体" w:hAnsi="宋体"/>
          <w:sz w:val="24"/>
          <w:szCs w:val="24"/>
          <w:lang w:eastAsia="zh-CN"/>
        </w:rPr>
        <w:t>）、</w:t>
      </w:r>
      <w:r>
        <w:rPr>
          <w:rFonts w:hint="eastAsia" w:ascii="宋体" w:hAnsi="宋体"/>
          <w:sz w:val="24"/>
          <w:szCs w:val="24"/>
        </w:rPr>
        <w:t>委托人要求完成的其他合同内工作。</w:t>
      </w:r>
      <w:bookmarkStart w:id="7" w:name="_Toc14489"/>
      <w:bookmarkStart w:id="8" w:name="_Toc22928"/>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四、监理工作流程：</w:t>
      </w:r>
      <w:bookmarkEnd w:id="7"/>
      <w:bookmarkEnd w:id="8"/>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承包单位审核---业主和监理审核——单位执行——业主和监理监督、检查、提出整改意见——总承包及施工单位落实、整改——业主和监理复查——总承包及施工单位完善——业主和监理认可，整改单归档。</w:t>
      </w:r>
    </w:p>
    <w:p>
      <w:pPr>
        <w:adjustRightInd w:val="0"/>
        <w:snapToGrid w:val="0"/>
        <w:spacing w:line="360" w:lineRule="auto"/>
        <w:outlineLvl w:val="0"/>
        <w:rPr>
          <w:rFonts w:ascii="宋体" w:hAnsi="宋体"/>
          <w:b/>
          <w:sz w:val="24"/>
          <w:szCs w:val="24"/>
        </w:rPr>
      </w:pPr>
      <w:bookmarkStart w:id="9" w:name="_Toc730"/>
      <w:bookmarkStart w:id="10" w:name="_Toc20697"/>
      <w:r>
        <w:rPr>
          <w:rFonts w:hint="eastAsia" w:ascii="宋体" w:hAnsi="宋体"/>
          <w:b/>
          <w:sz w:val="24"/>
          <w:szCs w:val="24"/>
        </w:rPr>
        <w:t>五、控制目标：</w:t>
      </w:r>
      <w:bookmarkEnd w:id="9"/>
      <w:bookmarkEnd w:id="10"/>
    </w:p>
    <w:p>
      <w:pPr>
        <w:adjustRightInd w:val="0"/>
        <w:snapToGrid w:val="0"/>
        <w:spacing w:line="360" w:lineRule="auto"/>
        <w:outlineLvl w:val="1"/>
        <w:rPr>
          <w:rFonts w:ascii="宋体" w:hAnsi="宋体"/>
          <w:b/>
          <w:sz w:val="24"/>
          <w:szCs w:val="24"/>
        </w:rPr>
      </w:pPr>
      <w:bookmarkStart w:id="11" w:name="_Toc25274"/>
      <w:bookmarkStart w:id="12" w:name="_Toc32303"/>
      <w:r>
        <w:rPr>
          <w:rFonts w:hint="eastAsia" w:ascii="宋体" w:hAnsi="宋体"/>
          <w:b/>
          <w:sz w:val="24"/>
          <w:szCs w:val="24"/>
        </w:rPr>
        <w:t>1、控制目标：</w:t>
      </w:r>
      <w:bookmarkEnd w:id="11"/>
      <w:bookmarkEnd w:id="12"/>
    </w:p>
    <w:p>
      <w:pPr>
        <w:numPr>
          <w:ilvl w:val="0"/>
          <w:numId w:val="0"/>
        </w:numPr>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杜绝重大人身伤亡和重大职业卫生伤害事故；</w:t>
      </w:r>
    </w:p>
    <w:p>
      <w:pPr>
        <w:numPr>
          <w:ilvl w:val="0"/>
          <w:numId w:val="0"/>
        </w:numPr>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不发生重大火灾事故；</w:t>
      </w:r>
    </w:p>
    <w:p>
      <w:pPr>
        <w:numPr>
          <w:ilvl w:val="0"/>
          <w:numId w:val="0"/>
        </w:numPr>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不发生本单位负主责的重大及以上交通事故；</w:t>
      </w:r>
    </w:p>
    <w:p>
      <w:pPr>
        <w:numPr>
          <w:ilvl w:val="0"/>
          <w:numId w:val="0"/>
        </w:numPr>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不发生重大施工机械及设备事故等重大事故；</w:t>
      </w:r>
    </w:p>
    <w:p>
      <w:pPr>
        <w:numPr>
          <w:ilvl w:val="0"/>
          <w:numId w:val="0"/>
        </w:numPr>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不发生恶性未遂和恶性误操作事故；</w:t>
      </w:r>
    </w:p>
    <w:p>
      <w:pPr>
        <w:numPr>
          <w:ilvl w:val="0"/>
          <w:numId w:val="0"/>
        </w:numPr>
        <w:tabs>
          <w:tab w:val="left" w:pos="2160"/>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3" w:name="_Toc12693"/>
      <w:bookmarkStart w:id="14" w:name="_Toc29844"/>
      <w:r>
        <w:rPr>
          <w:rFonts w:hint="eastAsia" w:ascii="宋体" w:hAnsi="宋体"/>
          <w:b/>
          <w:sz w:val="24"/>
          <w:szCs w:val="24"/>
        </w:rPr>
        <w:t>2、控制要点：</w:t>
      </w:r>
      <w:bookmarkEnd w:id="13"/>
      <w:bookmarkEnd w:id="14"/>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r>
        <w:rPr>
          <w:rFonts w:hint="eastAsia" w:ascii="宋体" w:hAnsi="宋体"/>
          <w:sz w:val="24"/>
          <w:szCs w:val="24"/>
          <w:lang w:eastAsia="zh-CN"/>
        </w:rPr>
        <w:t>。</w:t>
      </w:r>
    </w:p>
    <w:p>
      <w:pPr>
        <w:spacing w:line="360" w:lineRule="auto"/>
        <w:rPr>
          <w:rFonts w:ascii="宋体" w:hAnsi="宋体"/>
          <w:sz w:val="24"/>
          <w:szCs w:val="24"/>
        </w:rPr>
      </w:pPr>
      <w:r>
        <w:rPr>
          <w:rFonts w:hint="eastAsia" w:ascii="宋体" w:hAnsi="宋体"/>
          <w:sz w:val="24"/>
          <w:szCs w:val="24"/>
        </w:rPr>
        <w:t>2）、本工程制定的进入施工现场安全规定。</w:t>
      </w:r>
    </w:p>
    <w:p>
      <w:pPr>
        <w:spacing w:line="360" w:lineRule="auto"/>
        <w:rPr>
          <w:rFonts w:ascii="宋体" w:hAnsi="宋体"/>
          <w:sz w:val="24"/>
          <w:szCs w:val="24"/>
        </w:rPr>
      </w:pPr>
      <w:r>
        <w:rPr>
          <w:rFonts w:hint="eastAsia" w:ascii="宋体" w:hAnsi="宋体"/>
          <w:sz w:val="24"/>
          <w:szCs w:val="24"/>
        </w:rPr>
        <w:t>3）、临边安全防护措施。</w:t>
      </w:r>
    </w:p>
    <w:p>
      <w:pPr>
        <w:spacing w:line="360" w:lineRule="auto"/>
        <w:rPr>
          <w:rFonts w:ascii="宋体" w:hAnsi="宋体"/>
          <w:sz w:val="24"/>
          <w:szCs w:val="24"/>
        </w:rPr>
      </w:pPr>
      <w:r>
        <w:rPr>
          <w:rFonts w:hint="eastAsia" w:ascii="宋体" w:hAnsi="宋体"/>
          <w:sz w:val="24"/>
          <w:szCs w:val="24"/>
        </w:rPr>
        <w:t>4)、高处作业的安全措施。</w:t>
      </w:r>
    </w:p>
    <w:p>
      <w:pPr>
        <w:spacing w:line="360" w:lineRule="auto"/>
        <w:rPr>
          <w:rFonts w:hint="eastAsia" w:ascii="宋体" w:hAnsi="宋体"/>
          <w:sz w:val="24"/>
          <w:szCs w:val="24"/>
        </w:rPr>
      </w:pPr>
      <w:r>
        <w:rPr>
          <w:rFonts w:hint="eastAsia" w:ascii="宋体" w:hAnsi="宋体"/>
          <w:sz w:val="24"/>
          <w:szCs w:val="24"/>
        </w:rPr>
        <w:t>5)、临时用电措施</w:t>
      </w:r>
    </w:p>
    <w:p>
      <w:pPr>
        <w:spacing w:line="360" w:lineRule="auto"/>
        <w:rPr>
          <w:rFonts w:ascii="宋体" w:hAnsi="宋体"/>
          <w:sz w:val="24"/>
          <w:szCs w:val="24"/>
        </w:rPr>
      </w:pPr>
      <w:r>
        <w:rPr>
          <w:rFonts w:hint="eastAsia" w:ascii="宋体" w:hAnsi="宋体"/>
          <w:sz w:val="24"/>
          <w:szCs w:val="24"/>
        </w:rPr>
        <w:t>6）、对各类起重机械及中小型机具使用的安全，以及安全措施使用情况进行检查。</w:t>
      </w:r>
    </w:p>
    <w:p>
      <w:pPr>
        <w:spacing w:line="360" w:lineRule="auto"/>
        <w:rPr>
          <w:rFonts w:ascii="宋体" w:hAnsi="宋体"/>
          <w:sz w:val="24"/>
          <w:szCs w:val="24"/>
        </w:rPr>
      </w:pPr>
      <w:r>
        <w:rPr>
          <w:rFonts w:hint="eastAsia" w:ascii="宋体" w:hAnsi="宋体"/>
          <w:sz w:val="24"/>
          <w:szCs w:val="24"/>
        </w:rPr>
        <w:t>7)、电焊作业防火的安全措施。</w:t>
      </w:r>
    </w:p>
    <w:p>
      <w:pPr>
        <w:spacing w:line="360" w:lineRule="auto"/>
        <w:outlineLvl w:val="0"/>
        <w:rPr>
          <w:rFonts w:ascii="宋体" w:hAnsi="宋体"/>
          <w:b/>
          <w:color w:val="000000"/>
          <w:sz w:val="24"/>
          <w:szCs w:val="24"/>
        </w:rPr>
      </w:pPr>
      <w:bookmarkStart w:id="15" w:name="_Toc19493"/>
      <w:bookmarkStart w:id="16" w:name="_Toc7298"/>
      <w:r>
        <w:rPr>
          <w:rFonts w:hint="eastAsia" w:ascii="宋体" w:hAnsi="宋体"/>
          <w:b/>
          <w:color w:val="000000"/>
          <w:sz w:val="24"/>
          <w:szCs w:val="24"/>
        </w:rPr>
        <w:t>六、监理工作方法和措施：</w:t>
      </w:r>
      <w:bookmarkEnd w:id="15"/>
      <w:bookmarkEnd w:id="16"/>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7" w:name="_Toc12126"/>
      <w:bookmarkStart w:id="18" w:name="_Toc12406"/>
      <w:r>
        <w:rPr>
          <w:rFonts w:hint="eastAsia" w:ascii="宋体" w:hAnsi="宋体"/>
          <w:b/>
          <w:sz w:val="24"/>
          <w:szCs w:val="24"/>
        </w:rPr>
        <w:t>1、总则：</w:t>
      </w:r>
      <w:bookmarkEnd w:id="17"/>
      <w:bookmarkEnd w:id="18"/>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建立健全安全管理组织网络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建立健全安全管理制度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划分安全文明施工责任区域，责任区的界限和责任单位要清晰明确，标牌显示，落实到人</w:t>
      </w:r>
      <w:r>
        <w:rPr>
          <w:rFonts w:hint="eastAsia" w:ascii="宋体" w:hAnsi="宋体"/>
          <w:sz w:val="24"/>
          <w:szCs w:val="24"/>
          <w:lang w:val="en-US" w:eastAsia="zh-CN"/>
        </w:rPr>
        <w:t>,</w:t>
      </w:r>
      <w:r>
        <w:rPr>
          <w:rFonts w:hint="eastAsia" w:ascii="宋体" w:hAnsi="宋体"/>
          <w:sz w:val="24"/>
          <w:szCs w:val="24"/>
        </w:rPr>
        <w:t>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明确各级安全管理人员的职责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各级安管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承包审核---业主和监理审核——承包单位执行——业主和监理监督、检查、提出整改意见——承包单位落实、整改——业主和监理复查——承包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定期开展安全活动,组织安全大检查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加强安全文明施工的宣传教育，实行考核上岗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9" w:name="_Toc9425"/>
      <w:bookmarkStart w:id="20" w:name="_Toc14696"/>
      <w:r>
        <w:rPr>
          <w:rFonts w:hint="eastAsia" w:ascii="宋体" w:hAnsi="宋体"/>
          <w:b/>
          <w:sz w:val="24"/>
          <w:szCs w:val="24"/>
        </w:rPr>
        <w:t>2、安全管理主要内容</w:t>
      </w:r>
      <w:bookmarkEnd w:id="19"/>
      <w:bookmarkEnd w:id="20"/>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协助业主制定施工现场安全管理制度和安全文明施工奖惩制度，并定期进行安全大检查，使现场的安全文明施工和消防管理始终处于受控状态。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w:t>
      </w:r>
      <w:r>
        <w:rPr>
          <w:rFonts w:hint="eastAsia" w:ascii="宋体" w:hAnsi="宋体"/>
          <w:sz w:val="24"/>
          <w:szCs w:val="24"/>
          <w:lang w:eastAsia="zh-CN"/>
        </w:rPr>
        <w:t>、</w:t>
      </w:r>
      <w:r>
        <w:rPr>
          <w:rFonts w:hint="eastAsia" w:ascii="宋体" w:hAnsi="宋体"/>
          <w:sz w:val="24"/>
          <w:szCs w:val="24"/>
        </w:rPr>
        <w:t>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w:t>
      </w:r>
      <w:r>
        <w:rPr>
          <w:rFonts w:hint="eastAsia" w:ascii="宋体" w:hAnsi="宋体"/>
          <w:sz w:val="24"/>
          <w:szCs w:val="24"/>
          <w:lang w:eastAsia="zh-CN"/>
        </w:rPr>
        <w:t>、厂区</w:t>
      </w:r>
      <w:r>
        <w:rPr>
          <w:rFonts w:hint="eastAsia" w:ascii="宋体" w:hAnsi="宋体"/>
          <w:sz w:val="24"/>
          <w:szCs w:val="24"/>
        </w:rPr>
        <w:t>平面管理</w:t>
      </w:r>
    </w:p>
    <w:p>
      <w:pPr>
        <w:numPr>
          <w:ilvl w:val="0"/>
          <w:numId w:val="0"/>
        </w:numPr>
        <w:tabs>
          <w:tab w:val="left" w:pos="2160"/>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保持施工道路通畅，保持施工现场整洁。</w:t>
      </w:r>
    </w:p>
    <w:p>
      <w:pPr>
        <w:numPr>
          <w:ilvl w:val="0"/>
          <w:numId w:val="0"/>
        </w:numPr>
        <w:tabs>
          <w:tab w:val="left" w:pos="2160"/>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w:t>
      </w:r>
      <w:r>
        <w:rPr>
          <w:rFonts w:hint="eastAsia" w:ascii="宋体" w:hAnsi="宋体"/>
          <w:sz w:val="24"/>
          <w:szCs w:val="24"/>
          <w:lang w:eastAsia="zh-CN"/>
        </w:rPr>
        <w:t>、</w:t>
      </w:r>
      <w:r>
        <w:rPr>
          <w:rFonts w:hint="eastAsia" w:ascii="宋体" w:hAnsi="宋体"/>
          <w:sz w:val="24"/>
          <w:szCs w:val="24"/>
        </w:rPr>
        <w:t>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w:t>
      </w:r>
      <w:r>
        <w:rPr>
          <w:rFonts w:hint="eastAsia" w:ascii="宋体" w:hAnsi="宋体"/>
          <w:sz w:val="24"/>
          <w:szCs w:val="24"/>
          <w:lang w:eastAsia="zh-CN"/>
        </w:rPr>
        <w:t>、</w:t>
      </w:r>
      <w:r>
        <w:rPr>
          <w:rFonts w:hint="eastAsia" w:ascii="宋体" w:hAnsi="宋体"/>
          <w:sz w:val="24"/>
          <w:szCs w:val="24"/>
        </w:rPr>
        <w:t>督促检查施工单位制订防止高处坠落和触电安全措施并监督实施，设立安全警戒区。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w:t>
      </w:r>
      <w:r>
        <w:rPr>
          <w:rFonts w:hint="eastAsia" w:ascii="宋体" w:hAnsi="宋体"/>
          <w:sz w:val="24"/>
          <w:szCs w:val="24"/>
          <w:lang w:eastAsia="zh-CN"/>
        </w:rPr>
        <w:t>、</w:t>
      </w:r>
      <w:r>
        <w:rPr>
          <w:rFonts w:hint="eastAsia" w:ascii="宋体" w:hAnsi="宋体"/>
          <w:sz w:val="24"/>
          <w:szCs w:val="24"/>
        </w:rPr>
        <w:t>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w:t>
      </w:r>
      <w:r>
        <w:rPr>
          <w:rFonts w:hint="eastAsia" w:ascii="宋体" w:hAnsi="宋体"/>
          <w:sz w:val="24"/>
          <w:szCs w:val="24"/>
          <w:lang w:eastAsia="zh-CN"/>
        </w:rPr>
        <w:t>、</w:t>
      </w:r>
      <w:r>
        <w:rPr>
          <w:rFonts w:hint="eastAsia" w:ascii="宋体" w:hAnsi="宋体"/>
          <w:sz w:val="24"/>
          <w:szCs w:val="24"/>
        </w:rPr>
        <w:t>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w:t>
      </w:r>
      <w:r>
        <w:rPr>
          <w:rFonts w:hint="eastAsia" w:ascii="宋体" w:hAnsi="宋体"/>
          <w:sz w:val="24"/>
          <w:szCs w:val="24"/>
          <w:lang w:eastAsia="zh-CN"/>
        </w:rPr>
        <w:t>、</w:t>
      </w:r>
      <w:r>
        <w:rPr>
          <w:rFonts w:hint="eastAsia" w:ascii="宋体" w:hAnsi="宋体"/>
          <w:sz w:val="24"/>
          <w:szCs w:val="24"/>
        </w:rPr>
        <w:t>在雷雨、汛期到来前，督促施工承包商及时制定相应的防范措施及特殊施工措施，并按规定进行检查措施落实情况。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w:t>
      </w:r>
      <w:r>
        <w:rPr>
          <w:rFonts w:hint="eastAsia" w:ascii="宋体" w:hAnsi="宋体"/>
          <w:sz w:val="24"/>
          <w:szCs w:val="24"/>
          <w:lang w:eastAsia="zh-CN"/>
        </w:rPr>
        <w:t>、</w:t>
      </w:r>
      <w:r>
        <w:rPr>
          <w:rFonts w:hint="eastAsia" w:ascii="宋体" w:hAnsi="宋体"/>
          <w:sz w:val="24"/>
          <w:szCs w:val="24"/>
        </w:rPr>
        <w:t>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w:t>
      </w:r>
      <w:r>
        <w:rPr>
          <w:rFonts w:hint="eastAsia" w:ascii="宋体" w:hAnsi="宋体"/>
          <w:sz w:val="24"/>
          <w:szCs w:val="24"/>
          <w:lang w:eastAsia="zh-CN"/>
        </w:rPr>
        <w:t>、</w:t>
      </w:r>
      <w:r>
        <w:rPr>
          <w:rFonts w:hint="eastAsia" w:ascii="宋体" w:hAnsi="宋体"/>
          <w:sz w:val="24"/>
          <w:szCs w:val="24"/>
        </w:rPr>
        <w:t>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w:t>
      </w:r>
      <w:r>
        <w:rPr>
          <w:rFonts w:hint="eastAsia" w:ascii="宋体" w:hAnsi="宋体"/>
          <w:sz w:val="24"/>
          <w:szCs w:val="24"/>
          <w:lang w:eastAsia="zh-CN"/>
        </w:rPr>
        <w:t>、</w:t>
      </w:r>
      <w:r>
        <w:rPr>
          <w:rFonts w:hint="eastAsia" w:ascii="宋体" w:hAnsi="宋体"/>
          <w:sz w:val="24"/>
          <w:szCs w:val="24"/>
        </w:rPr>
        <w:t>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w:t>
      </w:r>
      <w:r>
        <w:rPr>
          <w:rFonts w:hint="eastAsia" w:ascii="宋体" w:hAnsi="宋体"/>
          <w:sz w:val="24"/>
          <w:szCs w:val="24"/>
          <w:lang w:eastAsia="zh-CN"/>
        </w:rPr>
        <w:t>、</w:t>
      </w:r>
      <w:r>
        <w:rPr>
          <w:rFonts w:hint="eastAsia" w:ascii="宋体" w:hAnsi="宋体"/>
          <w:sz w:val="24"/>
          <w:szCs w:val="24"/>
        </w:rPr>
        <w:t>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1" w:name="_Toc23254"/>
      <w:bookmarkStart w:id="22" w:name="_Toc31949"/>
      <w:r>
        <w:rPr>
          <w:rFonts w:hint="eastAsia" w:ascii="宋体" w:hAnsi="宋体"/>
          <w:b/>
          <w:sz w:val="24"/>
          <w:szCs w:val="24"/>
        </w:rPr>
        <w:t>3、安全的事前控制</w:t>
      </w:r>
      <w:bookmarkEnd w:id="21"/>
      <w:bookmarkEnd w:id="22"/>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检查和审核各项施工方案中的安全施工措施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(1.1)、</w:t>
      </w: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检查施工人员</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2.1</w:t>
      </w:r>
      <w:r>
        <w:rPr>
          <w:rFonts w:hint="eastAsia" w:ascii="宋体" w:hAnsi="宋体"/>
          <w:sz w:val="24"/>
          <w:szCs w:val="24"/>
          <w:lang w:eastAsia="zh-CN"/>
        </w:rPr>
        <w:t>）、</w:t>
      </w: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2.2</w:t>
      </w:r>
      <w:r>
        <w:rPr>
          <w:rFonts w:hint="eastAsia" w:ascii="宋体" w:hAnsi="宋体"/>
          <w:sz w:val="24"/>
          <w:szCs w:val="24"/>
          <w:lang w:eastAsia="zh-CN"/>
        </w:rPr>
        <w:t>）、</w:t>
      </w: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现场布置和环境健康</w:t>
      </w:r>
    </w:p>
    <w:p>
      <w:pPr>
        <w:tabs>
          <w:tab w:val="left" w:pos="2160"/>
          <w:tab w:val="left" w:pos="3960"/>
          <w:tab w:val="left" w:pos="5400"/>
          <w:tab w:val="left" w:pos="6840"/>
        </w:tabs>
        <w:adjustRightInd w:val="0"/>
        <w:snapToGrid w:val="0"/>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w:t>
      </w:r>
      <w:r>
        <w:rPr>
          <w:rFonts w:hint="eastAsia" w:ascii="宋体" w:hAnsi="宋体"/>
          <w:sz w:val="24"/>
          <w:szCs w:val="24"/>
        </w:rPr>
        <w:t>施工现场规划布置是否整齐、规范、实用。</w:t>
      </w:r>
    </w:p>
    <w:p>
      <w:pPr>
        <w:tabs>
          <w:tab w:val="left" w:pos="2160"/>
          <w:tab w:val="left" w:pos="3960"/>
          <w:tab w:val="left" w:pos="5400"/>
          <w:tab w:val="left" w:pos="6840"/>
        </w:tabs>
        <w:adjustRightInd w:val="0"/>
        <w:snapToGrid w:val="0"/>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lang w:eastAsia="zh-CN"/>
        </w:rPr>
        <w:t>）、</w:t>
      </w:r>
      <w:r>
        <w:rPr>
          <w:rFonts w:hint="eastAsia" w:ascii="宋体" w:hAnsi="宋体"/>
          <w:sz w:val="24"/>
          <w:szCs w:val="24"/>
        </w:rPr>
        <w:t>现场施工用电应布置合理、防护可靠、安全使用。现场应配备足够的消防设施、并有专人管理和维护。</w:t>
      </w:r>
    </w:p>
    <w:p>
      <w:pPr>
        <w:tabs>
          <w:tab w:val="left" w:pos="2160"/>
          <w:tab w:val="left" w:pos="3960"/>
          <w:tab w:val="left" w:pos="5400"/>
          <w:tab w:val="left" w:pos="6840"/>
        </w:tabs>
        <w:adjustRightInd w:val="0"/>
        <w:snapToGrid w:val="0"/>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1.3</w:t>
      </w:r>
      <w:r>
        <w:rPr>
          <w:rFonts w:hint="eastAsia" w:ascii="宋体" w:hAnsi="宋体"/>
          <w:sz w:val="24"/>
          <w:szCs w:val="24"/>
          <w:lang w:eastAsia="zh-CN"/>
        </w:rPr>
        <w:t>）、</w:t>
      </w:r>
      <w:r>
        <w:rPr>
          <w:rFonts w:hint="eastAsia" w:ascii="宋体" w:hAnsi="宋体"/>
          <w:sz w:val="24"/>
          <w:szCs w:val="24"/>
        </w:rPr>
        <w:t>现场设备材料的堆放应整齐、规范，并有标识。防雨、防风、防火的设备材料应有安全的保护措施。</w:t>
      </w:r>
    </w:p>
    <w:p>
      <w:pPr>
        <w:tabs>
          <w:tab w:val="left" w:pos="2160"/>
          <w:tab w:val="left" w:pos="3960"/>
          <w:tab w:val="left" w:pos="5400"/>
          <w:tab w:val="left" w:pos="6840"/>
        </w:tabs>
        <w:adjustRightInd w:val="0"/>
        <w:snapToGrid w:val="0"/>
        <w:spacing w:line="360" w:lineRule="auto"/>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w:t>
      </w:r>
      <w:r>
        <w:rPr>
          <w:rFonts w:hint="eastAsia" w:ascii="宋体" w:hAnsi="宋体"/>
          <w:sz w:val="24"/>
          <w:szCs w:val="24"/>
        </w:rPr>
        <w:t>施工现场要大小便到厂区卫生间</w:t>
      </w:r>
      <w:r>
        <w:rPr>
          <w:rFonts w:hint="eastAsia" w:ascii="宋体" w:hAnsi="宋体"/>
          <w:sz w:val="24"/>
          <w:szCs w:val="24"/>
          <w:lang w:val="en-US" w:eastAsia="zh-CN"/>
        </w:rPr>
        <w:t xml:space="preserve">  ，吸烟到指定吸烟处。</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1.5</w:t>
      </w:r>
      <w:r>
        <w:rPr>
          <w:rFonts w:hint="eastAsia" w:ascii="宋体" w:hAnsi="宋体"/>
          <w:sz w:val="24"/>
          <w:szCs w:val="24"/>
          <w:lang w:eastAsia="zh-CN"/>
        </w:rPr>
        <w:t>）、</w:t>
      </w: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施工道路应畅通无阻，路面不得堆放设备或材料，并有人负责打扫和清理。施工道路出入口应设置路标，交通标志、限速标志等应醒目、规范。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临边作业区域应设置封闭式围栏，围栏范围应根据施工作业可能造成的危险涉及面和作业点的高度而定，涉及面较大的临时性作业区可设置安全警戒线或派专人看守监护。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施工用电设备的安装、接线、维修等，应由专业人员进行。施工电源必须设施配套，配电盘、柜内插座、电压等级、开关负荷等名称应标示清楚，所有部件完好无损。</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w:t>
      </w:r>
      <w:r>
        <w:rPr>
          <w:rFonts w:hint="eastAsia" w:ascii="宋体" w:hAnsi="宋体"/>
          <w:sz w:val="24"/>
          <w:szCs w:val="24"/>
          <w:lang w:eastAsia="zh-CN"/>
        </w:rPr>
        <w:t>、临边</w:t>
      </w:r>
      <w:r>
        <w:rPr>
          <w:rFonts w:hint="eastAsia" w:ascii="宋体" w:hAnsi="宋体"/>
          <w:sz w:val="24"/>
          <w:szCs w:val="24"/>
        </w:rPr>
        <w:t>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作业区域及设备带电后，应有明显的标识、标牌及应该疏散标志牌，应急疏散通道必须保持畅通无阻。</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3" w:name="_Toc17564"/>
      <w:bookmarkStart w:id="24" w:name="_Toc26585"/>
      <w:r>
        <w:rPr>
          <w:rFonts w:hint="eastAsia" w:ascii="宋体" w:hAnsi="宋体"/>
          <w:b/>
          <w:sz w:val="24"/>
          <w:szCs w:val="24"/>
        </w:rPr>
        <w:t>4、安全的事中控制</w:t>
      </w:r>
      <w:bookmarkEnd w:id="23"/>
      <w:bookmarkEnd w:id="24"/>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深入施工现场，实施旁站、巡视和监督检查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安全防护</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w:t>
      </w:r>
      <w:r>
        <w:rPr>
          <w:rFonts w:hint="eastAsia" w:ascii="宋体" w:hAnsi="宋体"/>
          <w:sz w:val="24"/>
          <w:szCs w:val="24"/>
        </w:rPr>
        <w:t>进入施工现场的人员必须正确佩戴好安全帽，2米及以上高空作业必须系好安全带。</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lang w:eastAsia="zh-CN"/>
        </w:rPr>
        <w:t>）、</w:t>
      </w:r>
      <w:r>
        <w:rPr>
          <w:rFonts w:hint="eastAsia" w:ascii="宋体" w:hAnsi="宋体"/>
          <w:sz w:val="24"/>
          <w:szCs w:val="24"/>
        </w:rPr>
        <w:t>所有施工人员不得穿拖鞋、凉鞋、高跟鞋，不准赤脚、赤膊，进入施工获要统一穿着反光服、工作鞋。</w:t>
      </w:r>
    </w:p>
    <w:p>
      <w:pPr>
        <w:pStyle w:val="20"/>
        <w:numPr>
          <w:ilvl w:val="1"/>
          <w:numId w:val="0"/>
        </w:numPr>
        <w:tabs>
          <w:tab w:val="left" w:pos="945"/>
          <w:tab w:val="left" w:pos="3960"/>
          <w:tab w:val="left" w:pos="5400"/>
          <w:tab w:val="left" w:pos="6840"/>
          <w:tab w:val="clear" w:pos="360"/>
        </w:tabs>
        <w:adjustRightInd w:val="0"/>
        <w:snapToGrid w:val="0"/>
        <w:ind w:leftChars="0"/>
        <w:rPr>
          <w:color w:val="auto"/>
          <w:szCs w:val="24"/>
        </w:rPr>
      </w:pPr>
      <w:r>
        <w:rPr>
          <w:rFonts w:hint="eastAsia"/>
          <w:color w:val="auto"/>
          <w:szCs w:val="24"/>
          <w:lang w:val="en-US" w:eastAsia="zh-CN"/>
        </w:rPr>
        <w:t xml:space="preserve"> </w:t>
      </w:r>
      <w:r>
        <w:rPr>
          <w:rFonts w:hint="eastAsia"/>
          <w:color w:val="auto"/>
          <w:szCs w:val="24"/>
          <w:lang w:eastAsia="zh-CN"/>
        </w:rPr>
        <w:t>（</w:t>
      </w:r>
      <w:r>
        <w:rPr>
          <w:rFonts w:hint="eastAsia"/>
          <w:color w:val="auto"/>
          <w:szCs w:val="24"/>
          <w:lang w:val="en-US" w:eastAsia="zh-CN"/>
        </w:rPr>
        <w:t>1.3</w:t>
      </w:r>
      <w:r>
        <w:rPr>
          <w:rFonts w:hint="eastAsia"/>
          <w:color w:val="auto"/>
          <w:szCs w:val="24"/>
          <w:lang w:eastAsia="zh-CN"/>
        </w:rPr>
        <w:t>）、</w:t>
      </w:r>
      <w:r>
        <w:rPr>
          <w:rFonts w:hint="eastAsia"/>
          <w:color w:val="auto"/>
          <w:szCs w:val="24"/>
        </w:rPr>
        <w:t>从事电焊作业应戴防护眼镜和防护手套。</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1.4</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rPr>
        <w:t>使用砂轮机、切割机和打磨应配戴防护眼镜。</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1.6</w:t>
      </w:r>
      <w:r>
        <w:rPr>
          <w:rFonts w:hint="eastAsia" w:ascii="宋体" w:hAnsi="宋体"/>
          <w:sz w:val="24"/>
          <w:szCs w:val="24"/>
          <w:lang w:eastAsia="zh-CN"/>
        </w:rPr>
        <w:t>）、</w:t>
      </w: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所有施工人员必须有高度的组织纪律性，施工班组每天进行班前会，布置施工任务时要讲明安全文明施工措施，做好重点预防保护工作。</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2.1</w:t>
      </w:r>
      <w:r>
        <w:rPr>
          <w:rFonts w:hint="eastAsia" w:ascii="宋体" w:hAnsi="宋体"/>
          <w:sz w:val="24"/>
          <w:szCs w:val="24"/>
          <w:lang w:eastAsia="zh-CN"/>
        </w:rPr>
        <w:t>）、</w:t>
      </w:r>
      <w:r>
        <w:rPr>
          <w:rFonts w:hint="eastAsia" w:ascii="宋体" w:hAnsi="宋体"/>
          <w:sz w:val="24"/>
          <w:szCs w:val="24"/>
        </w:rPr>
        <w:t>在开始工作之前，施工人员必须检查作业环境，确认具备安全施工条件后再开始施工。</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2.2</w:t>
      </w:r>
      <w:r>
        <w:rPr>
          <w:rFonts w:hint="eastAsia" w:ascii="宋体" w:hAnsi="宋体"/>
          <w:sz w:val="24"/>
          <w:szCs w:val="24"/>
          <w:lang w:eastAsia="zh-CN"/>
        </w:rPr>
        <w:t>）、</w:t>
      </w:r>
      <w:r>
        <w:rPr>
          <w:rFonts w:hint="eastAsia" w:ascii="宋体" w:hAnsi="宋体"/>
          <w:sz w:val="24"/>
          <w:szCs w:val="24"/>
        </w:rPr>
        <w:t>工作点比较集中的地方，施工人员应互相照应，互相提供方便，做到互不妨碍，互不影响。</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2.3</w:t>
      </w:r>
      <w:r>
        <w:rPr>
          <w:rFonts w:hint="eastAsia" w:ascii="宋体" w:hAnsi="宋体"/>
          <w:sz w:val="24"/>
          <w:szCs w:val="24"/>
          <w:lang w:eastAsia="zh-CN"/>
        </w:rPr>
        <w:t>）、</w:t>
      </w:r>
      <w:r>
        <w:rPr>
          <w:rFonts w:hint="eastAsia" w:ascii="宋体" w:hAnsi="宋体"/>
          <w:sz w:val="24"/>
          <w:szCs w:val="24"/>
        </w:rPr>
        <w:t>施工中产生的废料、建筑垃圾或剩余的设备材料要及时清理运走，发现隐患要及时消除，为自己、为他人提供安全文明施工条件。</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2.4</w:t>
      </w:r>
      <w:r>
        <w:rPr>
          <w:rFonts w:hint="eastAsia" w:ascii="宋体" w:hAnsi="宋体"/>
          <w:sz w:val="24"/>
          <w:szCs w:val="24"/>
          <w:lang w:eastAsia="zh-CN"/>
        </w:rPr>
        <w:t>）、</w:t>
      </w: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2.5</w:t>
      </w:r>
      <w:r>
        <w:rPr>
          <w:rFonts w:hint="eastAsia" w:ascii="宋体" w:hAnsi="宋体"/>
          <w:sz w:val="24"/>
          <w:szCs w:val="24"/>
          <w:lang w:eastAsia="zh-CN"/>
        </w:rPr>
        <w:t>）、</w:t>
      </w: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2.6</w:t>
      </w:r>
      <w:r>
        <w:rPr>
          <w:rFonts w:hint="eastAsia" w:ascii="宋体" w:hAnsi="宋体"/>
          <w:sz w:val="24"/>
          <w:szCs w:val="24"/>
          <w:lang w:eastAsia="zh-CN"/>
        </w:rPr>
        <w:t>）、</w:t>
      </w: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2.7</w:t>
      </w:r>
      <w:r>
        <w:rPr>
          <w:rFonts w:hint="eastAsia" w:ascii="宋体" w:hAnsi="宋体"/>
          <w:sz w:val="24"/>
          <w:szCs w:val="24"/>
          <w:lang w:eastAsia="zh-CN"/>
        </w:rPr>
        <w:t>）、</w:t>
      </w:r>
      <w:r>
        <w:rPr>
          <w:rFonts w:hint="eastAsia" w:ascii="宋体" w:hAnsi="宋体"/>
          <w:sz w:val="24"/>
          <w:szCs w:val="24"/>
        </w:rPr>
        <w:t>起重作业时，吊物下方及回转半径内禁止站人，禁止人员走动。较重物品吊起需要调整时，下方必须加放垫物。</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2.8</w:t>
      </w:r>
      <w:r>
        <w:rPr>
          <w:rFonts w:hint="eastAsia" w:ascii="宋体" w:hAnsi="宋体"/>
          <w:sz w:val="24"/>
          <w:szCs w:val="24"/>
          <w:lang w:eastAsia="zh-CN"/>
        </w:rPr>
        <w:t>）、</w:t>
      </w:r>
      <w:r>
        <w:rPr>
          <w:rFonts w:hint="eastAsia" w:ascii="宋体" w:hAnsi="宋体"/>
          <w:sz w:val="24"/>
          <w:szCs w:val="24"/>
        </w:rPr>
        <w:t>禁止在易燃易爆场所或附近明火作业，确因工作需要，应有可靠的防范措施，必要时应办理作业票，经总工程师批准。</w:t>
      </w:r>
    </w:p>
    <w:p>
      <w:pPr>
        <w:pStyle w:val="20"/>
        <w:numPr>
          <w:ilvl w:val="1"/>
          <w:numId w:val="0"/>
        </w:numPr>
        <w:tabs>
          <w:tab w:val="left" w:pos="945"/>
          <w:tab w:val="left" w:pos="3960"/>
          <w:tab w:val="left" w:pos="5400"/>
          <w:tab w:val="left" w:pos="6840"/>
          <w:tab w:val="clear" w:pos="360"/>
        </w:tabs>
        <w:adjustRightInd w:val="0"/>
        <w:snapToGrid w:val="0"/>
        <w:ind w:leftChars="0"/>
        <w:rPr>
          <w:color w:val="auto"/>
          <w:szCs w:val="24"/>
        </w:rPr>
      </w:pPr>
      <w:r>
        <w:rPr>
          <w:rFonts w:hint="eastAsia"/>
          <w:color w:val="auto"/>
          <w:szCs w:val="24"/>
          <w:lang w:val="en-US" w:eastAsia="zh-CN"/>
        </w:rPr>
        <w:t xml:space="preserve"> </w:t>
      </w:r>
      <w:r>
        <w:rPr>
          <w:rFonts w:hint="eastAsia"/>
          <w:color w:val="auto"/>
          <w:szCs w:val="24"/>
          <w:lang w:eastAsia="zh-CN"/>
        </w:rPr>
        <w:t>（</w:t>
      </w:r>
      <w:r>
        <w:rPr>
          <w:rFonts w:hint="eastAsia"/>
          <w:color w:val="auto"/>
          <w:szCs w:val="24"/>
          <w:lang w:val="en-US" w:eastAsia="zh-CN"/>
        </w:rPr>
        <w:t>2.9</w:t>
      </w:r>
      <w:r>
        <w:rPr>
          <w:rFonts w:hint="eastAsia"/>
          <w:color w:val="auto"/>
          <w:szCs w:val="24"/>
          <w:lang w:eastAsia="zh-CN"/>
        </w:rPr>
        <w:t>）、</w:t>
      </w: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定期进行安全文明施工检查评价考核</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20"/>
        <w:numPr>
          <w:ilvl w:val="1"/>
          <w:numId w:val="0"/>
        </w:numPr>
        <w:tabs>
          <w:tab w:val="left" w:pos="945"/>
          <w:tab w:val="left" w:pos="3960"/>
          <w:tab w:val="left" w:pos="5400"/>
          <w:tab w:val="left" w:pos="6840"/>
          <w:tab w:val="clear" w:pos="360"/>
        </w:tabs>
        <w:adjustRightInd w:val="0"/>
        <w:snapToGrid w:val="0"/>
        <w:ind w:leftChars="0"/>
        <w:rPr>
          <w:color w:val="auto"/>
          <w:szCs w:val="24"/>
        </w:rPr>
      </w:pPr>
      <w:r>
        <w:rPr>
          <w:rFonts w:hint="eastAsia"/>
          <w:color w:val="auto"/>
          <w:szCs w:val="24"/>
          <w:lang w:val="en-US" w:eastAsia="zh-CN"/>
        </w:rPr>
        <w:t xml:space="preserve">  </w:t>
      </w:r>
      <w:r>
        <w:rPr>
          <w:rFonts w:hint="eastAsia"/>
          <w:color w:val="auto"/>
          <w:szCs w:val="24"/>
          <w:lang w:eastAsia="zh-CN"/>
        </w:rPr>
        <w:t>（</w:t>
      </w:r>
      <w:r>
        <w:rPr>
          <w:rFonts w:hint="eastAsia"/>
          <w:color w:val="auto"/>
          <w:szCs w:val="24"/>
          <w:lang w:val="en-US" w:eastAsia="zh-CN"/>
        </w:rPr>
        <w:t>2</w:t>
      </w:r>
      <w:r>
        <w:rPr>
          <w:rFonts w:hint="eastAsia"/>
          <w:color w:val="auto"/>
          <w:szCs w:val="24"/>
          <w:lang w:eastAsia="zh-CN"/>
        </w:rPr>
        <w:t>）、</w:t>
      </w:r>
      <w:r>
        <w:rPr>
          <w:rFonts w:hint="eastAsia"/>
          <w:color w:val="auto"/>
          <w:szCs w:val="24"/>
        </w:rPr>
        <w:t>检查评级按优、良、一般和差四个等级进行评定，每月评定一次。评定结果在安全简报上予以公布。</w:t>
      </w:r>
    </w:p>
    <w:p>
      <w:pPr>
        <w:numPr>
          <w:ilvl w:val="0"/>
          <w:numId w:val="0"/>
        </w:numPr>
        <w:tabs>
          <w:tab w:val="left" w:pos="945"/>
          <w:tab w:val="left" w:pos="3960"/>
          <w:tab w:val="left" w:pos="5400"/>
          <w:tab w:val="left" w:pos="6840"/>
        </w:tabs>
        <w:adjustRightInd w:val="0"/>
        <w:snapToGrid w:val="0"/>
        <w:spacing w:line="360" w:lineRule="auto"/>
        <w:ind w:left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5" w:name="_Toc28951"/>
      <w:bookmarkStart w:id="26" w:name="_Toc7446"/>
      <w:r>
        <w:rPr>
          <w:rFonts w:hint="eastAsia" w:ascii="宋体" w:hAnsi="宋体"/>
          <w:b/>
          <w:sz w:val="24"/>
          <w:szCs w:val="24"/>
        </w:rPr>
        <w:t>5、安全的事后控制</w:t>
      </w:r>
      <w:bookmarkEnd w:id="25"/>
      <w:bookmarkEnd w:id="26"/>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7) </w:t>
      </w:r>
      <w:r>
        <w:rPr>
          <w:rFonts w:hint="eastAsia" w:ascii="宋体" w:hAnsi="宋体"/>
          <w:sz w:val="24"/>
          <w:szCs w:val="24"/>
          <w:lang w:eastAsia="zh-CN"/>
        </w:rPr>
        <w:t>、</w:t>
      </w:r>
      <w:r>
        <w:rPr>
          <w:rFonts w:hint="eastAsia" w:ascii="宋体" w:hAnsi="宋体"/>
          <w:sz w:val="24"/>
          <w:szCs w:val="24"/>
        </w:rPr>
        <w:t>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w:t>
      </w:r>
      <w:r>
        <w:rPr>
          <w:rFonts w:hint="eastAsia" w:ascii="宋体" w:hAnsi="宋体"/>
          <w:sz w:val="24"/>
          <w:szCs w:val="24"/>
          <w:lang w:eastAsia="zh-CN"/>
        </w:rPr>
        <w:t>、</w:t>
      </w:r>
      <w:r>
        <w:rPr>
          <w:rFonts w:hint="eastAsia" w:ascii="宋体" w:hAnsi="宋体"/>
          <w:sz w:val="24"/>
          <w:szCs w:val="24"/>
        </w:rPr>
        <w:t>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w:t>
      </w:r>
      <w:r>
        <w:rPr>
          <w:rFonts w:hint="eastAsia" w:ascii="宋体" w:hAnsi="宋体"/>
          <w:sz w:val="24"/>
          <w:szCs w:val="24"/>
          <w:lang w:eastAsia="zh-CN"/>
        </w:rPr>
        <w:t>、</w:t>
      </w:r>
      <w:r>
        <w:rPr>
          <w:rFonts w:hint="eastAsia" w:ascii="宋体" w:hAnsi="宋体"/>
          <w:sz w:val="24"/>
          <w:szCs w:val="24"/>
        </w:rPr>
        <w:t>按照安全管理体系做好书面统计上报工作。监理部门应将各种文字资料（事故调查、会议记录、检查记录、整改记录、事故处理意见、事故报告等）收存归档。</w:t>
      </w:r>
    </w:p>
    <w:p>
      <w:pPr>
        <w:pStyle w:val="4"/>
        <w:widowControl w:val="0"/>
        <w:outlineLvl w:val="1"/>
        <w:rPr>
          <w:rFonts w:ascii="宋体" w:hAnsi="宋体"/>
          <w:b/>
          <w:sz w:val="24"/>
          <w:szCs w:val="24"/>
        </w:rPr>
      </w:pPr>
      <w:bookmarkStart w:id="27" w:name="_Toc18018"/>
      <w:bookmarkStart w:id="28" w:name="_Toc6144"/>
      <w:r>
        <w:rPr>
          <w:rFonts w:hint="eastAsia" w:ascii="宋体" w:hAnsi="宋体"/>
          <w:b/>
          <w:sz w:val="24"/>
          <w:szCs w:val="24"/>
        </w:rPr>
        <w:t>6、文明施工</w:t>
      </w:r>
      <w:bookmarkEnd w:id="27"/>
      <w:bookmarkEnd w:id="28"/>
    </w:p>
    <w:p>
      <w:pPr>
        <w:pStyle w:val="4"/>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审查施工承包商编制的施工组织设计中的文明施工措施，提出监理意见。</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组织施工承包商建立现场安全文明施工网络，明确各自的区域责任，定期活动，提高现场安全文明施工水平。</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施工承包商应贯彻文明施工要求，推行现代管理方法，科学组织施工，做好各项管理工作。</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、厂区内道路严禁</w:t>
      </w:r>
      <w:r>
        <w:rPr>
          <w:rFonts w:hint="eastAsia" w:ascii="宋体" w:hAnsi="宋体"/>
          <w:sz w:val="24"/>
          <w:szCs w:val="24"/>
        </w:rPr>
        <w:t>堆放大宗材料、成品、半成品和机具设备，不得侵占厂内道路及安全防护等设施。</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进入施工现场的主要管理人员、监理人员、设计以及业主人员应当佩戴证明其身份的证件。</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施工机械按照厂部批准的规定的要求配合，施工机械进场必须经过安全检查，经检查合格的方能使用。施工机械操作人员必须建立岗位责任制，并依照有关规定持证上岗，禁止无证人员操作。</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施工承包商应保证施工现场场容场貌的整洁，随时清理建筑垃圾。车辆、行人通过的地方施工，应当设置的施工标志。</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检查施工承包商现场文明施工情况，发现问题提出整改意见，逾期未改，发出不符合项通知单，责令停工整改，实行闭环控制。</w:t>
      </w:r>
    </w:p>
    <w:p>
      <w:pPr>
        <w:numPr>
          <w:ilvl w:val="3"/>
          <w:numId w:val="4"/>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系统及设备分部试运和整套启动前，按照新启规的要求检查现场是否符合启动条件，并签署监理意见。</w:t>
      </w:r>
    </w:p>
    <w:p>
      <w:pPr>
        <w:pStyle w:val="20"/>
        <w:numPr>
          <w:ilvl w:val="3"/>
          <w:numId w:val="4"/>
        </w:numPr>
        <w:tabs>
          <w:tab w:val="left" w:pos="2160"/>
          <w:tab w:val="left" w:pos="3960"/>
          <w:tab w:val="left" w:pos="5400"/>
          <w:tab w:val="left" w:pos="6840"/>
        </w:tabs>
        <w:adjustRightInd w:val="0"/>
        <w:snapToGrid w:val="0"/>
        <w:rPr>
          <w:color w:val="auto"/>
          <w:szCs w:val="24"/>
        </w:rPr>
      </w:pPr>
      <w:r>
        <w:rPr>
          <w:rFonts w:hint="eastAsia"/>
          <w:color w:val="auto"/>
          <w:szCs w:val="24"/>
          <w:lang w:eastAsia="zh-CN"/>
        </w:rPr>
        <w:t>、</w:t>
      </w:r>
      <w:r>
        <w:rPr>
          <w:rFonts w:hint="eastAsia"/>
          <w:color w:val="auto"/>
          <w:szCs w:val="24"/>
        </w:rPr>
        <w:t>文明施工检查</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施工人员必须精神状态良好，进入现场要衣帽整齐，佩戴证件，穿戴应符合自己施工的要求。</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施工人员在现场作业不准吸烟，不准在施工现场流动吸烟。</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施工人员在现场不准嘻戏、打闹、追逐、开玩笑。</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严禁在施工现场随处大小便，高空作业时不准随意吐痰。</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不准在已施工好的成品、设备或其它构件上随意刻划、张贴、写字、涂抹、污染等，做好成品保护工作。</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施工中未经批准不得在屋面其它构件上打洞、钻孔、开缺口。</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高空作业时，不得随意抛掷物件，多余的配件应从上到下采用人工吊运传递方式，放到指定位置堆放整齐。</w:t>
      </w:r>
    </w:p>
    <w:p>
      <w:pPr>
        <w:numPr>
          <w:ilvl w:val="0"/>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lang w:eastAsia="zh-CN"/>
        </w:rPr>
        <w:t>、</w:t>
      </w:r>
      <w:r>
        <w:rPr>
          <w:rFonts w:hint="eastAsia" w:ascii="宋体" w:hAnsi="宋体"/>
          <w:sz w:val="24"/>
          <w:szCs w:val="24"/>
        </w:rPr>
        <w:t>各种施工机械应专人使用和管理，要经常擦洗和养护，保持外貌清洁美观。安全操作规程和标志牌要悬挂醒目规范。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w:t>
      </w:r>
      <w:r>
        <w:rPr>
          <w:rFonts w:hint="eastAsia" w:ascii="宋体" w:hAnsi="宋体"/>
          <w:sz w:val="24"/>
          <w:szCs w:val="24"/>
          <w:lang w:eastAsia="zh-CN"/>
        </w:rPr>
        <w:t>、</w:t>
      </w:r>
      <w:r>
        <w:rPr>
          <w:rFonts w:hint="eastAsia" w:ascii="宋体" w:hAnsi="宋体"/>
          <w:sz w:val="24"/>
          <w:szCs w:val="24"/>
        </w:rPr>
        <w:t>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w:t>
      </w:r>
      <w:r>
        <w:rPr>
          <w:rFonts w:hint="eastAsia" w:ascii="宋体" w:hAnsi="宋体"/>
          <w:sz w:val="24"/>
          <w:szCs w:val="24"/>
          <w:lang w:eastAsia="zh-CN"/>
        </w:rPr>
        <w:t>、</w:t>
      </w:r>
      <w:r>
        <w:rPr>
          <w:rFonts w:hint="eastAsia" w:ascii="宋体" w:hAnsi="宋体"/>
          <w:sz w:val="24"/>
          <w:szCs w:val="24"/>
        </w:rPr>
        <w:t>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w:t>
      </w:r>
      <w:r>
        <w:rPr>
          <w:rFonts w:hint="eastAsia" w:ascii="宋体" w:hAnsi="宋体"/>
          <w:sz w:val="24"/>
          <w:szCs w:val="24"/>
          <w:lang w:eastAsia="zh-CN"/>
        </w:rPr>
        <w:t>、</w:t>
      </w:r>
      <w:r>
        <w:rPr>
          <w:rFonts w:hint="eastAsia" w:ascii="宋体" w:hAnsi="宋体"/>
          <w:sz w:val="24"/>
          <w:szCs w:val="24"/>
        </w:rPr>
        <w:t>电焊作业时余下的焊条头不得随意丢弃，要集中存放回收。焊工使用的焊机、氧气瓶和乙炔瓶放置要规范，符合安全要求，焊把线不得超过30米，把焊线和乙炔皮管不得缠在一起。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w:t>
      </w:r>
      <w:r>
        <w:rPr>
          <w:rFonts w:hint="eastAsia" w:ascii="宋体" w:hAnsi="宋体"/>
          <w:sz w:val="24"/>
          <w:szCs w:val="24"/>
          <w:lang w:eastAsia="zh-CN"/>
        </w:rPr>
        <w:t>、</w:t>
      </w:r>
      <w:r>
        <w:rPr>
          <w:rFonts w:hint="eastAsia" w:ascii="宋体" w:hAnsi="宋体"/>
          <w:sz w:val="24"/>
          <w:szCs w:val="24"/>
        </w:rPr>
        <w:t>施工照明用电不得私拉乱接、各行其事，要统一合理布置，使用和管理要落实到班组或个人。</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9" w:name="_Toc2321"/>
      <w:bookmarkStart w:id="30" w:name="_Toc17150"/>
      <w:r>
        <w:rPr>
          <w:rFonts w:hint="eastAsia" w:ascii="宋体" w:hAnsi="宋体"/>
          <w:b/>
          <w:sz w:val="24"/>
          <w:szCs w:val="24"/>
        </w:rPr>
        <w:t>7、环境保护</w:t>
      </w:r>
      <w:bookmarkEnd w:id="29"/>
      <w:bookmarkEnd w:id="30"/>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施工承包商均应当遵守国家有关环境保护的法律规定，采取措施控制施工现场的各种粉尘、废水、废气、固体抛弃物以及噪声、振动对环境的污染和危害。同时，施工承包商应当采取防止环境污染的措施：</w:t>
      </w:r>
    </w:p>
    <w:p>
      <w:pPr>
        <w:spacing w:line="360" w:lineRule="auto"/>
        <w:outlineLvl w:val="0"/>
        <w:rPr>
          <w:rFonts w:ascii="宋体" w:hAnsi="宋体"/>
          <w:b/>
          <w:color w:val="000000"/>
          <w:sz w:val="24"/>
          <w:szCs w:val="24"/>
        </w:rPr>
      </w:pPr>
      <w:bookmarkStart w:id="31" w:name="_Toc15205"/>
      <w:bookmarkStart w:id="32" w:name="_Toc29088"/>
      <w:r>
        <w:rPr>
          <w:rFonts w:hint="eastAsia" w:ascii="宋体" w:hAnsi="宋体"/>
          <w:b/>
          <w:color w:val="000000"/>
          <w:sz w:val="24"/>
          <w:szCs w:val="24"/>
        </w:rPr>
        <w:t>七、管理体系及职责：</w:t>
      </w:r>
      <w:bookmarkEnd w:id="31"/>
      <w:bookmarkEnd w:id="32"/>
    </w:p>
    <w:p>
      <w:pPr>
        <w:spacing w:line="360" w:lineRule="auto"/>
        <w:outlineLvl w:val="1"/>
        <w:rPr>
          <w:rFonts w:ascii="宋体" w:hAnsi="宋体"/>
          <w:b/>
          <w:color w:val="000000"/>
          <w:sz w:val="24"/>
          <w:szCs w:val="24"/>
        </w:rPr>
      </w:pPr>
      <w:bookmarkStart w:id="33" w:name="_Toc27270"/>
      <w:bookmarkStart w:id="34" w:name="_Toc21255"/>
      <w:r>
        <w:rPr>
          <w:rFonts w:hint="eastAsia" w:ascii="宋体" w:hAnsi="宋体"/>
          <w:b/>
          <w:color w:val="000000"/>
          <w:sz w:val="24"/>
          <w:szCs w:val="24"/>
          <w:lang w:val="en-US" w:eastAsia="zh-CN"/>
        </w:rPr>
        <w:t xml:space="preserve"> </w:t>
      </w:r>
      <w:r>
        <w:rPr>
          <w:rFonts w:hint="eastAsia" w:ascii="宋体" w:hAnsi="宋体"/>
          <w:b/>
          <w:color w:val="000000"/>
          <w:sz w:val="24"/>
          <w:szCs w:val="24"/>
        </w:rPr>
        <w:t xml:space="preserve">1、管理体系：         </w:t>
      </w:r>
    </w:p>
    <w:p>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3"/>
      <w:bookmarkEnd w:id="34"/>
    </w:p>
    <w:p>
      <w:pPr>
        <w:spacing w:line="360" w:lineRule="auto"/>
        <w:rPr>
          <w:rFonts w:ascii="宋体" w:hAnsi="宋体"/>
          <w:color w:val="000000"/>
          <w:sz w:val="24"/>
          <w:szCs w:val="24"/>
        </w:rPr>
      </w:pPr>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247650</wp:posOffset>
                </wp:positionH>
                <wp:positionV relativeFrom="paragraph">
                  <wp:posOffset>32385</wp:posOffset>
                </wp:positionV>
                <wp:extent cx="4914900" cy="1834515"/>
                <wp:effectExtent l="4445" t="5080" r="14605" b="8255"/>
                <wp:wrapNone/>
                <wp:docPr id="3" name="组合 3"/>
                <wp:cNvGraphicFramePr/>
                <a:graphic xmlns:a="http://schemas.openxmlformats.org/drawingml/2006/main">
                  <a:graphicData uri="http://schemas.microsoft.com/office/word/2010/wordprocessingGroup">
                    <wpg:wgp>
                      <wpg:cNvGrpSpPr/>
                      <wpg:grpSpPr>
                        <a:xfrm>
                          <a:off x="0" y="0"/>
                          <a:ext cx="4914900" cy="1834606"/>
                          <a:chOff x="0" y="748"/>
                          <a:chExt cx="7380" cy="2528"/>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548" y="748"/>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lang w:eastAsia="zh-CN"/>
                                </w:rPr>
                                <w:t>监理专监</w:t>
                              </w:r>
                              <w:r>
                                <w:rPr>
                                  <w:rFonts w:hint="eastAsia" w:ascii="宋体" w:hAnsi="宋体"/>
                                  <w:sz w:val="24"/>
                                </w:rPr>
                                <w:t>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31" y="1051"/>
                            <a:ext cx="1440" cy="691"/>
                          </a:xfrm>
                          <a:prstGeom prst="rect">
                            <a:avLst/>
                          </a:prstGeom>
                          <a:solidFill>
                            <a:srgbClr val="FFFFFF"/>
                          </a:solidFill>
                          <a:ln w="9525">
                            <a:solidFill>
                              <a:srgbClr val="000000"/>
                            </a:solidFill>
                            <a:miter lim="800000"/>
                          </a:ln>
                        </wps:spPr>
                        <wps:txbx>
                          <w:txbxContent>
                            <w:p>
                              <w:pPr>
                                <w:jc w:val="center"/>
                                <w:rPr>
                                  <w:rFonts w:ascii="宋体" w:hAnsi="宋体"/>
                                  <w:sz w:val="24"/>
                                  <w:szCs w:val="24"/>
                                </w:rPr>
                              </w:pPr>
                              <w:r>
                                <w:rPr>
                                  <w:rFonts w:hint="eastAsia" w:ascii="宋体" w:hAnsi="宋体"/>
                                  <w:sz w:val="24"/>
                                  <w:szCs w:val="24"/>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9.5pt;margin-top:2.55pt;height:144.45pt;width:387pt;z-index:251659264;mso-width-relative:page;mso-height-relative:page;" coordorigin="0,748" coordsize="7380,2528" o:gfxdata="UEsDBAoAAAAAAIdO4kAAAAAAAAAAAAAAAAAEAAAAZHJzL1BLAwQUAAAACACHTuJAnB1V+tgAAAAI&#10;AQAADwAAAGRycy9kb3ducmV2LnhtbE2PQWvCQBSE74X+h+UJvdXNmlo0ZiNF2p6koBZKb8/sMwlm&#10;d0N2TfTf9/XUHocZZr7J11fbioH60HinQU0TEORKbxpXafg8vD0uQISIzmDrHWm4UYB1cX+XY2b8&#10;6HY07GMluMSFDDXUMXaZlKGsyWKY+o4ceyffW4ws+0qaHkcut62cJcmztNg4Xqixo01N5Xl/sRre&#10;RxxfUvU6bM+nze37MP/42irS+mGikhWISNf4F4ZffEaHgpmO/uJMEK2GdMlXooa5AsH2QqWsjxpm&#10;y6cEZJHL/weKH1BLAwQUAAAACACHTuJAyQWZ4gMEAAAKGAAADgAAAGRycy9lMm9Eb2MueG1s7VjL&#10;buM2FN0X6D8Q3DcSZUm2hSiDaaZJC6RtgKQfQEvUA5VIlaQjZ9ZddNn/6fcU/Y1eUk/HyQww7XjQ&#10;jr2QRVJ8nXN4yMvzV7u6Qg9MqlLwGJMzFyPGE5GWPI/xT/dXX60wUprylFaCsxg/MoVfXXz5xXnb&#10;RMwThahSJhE0wlXUNjEutG4ix1FJwWqqzkTDOBRmQtZUQ1LmTippC63XleO5bui0QqaNFAlTCnLf&#10;dIX4wrafZSzRP2aZYhpVMYaxafuU9rkxT+finEa5pE1RJv0w6AeMoqYlh07Hpt5QTdFWlgdN1WUi&#10;hRKZPktE7YgsKxNm5wCzIe6T2VxLsW3sXPKozZsRJoD2CU4f3Gzyw8OtRGUa4wVGnNZA0V9//Prn&#10;77+hhcGmbfIIPrmWzV1zK/uMvEuZ6e4yWZt/mAjaWVQfR1TZTqMEMv018dcugJ9AGVkt/NANO9yT&#10;AsiZ6i391ZD/TV93uVj1Fb3As6XO0KljxjYOpW1AP2qCSP0ziO4K2jCLvDLz7yHyB4huSs4QWXYI&#10;2S8u+a00QCQ7ftfciORnhbi4LCjPmW3r/rEBaImpAQOfVTEJBdiiTfu9SOEbutXCSslgi7KqbL41&#10;FWcoh2EIoACY3sLvFTxg3YMVBJ7tacCKRo1U+pqJGpmXGFcwAdskfbhR2gxq+sT0xMVVWVWQT6OK&#10;ozbG68ALbAUlqjI1haZMyXxzWUn0QM3ysr++373PQMY87TqpeA+AmbPRl4o2In202rLAAIld9kdn&#10;MxzYvDfofS12iKxnjBrBI72D/AF+9YTY11KKtmA0BbHtMWuqdpN4mdkZnyQA4Rs+xwUw0El8INiu&#10;Gz/cV/9EV8+oBKt7F6N7hOzxdmV/z/H2L1Bflxr8vSrrGK/m+nhGB3q32YFIJkkgKTq/hv0FXgoh&#10;32LUglfHWP2ypZJhVH3HAXwwGIOTtgk/WHqQkPOSzbyE8gSairHGqHu91N2GsG1kmRfQU7fauHgN&#10;SzEr7fKYRtXr93g6JTCbzplHoXq9OVsfOZ5QYSDGdVZu79ODTD1iDMnY+0mmn69MyaFM/U/ip4v1&#10;AsYCaiRuYH2ZRoNSJ0MN151lv7hFngz1f2uo3qFSg0+i1GA5nOQOPJWEZhc7eernvfWPQZmNODwb&#10;N5mjCMQkHynimJ1LbXhhfdQbIrPBR3tpEnd9CjRm1w/Ph41kP270jhA3zlgkrgmhzbntpWjxvYe2&#10;U7QIZ4lg2DS6pWiPwEdbiu8gMQiGKxJ7FzDejxxEiCcWgcUx6O9YnAf8xzTUAPZ9e7syGOq03Z9Y&#10;fL+hLvfW4sJCdrS1CHbZGSpZgpz2WOy3xdCzgc9/dinaq1W4cLbXgv3luLnRnqftNch0hX/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JwdVfrYAAAACAEAAA8AAAAAAAAAAQAgAAAAIgAAAGRycy9k&#10;b3ducmV2LnhtbFBLAQIUABQAAAAIAIdO4kDJBZniAwQAAAoYAAAOAAAAAAAAAAEAIAAAACcBAABk&#10;cnMvZTJvRG9jLnhtbFBLBQYAAAAABgAGAFkBAACcBw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548;top:748;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lang w:eastAsia="zh-CN"/>
                          </w:rPr>
                          <w:t>监理专监</w:t>
                        </w:r>
                        <w:r>
                          <w:rPr>
                            <w:rFonts w:hint="eastAsia" w:ascii="宋体" w:hAnsi="宋体"/>
                            <w:sz w:val="24"/>
                          </w:rPr>
                          <w:t>组</w:t>
                        </w:r>
                      </w:p>
                    </w:txbxContent>
                  </v:textbox>
                </v:shape>
                <v:shape id="Text Box 24" o:spid="_x0000_s1026" o:spt="202" type="#_x0000_t202" style="position:absolute;left:3931;top:1051;height:691;width:14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sz w:val="24"/>
                            <w:szCs w:val="24"/>
                          </w:rPr>
                        </w:pPr>
                        <w:r>
                          <w:rPr>
                            <w:rFonts w:hint="eastAsia" w:ascii="宋体" w:hAnsi="宋体"/>
                            <w:sz w:val="24"/>
                            <w:szCs w:val="24"/>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outlineLvl w:val="1"/>
        <w:rPr>
          <w:rFonts w:hint="eastAsia" w:ascii="宋体" w:hAnsi="宋体"/>
          <w:b/>
          <w:color w:val="000000"/>
          <w:sz w:val="24"/>
          <w:szCs w:val="24"/>
        </w:rPr>
      </w:pPr>
      <w:bookmarkStart w:id="35" w:name="_Toc23267"/>
      <w:bookmarkStart w:id="36" w:name="_Toc695"/>
    </w:p>
    <w:p>
      <w:pPr>
        <w:spacing w:line="360" w:lineRule="auto"/>
        <w:outlineLvl w:val="1"/>
        <w:rPr>
          <w:rFonts w:ascii="宋体" w:hAnsi="宋体"/>
          <w:b/>
          <w:color w:val="000000"/>
          <w:sz w:val="24"/>
          <w:szCs w:val="24"/>
        </w:rPr>
      </w:pPr>
      <w:r>
        <w:rPr>
          <w:rFonts w:hint="eastAsia" w:ascii="宋体" w:hAnsi="宋体"/>
          <w:b/>
          <w:color w:val="000000"/>
          <w:sz w:val="24"/>
          <w:szCs w:val="24"/>
        </w:rPr>
        <w:t>2、岗位安</w:t>
      </w:r>
      <w:bookmarkEnd w:id="35"/>
      <w:bookmarkStart w:id="37" w:name="_Toc28588"/>
      <w:bookmarkStart w:id="38" w:name="_Toc31827"/>
      <w:r>
        <w:rPr>
          <w:rFonts w:hint="eastAsia" w:ascii="宋体" w:hAnsi="宋体"/>
          <w:b/>
          <w:color w:val="000000"/>
          <w:sz w:val="24"/>
          <w:szCs w:val="24"/>
        </w:rPr>
        <w:t>全职责：</w:t>
      </w:r>
      <w:bookmarkEnd w:id="36"/>
      <w:bookmarkEnd w:id="37"/>
      <w:bookmarkEnd w:id="38"/>
    </w:p>
    <w:p>
      <w:pPr>
        <w:spacing w:line="360" w:lineRule="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   </w:t>
      </w:r>
    </w:p>
    <w:p>
      <w:pPr>
        <w:spacing w:line="360" w:lineRule="auto"/>
        <w:rPr>
          <w:rFonts w:ascii="宋体" w:hAnsi="宋体" w:cs="宋体"/>
          <w:bCs/>
          <w:kern w:val="0"/>
          <w:sz w:val="24"/>
          <w:szCs w:val="24"/>
        </w:rPr>
      </w:pP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w:t>
      </w:r>
      <w:r>
        <w:rPr>
          <w:rFonts w:hint="eastAsia" w:ascii="宋体" w:hAnsi="宋体" w:cs="宋体"/>
          <w:bCs/>
          <w:kern w:val="0"/>
          <w:sz w:val="24"/>
          <w:szCs w:val="24"/>
          <w:lang w:eastAsia="zh-CN"/>
        </w:rPr>
        <w:t>、</w:t>
      </w:r>
      <w:r>
        <w:rPr>
          <w:rFonts w:hint="eastAsia" w:ascii="宋体" w:hAnsi="宋体" w:cs="宋体"/>
          <w:bCs/>
          <w:kern w:val="0"/>
          <w:sz w:val="24"/>
          <w:szCs w:val="24"/>
        </w:rPr>
        <w:t>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w:t>
      </w:r>
      <w:r>
        <w:rPr>
          <w:rFonts w:hint="eastAsia" w:ascii="宋体" w:hAnsi="宋体" w:cs="宋体"/>
          <w:bCs/>
          <w:kern w:val="0"/>
          <w:sz w:val="24"/>
          <w:szCs w:val="24"/>
          <w:lang w:eastAsia="zh-CN"/>
        </w:rPr>
        <w:t>、</w:t>
      </w:r>
      <w:r>
        <w:rPr>
          <w:rFonts w:hint="eastAsia" w:ascii="宋体" w:hAnsi="宋体" w:cs="宋体"/>
          <w:bCs/>
          <w:kern w:val="0"/>
          <w:sz w:val="24"/>
          <w:szCs w:val="24"/>
        </w:rPr>
        <w:t>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w:t>
      </w:r>
      <w:r>
        <w:rPr>
          <w:rFonts w:hint="eastAsia" w:ascii="宋体" w:hAnsi="宋体" w:cs="宋体"/>
          <w:bCs/>
          <w:kern w:val="0"/>
          <w:sz w:val="24"/>
          <w:szCs w:val="24"/>
          <w:lang w:eastAsia="zh-CN"/>
        </w:rPr>
        <w:t>、</w:t>
      </w:r>
      <w:r>
        <w:rPr>
          <w:rFonts w:hint="eastAsia" w:ascii="宋体" w:hAnsi="宋体" w:cs="宋体"/>
          <w:bCs/>
          <w:kern w:val="0"/>
          <w:sz w:val="24"/>
          <w:szCs w:val="24"/>
        </w:rPr>
        <w:t>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w:t>
      </w:r>
      <w:r>
        <w:rPr>
          <w:rFonts w:hint="eastAsia" w:ascii="宋体" w:hAnsi="宋体" w:cs="宋体"/>
          <w:bCs/>
          <w:kern w:val="0"/>
          <w:sz w:val="24"/>
          <w:szCs w:val="24"/>
          <w:lang w:eastAsia="zh-CN"/>
        </w:rPr>
        <w:t>、</w:t>
      </w:r>
      <w:r>
        <w:rPr>
          <w:rFonts w:hint="eastAsia" w:ascii="宋体" w:hAnsi="宋体" w:cs="宋体"/>
          <w:bCs/>
          <w:kern w:val="0"/>
          <w:sz w:val="24"/>
          <w:szCs w:val="24"/>
        </w:rPr>
        <w:t>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w:t>
      </w:r>
      <w:r>
        <w:rPr>
          <w:rFonts w:hint="eastAsia" w:ascii="宋体" w:hAnsi="宋体" w:cs="宋体"/>
          <w:bCs/>
          <w:kern w:val="0"/>
          <w:sz w:val="24"/>
          <w:szCs w:val="24"/>
          <w:lang w:eastAsia="zh-CN"/>
        </w:rPr>
        <w:t>、</w:t>
      </w:r>
      <w:r>
        <w:rPr>
          <w:rFonts w:hint="eastAsia" w:ascii="宋体" w:hAnsi="宋体" w:cs="宋体"/>
          <w:bCs/>
          <w:kern w:val="0"/>
          <w:sz w:val="24"/>
          <w:szCs w:val="24"/>
        </w:rPr>
        <w:t>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w:t>
      </w:r>
      <w:r>
        <w:rPr>
          <w:rFonts w:hint="eastAsia" w:ascii="宋体" w:hAnsi="宋体" w:cs="宋体"/>
          <w:bCs/>
          <w:kern w:val="0"/>
          <w:sz w:val="24"/>
          <w:szCs w:val="24"/>
          <w:lang w:eastAsia="zh-CN"/>
        </w:rPr>
        <w:t>、</w:t>
      </w:r>
      <w:r>
        <w:rPr>
          <w:rFonts w:hint="eastAsia" w:ascii="宋体" w:hAnsi="宋体" w:cs="宋体"/>
          <w:bCs/>
          <w:kern w:val="0"/>
          <w:sz w:val="24"/>
          <w:szCs w:val="24"/>
        </w:rPr>
        <w:t>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w:t>
      </w:r>
      <w:r>
        <w:rPr>
          <w:rFonts w:hint="eastAsia" w:ascii="宋体" w:hAnsi="宋体" w:cs="宋体"/>
          <w:bCs/>
          <w:kern w:val="0"/>
          <w:sz w:val="24"/>
          <w:szCs w:val="24"/>
          <w:lang w:eastAsia="zh-CN"/>
        </w:rPr>
        <w:t>、</w:t>
      </w:r>
      <w:r>
        <w:rPr>
          <w:rFonts w:hint="eastAsia" w:ascii="宋体" w:hAnsi="宋体" w:cs="宋体"/>
          <w:bCs/>
          <w:kern w:val="0"/>
          <w:sz w:val="24"/>
          <w:szCs w:val="24"/>
        </w:rPr>
        <w:t>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w:t>
      </w:r>
      <w:r>
        <w:rPr>
          <w:rFonts w:hint="eastAsia" w:ascii="宋体" w:hAnsi="宋体" w:cs="宋体"/>
          <w:bCs/>
          <w:kern w:val="0"/>
          <w:sz w:val="24"/>
          <w:szCs w:val="24"/>
          <w:lang w:eastAsia="zh-CN"/>
        </w:rPr>
        <w:t>、</w:t>
      </w:r>
      <w:r>
        <w:rPr>
          <w:rFonts w:hint="eastAsia" w:ascii="宋体" w:hAnsi="宋体" w:cs="宋体"/>
          <w:bCs/>
          <w:kern w:val="0"/>
          <w:sz w:val="24"/>
          <w:szCs w:val="24"/>
        </w:rPr>
        <w:t>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w:t>
      </w:r>
      <w:r>
        <w:rPr>
          <w:rFonts w:hint="eastAsia" w:ascii="宋体" w:hAnsi="宋体" w:cs="宋体"/>
          <w:bCs/>
          <w:kern w:val="0"/>
          <w:sz w:val="24"/>
          <w:szCs w:val="24"/>
          <w:lang w:eastAsia="zh-CN"/>
        </w:rPr>
        <w:t>、</w:t>
      </w:r>
      <w:r>
        <w:rPr>
          <w:rFonts w:hint="eastAsia" w:ascii="宋体" w:hAnsi="宋体" w:cs="宋体"/>
          <w:bCs/>
          <w:kern w:val="0"/>
          <w:sz w:val="24"/>
          <w:szCs w:val="24"/>
        </w:rPr>
        <w:t>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w:t>
      </w:r>
      <w:r>
        <w:rPr>
          <w:rFonts w:hint="eastAsia" w:ascii="宋体" w:hAnsi="宋体" w:cs="宋体"/>
          <w:bCs/>
          <w:kern w:val="0"/>
          <w:sz w:val="24"/>
          <w:szCs w:val="24"/>
          <w:lang w:eastAsia="zh-CN"/>
        </w:rPr>
        <w:t>、</w:t>
      </w:r>
      <w:r>
        <w:rPr>
          <w:rFonts w:hint="eastAsia" w:ascii="宋体" w:hAnsi="宋体" w:cs="宋体"/>
          <w:bCs/>
          <w:kern w:val="0"/>
          <w:sz w:val="24"/>
          <w:szCs w:val="24"/>
        </w:rPr>
        <w:t>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18"/>
          <w:rFonts w:ascii="宋体" w:hAnsi="宋体"/>
          <w:sz w:val="24"/>
          <w:szCs w:val="24"/>
        </w:rPr>
        <w:t>1</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18"/>
          <w:rFonts w:ascii="宋体" w:hAnsi="宋体"/>
          <w:sz w:val="24"/>
          <w:szCs w:val="24"/>
        </w:rPr>
        <w:t>2</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18"/>
          <w:rFonts w:ascii="宋体" w:hAnsi="宋体"/>
          <w:sz w:val="24"/>
          <w:szCs w:val="24"/>
        </w:rPr>
        <w:t>3</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18"/>
          <w:rFonts w:ascii="宋体" w:hAnsi="宋体"/>
          <w:sz w:val="24"/>
          <w:szCs w:val="24"/>
        </w:rPr>
        <w:t>4</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18"/>
          <w:rFonts w:ascii="宋体" w:hAnsi="宋体"/>
          <w:sz w:val="24"/>
          <w:szCs w:val="24"/>
        </w:rPr>
        <w:t>1</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18"/>
          <w:rFonts w:ascii="宋体" w:hAnsi="宋体"/>
          <w:sz w:val="24"/>
          <w:szCs w:val="24"/>
        </w:rPr>
        <w:t>2</w:t>
      </w:r>
      <w:r>
        <w:rPr>
          <w:rStyle w:val="18"/>
          <w:rFonts w:hint="eastAsia" w:ascii="宋体" w:hAnsi="宋体"/>
          <w:sz w:val="24"/>
          <w:szCs w:val="24"/>
        </w:rPr>
        <w:t>）</w:t>
      </w:r>
      <w:r>
        <w:rPr>
          <w:rStyle w:val="18"/>
          <w:rFonts w:hint="eastAsia" w:ascii="宋体" w:hAnsi="宋体"/>
          <w:sz w:val="24"/>
          <w:szCs w:val="24"/>
          <w:lang w:eastAsia="zh-CN"/>
        </w:rPr>
        <w:t>、</w:t>
      </w:r>
      <w:r>
        <w:rPr>
          <w:rStyle w:val="18"/>
          <w:rFonts w:hint="eastAsia" w:ascii="宋体" w:hAnsi="宋体"/>
          <w:sz w:val="24"/>
          <w:szCs w:val="24"/>
        </w:rPr>
        <w:t>督促区域安全监理</w:t>
      </w:r>
      <w:r>
        <w:rPr>
          <w:rStyle w:val="18"/>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18"/>
          <w:rFonts w:ascii="宋体" w:hAnsi="宋体"/>
          <w:sz w:val="24"/>
          <w:szCs w:val="24"/>
        </w:rPr>
        <w:t>3</w:t>
      </w:r>
      <w:r>
        <w:rPr>
          <w:rStyle w:val="18"/>
          <w:rFonts w:hint="eastAsia" w:ascii="宋体" w:hAnsi="宋体"/>
          <w:sz w:val="24"/>
          <w:szCs w:val="24"/>
        </w:rPr>
        <w:t>）</w:t>
      </w:r>
      <w:r>
        <w:rPr>
          <w:rStyle w:val="18"/>
          <w:rFonts w:hint="eastAsia" w:ascii="宋体" w:hAnsi="宋体"/>
          <w:sz w:val="24"/>
          <w:szCs w:val="24"/>
          <w:lang w:eastAsia="zh-CN"/>
        </w:rPr>
        <w:t>、</w:t>
      </w:r>
      <w:r>
        <w:rPr>
          <w:rStyle w:val="18"/>
          <w:rFonts w:ascii="宋体" w:hAnsi="宋体"/>
          <w:sz w:val="24"/>
          <w:szCs w:val="24"/>
        </w:rPr>
        <w:t>督促施工单位进行安全自检，并参加安全检查；</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Style w:val="18"/>
          <w:rFonts w:ascii="宋体" w:hAnsi="宋体"/>
          <w:sz w:val="24"/>
          <w:szCs w:val="24"/>
        </w:rPr>
      </w:pPr>
      <w:r>
        <w:rPr>
          <w:rStyle w:val="18"/>
          <w:rFonts w:ascii="宋体" w:hAnsi="宋体"/>
          <w:sz w:val="24"/>
          <w:szCs w:val="24"/>
        </w:rPr>
        <w:t>4</w:t>
      </w:r>
      <w:r>
        <w:rPr>
          <w:rStyle w:val="18"/>
          <w:rFonts w:hint="eastAsia" w:ascii="宋体" w:hAnsi="宋体"/>
          <w:sz w:val="24"/>
          <w:szCs w:val="24"/>
        </w:rPr>
        <w:t>）</w:t>
      </w:r>
      <w:r>
        <w:rPr>
          <w:rStyle w:val="18"/>
          <w:rFonts w:hint="eastAsia" w:ascii="宋体" w:hAnsi="宋体"/>
          <w:sz w:val="24"/>
          <w:szCs w:val="24"/>
          <w:lang w:eastAsia="zh-CN"/>
        </w:rPr>
        <w:t>、</w:t>
      </w:r>
      <w:r>
        <w:rPr>
          <w:rStyle w:val="18"/>
          <w:rFonts w:hint="eastAsia" w:ascii="宋体" w:hAnsi="宋体"/>
          <w:sz w:val="24"/>
          <w:szCs w:val="24"/>
        </w:rPr>
        <w:t>督促</w:t>
      </w:r>
      <w:r>
        <w:rPr>
          <w:rStyle w:val="18"/>
          <w:rFonts w:ascii="宋体" w:hAnsi="宋体"/>
          <w:sz w:val="24"/>
          <w:szCs w:val="24"/>
        </w:rPr>
        <w:t>复验施工单位的施工机械、安全设施的验收手续，并签署意见，未经安全复验的，不得投入使用</w:t>
      </w:r>
      <w:r>
        <w:rPr>
          <w:rStyle w:val="18"/>
          <w:rFonts w:hint="eastAsia" w:ascii="宋体" w:hAnsi="宋体"/>
          <w:sz w:val="24"/>
          <w:szCs w:val="24"/>
        </w:rPr>
        <w:t>。</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cs="宋体"/>
          <w:bCs/>
          <w:kern w:val="0"/>
          <w:sz w:val="24"/>
          <w:szCs w:val="24"/>
        </w:rPr>
      </w:pPr>
      <w:r>
        <w:rPr>
          <w:rFonts w:hint="eastAsia" w:ascii="宋体" w:hAnsi="宋体" w:cs="宋体"/>
          <w:bCs/>
          <w:kern w:val="0"/>
          <w:sz w:val="24"/>
          <w:szCs w:val="24"/>
        </w:rPr>
        <w:t>5）</w:t>
      </w:r>
      <w:r>
        <w:rPr>
          <w:rFonts w:hint="eastAsia" w:ascii="宋体" w:hAnsi="宋体" w:cs="宋体"/>
          <w:bCs/>
          <w:kern w:val="0"/>
          <w:sz w:val="24"/>
          <w:szCs w:val="24"/>
          <w:lang w:eastAsia="zh-CN"/>
        </w:rPr>
        <w:t>、</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sz w:val="24"/>
          <w:szCs w:val="24"/>
        </w:rPr>
      </w:pPr>
      <w:r>
        <w:rPr>
          <w:rFonts w:hint="eastAsia" w:ascii="宋体" w:hAnsi="宋体" w:cs="宋体"/>
          <w:bCs/>
          <w:kern w:val="0"/>
          <w:sz w:val="24"/>
          <w:szCs w:val="24"/>
        </w:rPr>
        <w:t>6）</w:t>
      </w:r>
      <w:r>
        <w:rPr>
          <w:rFonts w:hint="eastAsia" w:ascii="宋体" w:hAnsi="宋体" w:cs="宋体"/>
          <w:bCs/>
          <w:kern w:val="0"/>
          <w:sz w:val="24"/>
          <w:szCs w:val="24"/>
          <w:lang w:eastAsia="zh-CN"/>
        </w:rPr>
        <w:t>、</w:t>
      </w:r>
      <w:r>
        <w:rPr>
          <w:rFonts w:ascii="宋体" w:hAnsi="宋体" w:cs="宋体"/>
          <w:bCs/>
          <w:kern w:val="0"/>
          <w:sz w:val="24"/>
          <w:szCs w:val="24"/>
        </w:rPr>
        <w:t xml:space="preserve">针对工程特点制定具有指导性的安全监理细则，并在施工中严格执行。 </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sz w:val="24"/>
          <w:szCs w:val="24"/>
        </w:rPr>
      </w:pPr>
      <w:r>
        <w:rPr>
          <w:rFonts w:hint="eastAsia" w:ascii="宋体" w:hAnsi="宋体" w:cs="宋体"/>
          <w:bCs/>
          <w:kern w:val="0"/>
          <w:sz w:val="24"/>
          <w:szCs w:val="24"/>
        </w:rPr>
        <w:t>7）</w:t>
      </w:r>
      <w:r>
        <w:rPr>
          <w:rFonts w:hint="eastAsia" w:ascii="宋体" w:hAnsi="宋体" w:cs="宋体"/>
          <w:bCs/>
          <w:kern w:val="0"/>
          <w:sz w:val="24"/>
          <w:szCs w:val="24"/>
          <w:lang w:eastAsia="zh-CN"/>
        </w:rPr>
        <w:t>、</w:t>
      </w:r>
      <w:r>
        <w:rPr>
          <w:rFonts w:ascii="宋体" w:hAnsi="宋体" w:cs="宋体"/>
          <w:bCs/>
          <w:kern w:val="0"/>
          <w:sz w:val="24"/>
          <w:szCs w:val="24"/>
        </w:rPr>
        <w:t xml:space="preserve">督促施工单位落实安全生产的组织保证体系，建立健全安全生产责任制。 </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8）</w:t>
      </w:r>
      <w:r>
        <w:rPr>
          <w:rFonts w:hint="eastAsia" w:ascii="宋体" w:hAnsi="宋体" w:cs="宋体"/>
          <w:bCs/>
          <w:kern w:val="0"/>
          <w:sz w:val="24"/>
          <w:szCs w:val="24"/>
          <w:lang w:eastAsia="zh-CN"/>
        </w:rPr>
        <w:t>、</w:t>
      </w:r>
      <w:r>
        <w:rPr>
          <w:rFonts w:ascii="宋体" w:hAnsi="宋体" w:cs="宋体"/>
          <w:bCs/>
          <w:kern w:val="0"/>
          <w:sz w:val="24"/>
          <w:szCs w:val="24"/>
        </w:rPr>
        <w:t>督促施工单位对工人进行安全生产教育及分部分项工程的安全技术交底</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9）</w:t>
      </w:r>
      <w:r>
        <w:rPr>
          <w:rFonts w:hint="eastAsia" w:ascii="宋体" w:hAnsi="宋体" w:cs="宋体"/>
          <w:bCs/>
          <w:kern w:val="0"/>
          <w:sz w:val="24"/>
          <w:szCs w:val="24"/>
          <w:lang w:eastAsia="zh-CN"/>
        </w:rPr>
        <w:t>、</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10）</w:t>
      </w:r>
      <w:r>
        <w:rPr>
          <w:rFonts w:hint="eastAsia" w:ascii="宋体" w:hAnsi="宋体" w:cs="宋体"/>
          <w:bCs/>
          <w:kern w:val="0"/>
          <w:sz w:val="24"/>
          <w:szCs w:val="24"/>
          <w:lang w:eastAsia="zh-CN"/>
        </w:rPr>
        <w:t>、</w:t>
      </w:r>
      <w:r>
        <w:rPr>
          <w:rFonts w:ascii="宋体" w:hAnsi="宋体" w:cs="宋体"/>
          <w:bCs/>
          <w:kern w:val="0"/>
          <w:sz w:val="24"/>
          <w:szCs w:val="24"/>
        </w:rPr>
        <w:t xml:space="preserve">发现违章冒险作业的要责令其停止施工，发现安全隐患的要责令停工整改。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outlineLvl w:val="1"/>
        <w:rPr>
          <w:rFonts w:ascii="宋体" w:hAnsi="宋体"/>
          <w:sz w:val="24"/>
          <w:szCs w:val="24"/>
        </w:rPr>
      </w:pPr>
      <w:bookmarkStart w:id="39" w:name="_Toc30818"/>
      <w:bookmarkStart w:id="40" w:name="_Toc30043"/>
      <w:bookmarkStart w:id="41" w:name="_Toc18578"/>
      <w:r>
        <w:rPr>
          <w:rFonts w:hint="eastAsia" w:ascii="宋体" w:hAnsi="宋体"/>
          <w:sz w:val="24"/>
          <w:szCs w:val="24"/>
        </w:rPr>
        <w:t>11）</w:t>
      </w:r>
      <w:r>
        <w:rPr>
          <w:rFonts w:hint="eastAsia" w:ascii="宋体" w:hAnsi="宋体"/>
          <w:sz w:val="24"/>
          <w:szCs w:val="24"/>
          <w:lang w:eastAsia="zh-CN"/>
        </w:rPr>
        <w:t>、</w:t>
      </w:r>
      <w:r>
        <w:rPr>
          <w:rFonts w:hint="eastAsia" w:ascii="宋体" w:hAnsi="宋体"/>
          <w:sz w:val="24"/>
          <w:szCs w:val="24"/>
        </w:rPr>
        <w:t>定期组织安全大检查，结合现场实际组织进行专项检查，做到整改到位、措施到位，并与考核挂钩。同时对施工单位实施问题首问负责制，即对于业主或监理通知的问题谁接到的就由谁负责按期答复，确保问题的整改闭环，对于超期的实施责任考核。</w:t>
      </w:r>
      <w:bookmarkEnd w:id="39"/>
      <w:bookmarkEnd w:id="40"/>
      <w:bookmarkEnd w:id="41"/>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sz w:val="24"/>
          <w:szCs w:val="24"/>
        </w:rPr>
      </w:pPr>
      <w:r>
        <w:rPr>
          <w:rStyle w:val="18"/>
          <w:rFonts w:hint="eastAsia" w:ascii="宋体" w:hAnsi="宋体"/>
          <w:sz w:val="24"/>
          <w:szCs w:val="24"/>
        </w:rPr>
        <w:t>12）</w:t>
      </w:r>
      <w:r>
        <w:rPr>
          <w:rStyle w:val="18"/>
          <w:rFonts w:hint="eastAsia" w:ascii="宋体" w:hAnsi="宋体"/>
          <w:sz w:val="24"/>
          <w:szCs w:val="24"/>
          <w:lang w:eastAsia="zh-CN"/>
        </w:rPr>
        <w:t>、</w:t>
      </w:r>
      <w:r>
        <w:rPr>
          <w:rStyle w:val="18"/>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sz w:val="24"/>
          <w:szCs w:val="24"/>
        </w:rPr>
      </w:pPr>
      <w:r>
        <w:rPr>
          <w:rFonts w:hint="eastAsia" w:ascii="宋体" w:hAnsi="宋体"/>
          <w:sz w:val="24"/>
          <w:szCs w:val="24"/>
        </w:rPr>
        <w:t>13）</w:t>
      </w:r>
      <w:r>
        <w:rPr>
          <w:rFonts w:hint="eastAsia" w:ascii="宋体" w:hAnsi="宋体"/>
          <w:sz w:val="24"/>
          <w:szCs w:val="24"/>
          <w:lang w:eastAsia="zh-CN"/>
        </w:rPr>
        <w:t>、</w:t>
      </w:r>
      <w:r>
        <w:rPr>
          <w:rFonts w:hint="eastAsia" w:ascii="宋体" w:hAnsi="宋体"/>
          <w:sz w:val="24"/>
          <w:szCs w:val="24"/>
        </w:rPr>
        <w:t>负责安全监理对日常检查、周检查及整改监督情况每月进行汇总，报监理部，作为月安健环状态评价依据。</w:t>
      </w:r>
    </w:p>
    <w:p>
      <w:pPr>
        <w:pStyle w:val="5"/>
        <w:keepNext w:val="0"/>
        <w:keepLines w:val="0"/>
        <w:pageBreakBefore w:val="0"/>
        <w:kinsoku/>
        <w:wordWrap/>
        <w:overflowPunct/>
        <w:topLinePunct w:val="0"/>
        <w:autoSpaceDE/>
        <w:autoSpaceDN/>
        <w:bidi w:val="0"/>
        <w:spacing w:beforeAutospacing="0" w:afterAutospacing="0" w:line="360" w:lineRule="auto"/>
        <w:ind w:left="0" w:leftChars="0" w:right="0" w:rightChars="0" w:firstLine="472" w:firstLineChars="196"/>
        <w:textAlignment w:val="auto"/>
        <w:rPr>
          <w:rFonts w:ascii="宋体" w:hAnsi="宋体"/>
          <w:b/>
          <w:szCs w:val="24"/>
        </w:rPr>
      </w:pPr>
      <w:r>
        <w:rPr>
          <w:rFonts w:hint="eastAsia" w:ascii="宋体" w:hAnsi="宋体"/>
          <w:b/>
          <w:szCs w:val="24"/>
        </w:rPr>
        <w:t>C、专业安全工程师安全岗位职责：</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ascii="宋体" w:hAnsi="宋体"/>
          <w:sz w:val="24"/>
          <w:szCs w:val="24"/>
        </w:rPr>
      </w:pPr>
      <w:r>
        <w:rPr>
          <w:rFonts w:hint="eastAsia" w:ascii="宋体" w:hAnsi="宋体"/>
          <w:sz w:val="24"/>
          <w:szCs w:val="24"/>
        </w:rPr>
        <w:t>本岗位应符合专业监理师非专业方面的岗位职责，同时执行以下各项岗位职责。</w:t>
      </w:r>
    </w:p>
    <w:p>
      <w:pPr>
        <w:keepNext w:val="0"/>
        <w:keepLines w:val="0"/>
        <w:pageBreakBefore w:val="0"/>
        <w:tabs>
          <w:tab w:val="left" w:pos="900"/>
          <w:tab w:val="left" w:pos="1175"/>
        </w:tabs>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keepNext w:val="0"/>
        <w:keepLines w:val="0"/>
        <w:pageBreakBefore w:val="0"/>
        <w:tabs>
          <w:tab w:val="left" w:pos="900"/>
          <w:tab w:val="left" w:pos="1175"/>
        </w:tabs>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（2）负责编写项目“安健环”监理实施细则，明确控制要点；协助各专业监理组审查承包商施工方案中的职业健康安全和环境措施；</w:t>
      </w:r>
    </w:p>
    <w:p>
      <w:pPr>
        <w:keepNext w:val="0"/>
        <w:keepLines w:val="0"/>
        <w:pageBreakBefore w:val="0"/>
        <w:tabs>
          <w:tab w:val="left" w:pos="900"/>
          <w:tab w:val="left" w:pos="1175"/>
        </w:tabs>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（3）编制有关工程建设安健环的管理制度、奖惩制度、应急预案等，并严格实施；</w:t>
      </w:r>
    </w:p>
    <w:p>
      <w:pPr>
        <w:keepNext w:val="0"/>
        <w:keepLines w:val="0"/>
        <w:pageBreakBefore w:val="0"/>
        <w:tabs>
          <w:tab w:val="left" w:pos="900"/>
          <w:tab w:val="left" w:pos="1175"/>
        </w:tabs>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（5）每天必须巡视施工现场，对重大的或危险的作业进行旁站管理，参加或主持工伤事故、质量安全事故处理。参加人身重伤以上事故和火灾事故以及重大厂内交通事故的调查处理工作；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（7）主持召开专题会，协调有关问题，向业主报告工作情况；</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（8）协助总监贯彻执行监理公司管理体系文件，做好监理部安健环管理台帐，包括安健环管理及教育培训台帐、安健环事故台帐、特殊工种人员（涉及安全管理的人员）台帐等；</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（9）编制工程安健环工作总结，包括月、季、年（半年）的定期工作总结、安健环工作总结等。</w:t>
      </w:r>
    </w:p>
    <w:p>
      <w:pPr>
        <w:tabs>
          <w:tab w:val="left" w:pos="900"/>
          <w:tab w:val="left" w:pos="1175"/>
        </w:tabs>
        <w:adjustRightInd w:val="0"/>
        <w:snapToGrid w:val="0"/>
        <w:spacing w:line="360" w:lineRule="auto"/>
        <w:rPr>
          <w:rFonts w:ascii="宋体" w:hAnsi="宋体"/>
          <w:sz w:val="24"/>
          <w:szCs w:val="24"/>
        </w:rPr>
      </w:pPr>
    </w:p>
    <w:sectPr>
      <w:footerReference r:id="rId7" w:type="first"/>
      <w:footerReference r:id="rId5" w:type="default"/>
      <w:footerReference r:id="rId6" w:type="even"/>
      <w:pgSz w:w="11906" w:h="16838"/>
      <w:pgMar w:top="1417" w:right="850" w:bottom="1134" w:left="198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wordWrap w:val="0"/>
      <w:ind w:right="99"/>
      <w:jc w:val="right"/>
      <w:rPr>
        <w:rFonts w:ascii="仿宋" w:hAnsi="仿宋" w:eastAsia="仿宋"/>
        <w:b/>
      </w:rPr>
    </w:pPr>
    <w:r>
      <w:drawing>
        <wp:anchor distT="0" distB="0" distL="114300" distR="114300" simplePos="0" relativeHeight="251664384" behindDoc="0" locked="0" layoutInCell="1" allowOverlap="1">
          <wp:simplePos x="0" y="0"/>
          <wp:positionH relativeFrom="column">
            <wp:posOffset>3175</wp:posOffset>
          </wp:positionH>
          <wp:positionV relativeFrom="paragraph">
            <wp:posOffset>-260985</wp:posOffset>
          </wp:positionV>
          <wp:extent cx="469265" cy="523875"/>
          <wp:effectExtent l="0" t="0" r="3175"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9265" cy="523875"/>
                  </a:xfrm>
                  <a:prstGeom prst="rect">
                    <a:avLst/>
                  </a:prstGeom>
                  <a:noFill/>
                  <a:ln>
                    <a:noFill/>
                  </a:ln>
                </pic:spPr>
              </pic:pic>
            </a:graphicData>
          </a:graphic>
        </wp:anchor>
      </w:drawing>
    </w:r>
    <w:r>
      <w:rPr>
        <w:rFonts w:hint="eastAsia" w:ascii="仿宋" w:hAnsi="仿宋" w:eastAsia="仿宋"/>
        <w:b/>
      </w:rPr>
      <w:t xml:space="preserve">国 </w:t>
    </w:r>
    <w:r>
      <w:rPr>
        <w:rFonts w:ascii="仿宋" w:hAnsi="仿宋" w:eastAsia="仿宋"/>
        <w:b/>
      </w:rPr>
      <w:t xml:space="preserve"> </w:t>
    </w:r>
    <w:r>
      <w:rPr>
        <w:rFonts w:hint="eastAsia" w:ascii="仿宋" w:hAnsi="仿宋" w:eastAsia="仿宋"/>
        <w:b/>
      </w:rPr>
      <w:t xml:space="preserve">内 </w:t>
    </w:r>
    <w:r>
      <w:rPr>
        <w:rFonts w:ascii="仿宋" w:hAnsi="仿宋" w:eastAsia="仿宋"/>
        <w:b/>
      </w:rPr>
      <w:t xml:space="preserve"> </w:t>
    </w:r>
    <w:r>
      <w:rPr>
        <w:rFonts w:hint="eastAsia" w:ascii="仿宋" w:hAnsi="仿宋" w:eastAsia="仿宋"/>
        <w:b/>
      </w:rPr>
      <w:t xml:space="preserve">最  大 </w:t>
    </w:r>
    <w:r>
      <w:rPr>
        <w:rFonts w:ascii="仿宋" w:hAnsi="仿宋" w:eastAsia="仿宋"/>
        <w:b/>
      </w:rPr>
      <w:t xml:space="preserve"> </w:t>
    </w:r>
    <w:r>
      <w:rPr>
        <w:rFonts w:hint="eastAsia" w:ascii="仿宋" w:hAnsi="仿宋" w:eastAsia="仿宋"/>
        <w:b/>
      </w:rPr>
      <w:t xml:space="preserve">的 </w:t>
    </w:r>
    <w:r>
      <w:rPr>
        <w:rFonts w:ascii="仿宋" w:hAnsi="仿宋" w:eastAsia="仿宋"/>
        <w:b/>
      </w:rPr>
      <w:t xml:space="preserve"> </w:t>
    </w:r>
    <w:r>
      <w:rPr>
        <w:rFonts w:hint="eastAsia" w:ascii="仿宋" w:hAnsi="仿宋" w:eastAsia="仿宋"/>
        <w:b/>
      </w:rPr>
      <w:t xml:space="preserve">光 </w:t>
    </w:r>
    <w:r>
      <w:rPr>
        <w:rFonts w:ascii="仿宋" w:hAnsi="仿宋" w:eastAsia="仿宋"/>
        <w:b/>
      </w:rPr>
      <w:t xml:space="preserve"> </w:t>
    </w:r>
    <w:r>
      <w:rPr>
        <w:rFonts w:hint="eastAsia" w:ascii="仿宋" w:hAnsi="仿宋" w:eastAsia="仿宋"/>
        <w:b/>
      </w:rPr>
      <w:t xml:space="preserve">伏 </w:t>
    </w:r>
    <w:r>
      <w:rPr>
        <w:rFonts w:ascii="仿宋" w:hAnsi="仿宋" w:eastAsia="仿宋"/>
        <w:b/>
      </w:rPr>
      <w:t xml:space="preserve"> </w:t>
    </w:r>
    <w:r>
      <w:rPr>
        <w:rFonts w:hint="eastAsia" w:ascii="仿宋" w:hAnsi="仿宋" w:eastAsia="仿宋"/>
        <w:b/>
      </w:rPr>
      <w:t xml:space="preserve">电  站 </w:t>
    </w:r>
    <w:r>
      <w:rPr>
        <w:rFonts w:ascii="仿宋" w:hAnsi="仿宋" w:eastAsia="仿宋"/>
        <w:b/>
      </w:rPr>
      <w:t xml:space="preserve"> </w:t>
    </w:r>
    <w:r>
      <w:rPr>
        <w:rFonts w:hint="eastAsia" w:ascii="仿宋" w:hAnsi="仿宋" w:eastAsia="仿宋"/>
        <w:b/>
      </w:rPr>
      <w:t>监  理 单 位</w:t>
    </w:r>
  </w:p>
  <w:p>
    <w:pPr>
      <w:pStyle w:val="7"/>
      <w:pBdr>
        <w:bottom w:val="single" w:color="auto" w:sz="6" w:space="0"/>
      </w:pBdr>
      <w:ind w:right="99"/>
      <w:jc w:val="right"/>
      <w:rPr>
        <w:rFonts w:ascii="仿宋" w:hAnsi="仿宋" w:eastAsia="仿宋"/>
      </w:rPr>
    </w:pPr>
    <w:r>
      <w:rPr>
        <w:rFonts w:hint="eastAsia" w:ascii="仿宋" w:hAnsi="仿宋" w:eastAsia="仿宋"/>
        <w:b/>
      </w:rPr>
      <w:t>国家行业标准《光伏发电工程建设监理规范》编写单位</w:t>
    </w:r>
  </w:p>
  <w:p>
    <w:pPr>
      <w:pStyle w:val="22"/>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36B68"/>
    <w:multiLevelType w:val="singleLevel"/>
    <w:tmpl w:val="AA736B68"/>
    <w:lvl w:ilvl="0" w:tentative="0">
      <w:start w:val="2"/>
      <w:numFmt w:val="chineseCounting"/>
      <w:suff w:val="nothing"/>
      <w:lvlText w:val="%1、"/>
      <w:lvlJc w:val="left"/>
      <w:rPr>
        <w:rFonts w:hint="eastAsia"/>
      </w:rPr>
    </w:lvl>
  </w:abstractNum>
  <w:abstractNum w:abstractNumId="1">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5525D7F8"/>
    <w:multiLevelType w:val="singleLevel"/>
    <w:tmpl w:val="5525D7F8"/>
    <w:lvl w:ilvl="0" w:tentative="0">
      <w:start w:val="1"/>
      <w:numFmt w:val="bullet"/>
      <w:lvlText w:val=""/>
      <w:lvlJc w:val="left"/>
      <w:pPr>
        <w:tabs>
          <w:tab w:val="left" w:pos="420"/>
        </w:tabs>
        <w:ind w:left="420" w:hanging="420"/>
      </w:pPr>
      <w:rPr>
        <w:rFonts w:hint="default" w:ascii="Wingdings" w:hAnsi="Wingdings"/>
      </w:rPr>
    </w:lvl>
  </w:abstractNum>
  <w:abstractNum w:abstractNumId="4">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0"/>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2741BF"/>
    <w:rsid w:val="002C350B"/>
    <w:rsid w:val="002C7719"/>
    <w:rsid w:val="003A7DDD"/>
    <w:rsid w:val="003D6C6B"/>
    <w:rsid w:val="00464D24"/>
    <w:rsid w:val="0048196B"/>
    <w:rsid w:val="005B27CA"/>
    <w:rsid w:val="005F1F2D"/>
    <w:rsid w:val="00633A4A"/>
    <w:rsid w:val="00682A9C"/>
    <w:rsid w:val="00707279"/>
    <w:rsid w:val="00891F17"/>
    <w:rsid w:val="00901578"/>
    <w:rsid w:val="00A12353"/>
    <w:rsid w:val="00AE5196"/>
    <w:rsid w:val="00C05F23"/>
    <w:rsid w:val="00CA36FA"/>
    <w:rsid w:val="00CC4EB0"/>
    <w:rsid w:val="00DC7621"/>
    <w:rsid w:val="00E459BB"/>
    <w:rsid w:val="00F64398"/>
    <w:rsid w:val="00FF0943"/>
    <w:rsid w:val="00FF7D18"/>
    <w:rsid w:val="05BF550A"/>
    <w:rsid w:val="08E94A37"/>
    <w:rsid w:val="09A02864"/>
    <w:rsid w:val="1D942A46"/>
    <w:rsid w:val="21A72724"/>
    <w:rsid w:val="2F492105"/>
    <w:rsid w:val="32955D0C"/>
    <w:rsid w:val="440145FE"/>
    <w:rsid w:val="4A556267"/>
    <w:rsid w:val="4A792A08"/>
    <w:rsid w:val="4D983C41"/>
    <w:rsid w:val="53522431"/>
    <w:rsid w:val="597A6131"/>
    <w:rsid w:val="5AFD7EDF"/>
    <w:rsid w:val="5C5617AC"/>
    <w:rsid w:val="5DF02229"/>
    <w:rsid w:val="654B0E6D"/>
    <w:rsid w:val="6ADE7DF9"/>
    <w:rsid w:val="6FF0495D"/>
    <w:rsid w:val="77E5310C"/>
    <w:rsid w:val="7A705F14"/>
    <w:rsid w:val="7EBE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link w:val="17"/>
    <w:qFormat/>
    <w:uiPriority w:val="0"/>
    <w:pPr>
      <w:widowControl/>
      <w:spacing w:line="360" w:lineRule="auto"/>
    </w:pPr>
    <w:rPr>
      <w:sz w:val="28"/>
    </w:rPr>
  </w:style>
  <w:style w:type="paragraph" w:styleId="5">
    <w:name w:val="Date"/>
    <w:basedOn w:val="1"/>
    <w:next w:val="1"/>
    <w:link w:val="21"/>
    <w:qFormat/>
    <w:uiPriority w:val="0"/>
    <w:rPr>
      <w:rFonts w:ascii="Times New Roman" w:hAnsi="Times New Roman" w:eastAsia="宋体" w:cs="Times New Roman"/>
      <w:sz w:val="24"/>
      <w:szCs w:val="20"/>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正文文本 字符1"/>
    <w:basedOn w:val="13"/>
    <w:link w:val="4"/>
    <w:qFormat/>
    <w:uiPriority w:val="0"/>
    <w:rPr>
      <w:sz w:val="28"/>
    </w:rPr>
  </w:style>
  <w:style w:type="character" w:customStyle="1" w:styleId="18">
    <w:name w:val="tpc_content1"/>
    <w:basedOn w:val="13"/>
    <w:qFormat/>
    <w:uiPriority w:val="0"/>
    <w:rPr>
      <w:sz w:val="20"/>
      <w:szCs w:val="20"/>
    </w:rPr>
  </w:style>
  <w:style w:type="character" w:customStyle="1" w:styleId="19">
    <w:name w:val="正文文本 字符"/>
    <w:basedOn w:val="13"/>
    <w:semiHidden/>
    <w:qFormat/>
    <w:uiPriority w:val="99"/>
  </w:style>
  <w:style w:type="paragraph" w:customStyle="1" w:styleId="20">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1">
    <w:name w:val="日期 字符"/>
    <w:basedOn w:val="13"/>
    <w:link w:val="5"/>
    <w:qFormat/>
    <w:uiPriority w:val="0"/>
    <w:rPr>
      <w:rFonts w:ascii="Times New Roman" w:hAnsi="Times New Roman" w:eastAsia="宋体" w:cs="Times New Roman"/>
      <w:sz w:val="24"/>
      <w:szCs w:val="20"/>
    </w:rPr>
  </w:style>
  <w:style w:type="paragraph" w:customStyle="1" w:styleId="22">
    <w:name w:val="样式4"/>
    <w:basedOn w:val="1"/>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2230</Words>
  <Characters>12715</Characters>
  <Lines>105</Lines>
  <Paragraphs>29</Paragraphs>
  <TotalTime>101</TotalTime>
  <ScaleCrop>false</ScaleCrop>
  <LinksUpToDate>false</LinksUpToDate>
  <CharactersWithSpaces>14916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古月一鸣</cp:lastModifiedBy>
  <cp:lastPrinted>2017-03-27T07:12:00Z</cp:lastPrinted>
  <dcterms:modified xsi:type="dcterms:W3CDTF">2019-03-24T05:22:59Z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