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2685"/>
        </w:tabs>
        <w:spacing w:before="156" w:after="120"/>
        <w:jc w:val="center"/>
        <w:outlineLvl w:val="0"/>
        <w:rPr>
          <w:rFonts w:hint="eastAsia" w:ascii="宋体" w:hAnsi="宋体" w:eastAsia="宋体" w:cs="Times New Roman"/>
          <w:b/>
          <w:bCs/>
          <w:sz w:val="36"/>
          <w:szCs w:val="36"/>
          <w:lang w:val="en-US" w:eastAsia="zh-CN"/>
        </w:rPr>
      </w:pPr>
      <w:bookmarkStart w:id="0" w:name="_Toc31228"/>
      <w:bookmarkStart w:id="1" w:name="_Toc388020205"/>
      <w:r>
        <w:rPr>
          <w:rFonts w:hint="eastAsia" w:ascii="宋体" w:hAnsi="宋体" w:eastAsia="宋体" w:cs="Times New Roman"/>
          <w:b/>
          <w:bCs/>
          <w:sz w:val="36"/>
          <w:szCs w:val="36"/>
          <w:lang w:val="en-US" w:eastAsia="zh-CN"/>
        </w:rPr>
        <w:t>高邮市鑫辰新能源有限公司汤庄镇</w:t>
      </w:r>
      <w:bookmarkEnd w:id="0"/>
    </w:p>
    <w:p>
      <w:pPr>
        <w:pStyle w:val="4"/>
        <w:tabs>
          <w:tab w:val="left" w:pos="2685"/>
        </w:tabs>
        <w:spacing w:before="156" w:after="120"/>
        <w:jc w:val="center"/>
        <w:outlineLvl w:val="0"/>
        <w:rPr>
          <w:rFonts w:hint="eastAsia" w:ascii="宋体" w:hAnsi="宋体" w:eastAsia="宋体" w:cs="Times New Roman"/>
          <w:b/>
          <w:bCs/>
          <w:color w:val="000000"/>
          <w:kern w:val="0"/>
          <w:sz w:val="36"/>
          <w:szCs w:val="36"/>
          <w:lang w:val="en-US" w:eastAsia="zh-CN" w:bidi="ar"/>
        </w:rPr>
      </w:pPr>
      <w:bookmarkStart w:id="2" w:name="_Toc9185"/>
      <w:r>
        <w:rPr>
          <w:rFonts w:hint="eastAsia" w:ascii="宋体" w:hAnsi="宋体" w:eastAsia="宋体" w:cs="Times New Roman"/>
          <w:b/>
          <w:bCs/>
          <w:color w:val="FF0000"/>
          <w:sz w:val="36"/>
          <w:szCs w:val="36"/>
          <w:lang w:val="en-US" w:eastAsia="zh-CN"/>
        </w:rPr>
        <w:t>78MW</w:t>
      </w:r>
      <w:r>
        <w:rPr>
          <w:rFonts w:hint="eastAsia" w:ascii="宋体" w:hAnsi="宋体" w:eastAsia="宋体" w:cs="Times New Roman"/>
          <w:b/>
          <w:bCs/>
          <w:sz w:val="36"/>
          <w:szCs w:val="36"/>
          <w:lang w:val="en-US" w:eastAsia="zh-CN"/>
        </w:rPr>
        <w:t>渔光互补光伏发电项目</w:t>
      </w:r>
      <w:bookmarkEnd w:id="2"/>
    </w:p>
    <w:p>
      <w:pPr>
        <w:pStyle w:val="4"/>
        <w:tabs>
          <w:tab w:val="left" w:pos="2685"/>
        </w:tabs>
        <w:spacing w:before="156" w:after="120" w:line="240" w:lineRule="auto"/>
        <w:ind w:firstLine="480" w:firstLineChars="200"/>
        <w:outlineLvl w:val="9"/>
        <w:rPr>
          <w:rFonts w:hint="eastAsia" w:ascii="宋体" w:hAnsi="宋体" w:eastAsia="宋体" w:cs="宋体"/>
          <w:b w:val="0"/>
          <w:bCs w:val="0"/>
          <w:color w:val="000000"/>
          <w:kern w:val="0"/>
          <w:sz w:val="24"/>
          <w:szCs w:val="24"/>
          <w:lang w:val="en-US" w:eastAsia="zh-CN" w:bidi="ar"/>
        </w:rPr>
      </w:pPr>
    </w:p>
    <w:p>
      <w:pPr>
        <w:bidi w:val="0"/>
        <w:rPr>
          <w:rFonts w:hint="default"/>
          <w:sz w:val="36"/>
          <w:szCs w:val="36"/>
          <w:lang w:val="en-US" w:eastAsia="zh-CN"/>
        </w:rPr>
      </w:pPr>
    </w:p>
    <w:p>
      <w:pPr>
        <w:pStyle w:val="10"/>
        <w:rPr>
          <w:rFonts w:hint="default"/>
          <w:lang w:val="en-US" w:eastAsia="zh-CN"/>
        </w:rPr>
      </w:pPr>
    </w:p>
    <w:bookmarkEnd w:id="1"/>
    <w:p>
      <w:pPr>
        <w:tabs>
          <w:tab w:val="left" w:pos="2893"/>
        </w:tabs>
        <w:topLinePunct/>
        <w:snapToGrid w:val="0"/>
        <w:spacing w:before="60" w:after="60" w:line="240" w:lineRule="auto"/>
        <w:jc w:val="center"/>
        <w:rPr>
          <w:rFonts w:hint="default" w:eastAsia="宋体"/>
          <w:sz w:val="44"/>
          <w:szCs w:val="44"/>
          <w:lang w:val="en-US" w:eastAsia="zh-CN"/>
        </w:rPr>
      </w:pPr>
      <w:r>
        <w:rPr>
          <w:rFonts w:hint="eastAsia" w:eastAsia="宋体"/>
          <w:sz w:val="44"/>
          <w:szCs w:val="44"/>
          <w:lang w:val="en-US" w:eastAsia="zh-CN"/>
        </w:rPr>
        <w:t>监理细则（安全）</w:t>
      </w:r>
    </w:p>
    <w:p>
      <w:pPr>
        <w:topLinePunct/>
        <w:snapToGrid w:val="0"/>
        <w:spacing w:before="60" w:after="60" w:line="240" w:lineRule="auto"/>
        <w:jc w:val="left"/>
        <w:rPr>
          <w:rFonts w:hint="eastAsia" w:eastAsia="宋体"/>
          <w:sz w:val="15"/>
          <w:szCs w:val="15"/>
          <w:lang w:val="en-US" w:eastAsia="zh-CN"/>
        </w:rPr>
      </w:pPr>
    </w:p>
    <w:p>
      <w:pPr>
        <w:topLinePunct/>
        <w:snapToGrid w:val="0"/>
        <w:spacing w:before="60" w:after="60" w:line="240" w:lineRule="auto"/>
        <w:jc w:val="left"/>
        <w:rPr>
          <w:rFonts w:hint="default" w:eastAsia="宋体"/>
          <w:sz w:val="15"/>
          <w:szCs w:val="15"/>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pStyle w:val="6"/>
        <w:rPr>
          <w:rFonts w:hint="default"/>
          <w:lang w:val="en-US" w:eastAsia="zh-CN"/>
        </w:rPr>
      </w:pPr>
    </w:p>
    <w:p>
      <w:pPr>
        <w:topLinePunct/>
        <w:snapToGrid w:val="0"/>
        <w:spacing w:before="60" w:after="60" w:line="240" w:lineRule="auto"/>
        <w:jc w:val="left"/>
        <w:rPr>
          <w:rFonts w:hint="eastAsia"/>
          <w:sz w:val="15"/>
          <w:szCs w:val="15"/>
        </w:rPr>
      </w:pPr>
    </w:p>
    <w:p>
      <w:pPr>
        <w:topLinePunct/>
        <w:snapToGrid w:val="0"/>
        <w:spacing w:before="60" w:after="60"/>
        <w:jc w:val="left"/>
        <w:rPr>
          <w:rFonts w:hint="eastAsia"/>
          <w:sz w:val="24"/>
          <w:szCs w:val="24"/>
        </w:rPr>
      </w:pPr>
    </w:p>
    <w:p>
      <w:pPr>
        <w:topLinePunct/>
        <w:snapToGrid w:val="0"/>
        <w:spacing w:before="60" w:after="60"/>
        <w:ind w:firstLine="1920" w:firstLineChars="800"/>
        <w:jc w:val="left"/>
        <w:rPr>
          <w:rFonts w:hint="eastAsia"/>
          <w:szCs w:val="21"/>
        </w:rPr>
      </w:pPr>
      <w:r>
        <w:rPr>
          <w:rFonts w:hint="eastAsia"/>
          <w:sz w:val="24"/>
          <w:szCs w:val="24"/>
        </w:rPr>
        <w:t>批准</w:t>
      </w:r>
      <w:r>
        <w:rPr>
          <w:rFonts w:hint="eastAsia"/>
          <w:szCs w:val="21"/>
          <w:u w:val="single"/>
        </w:rPr>
        <w:t xml:space="preserve">                     </w:t>
      </w:r>
      <w:r>
        <w:rPr>
          <w:rFonts w:hint="eastAsia"/>
          <w:szCs w:val="21"/>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pPr>
        <w:topLinePunct/>
        <w:snapToGrid w:val="0"/>
        <w:spacing w:before="60" w:after="60"/>
        <w:jc w:val="center"/>
        <w:rPr>
          <w:rFonts w:hint="eastAsia"/>
          <w:szCs w:val="21"/>
        </w:rPr>
      </w:pPr>
      <w:r>
        <w:rPr>
          <w:rFonts w:hint="eastAsia"/>
          <w:szCs w:val="21"/>
        </w:rPr>
        <w:t xml:space="preserve">  </w:t>
      </w:r>
    </w:p>
    <w:p>
      <w:pPr>
        <w:topLinePunct/>
        <w:snapToGrid w:val="0"/>
        <w:spacing w:before="60" w:after="60"/>
        <w:jc w:val="center"/>
        <w:rPr>
          <w:rFonts w:hint="eastAsia"/>
          <w:sz w:val="24"/>
          <w:szCs w:val="24"/>
        </w:rPr>
      </w:pPr>
      <w:r>
        <w:rPr>
          <w:rFonts w:hint="eastAsia"/>
          <w:szCs w:val="21"/>
          <w:lang w:val="en-US" w:eastAsia="zh-CN"/>
        </w:rPr>
        <w:t xml:space="preserve">        </w:t>
      </w:r>
      <w:r>
        <w:rPr>
          <w:rFonts w:hint="eastAsia"/>
          <w:sz w:val="24"/>
          <w:szCs w:val="24"/>
        </w:rPr>
        <w:t>审核</w:t>
      </w:r>
      <w:r>
        <w:rPr>
          <w:rFonts w:hint="eastAsia"/>
          <w:szCs w:val="21"/>
          <w:u w:val="single"/>
        </w:rPr>
        <w:t xml:space="preserve">                     </w:t>
      </w:r>
      <w:r>
        <w:rPr>
          <w:rFonts w:hint="eastAsia"/>
          <w:szCs w:val="21"/>
          <w:lang w:val="en-US" w:eastAsia="zh-CN"/>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pPr>
        <w:pStyle w:val="16"/>
        <w:rPr>
          <w:rFonts w:hint="default"/>
          <w:lang w:val="en-US"/>
        </w:rPr>
      </w:pPr>
    </w:p>
    <w:p>
      <w:pPr>
        <w:topLinePunct/>
        <w:snapToGrid w:val="0"/>
        <w:spacing w:before="60" w:after="60"/>
        <w:ind w:firstLine="1920" w:firstLineChars="800"/>
        <w:jc w:val="left"/>
        <w:rPr>
          <w:szCs w:val="21"/>
        </w:rPr>
      </w:pPr>
      <w:r>
        <w:rPr>
          <w:rFonts w:hint="eastAsia"/>
          <w:sz w:val="24"/>
          <w:szCs w:val="24"/>
        </w:rPr>
        <w:t>编制</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  </w:t>
      </w:r>
      <w:r>
        <w:rPr>
          <w:rFonts w:hint="eastAsia"/>
          <w:szCs w:val="21"/>
          <w:lang w:val="en-US" w:eastAsia="zh-CN"/>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pPr>
        <w:topLinePunct/>
        <w:snapToGrid w:val="0"/>
        <w:spacing w:before="60" w:after="60"/>
        <w:jc w:val="center"/>
        <w:rPr>
          <w:rFonts w:hint="eastAsia"/>
          <w:szCs w:val="21"/>
        </w:rPr>
      </w:pPr>
      <w:r>
        <w:rPr>
          <w:rFonts w:hint="eastAsia"/>
          <w:szCs w:val="21"/>
          <w:u w:val="single"/>
        </w:rPr>
        <w:drawing>
          <wp:anchor distT="0" distB="0" distL="114300" distR="114300" simplePos="0" relativeHeight="251660288" behindDoc="1" locked="0" layoutInCell="1" allowOverlap="1">
            <wp:simplePos x="0" y="0"/>
            <wp:positionH relativeFrom="column">
              <wp:posOffset>2696845</wp:posOffset>
            </wp:positionH>
            <wp:positionV relativeFrom="paragraph">
              <wp:posOffset>6452235</wp:posOffset>
            </wp:positionV>
            <wp:extent cx="721995" cy="412115"/>
            <wp:effectExtent l="0" t="0" r="1905" b="6985"/>
            <wp:wrapNone/>
            <wp:docPr id="1" name="图片 2" descr="D:\30京山项目\0监理部内部文件\PDF文件\孔令才签名.jpg孔令才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30京山项目\0监理部内部文件\PDF文件\孔令才签名.jpg孔令才签名"/>
                    <pic:cNvPicPr>
                      <a:picLocks noChangeAspect="1"/>
                    </pic:cNvPicPr>
                  </pic:nvPicPr>
                  <pic:blipFill>
                    <a:blip r:embed="rId7"/>
                    <a:stretch>
                      <a:fillRect/>
                    </a:stretch>
                  </pic:blipFill>
                  <pic:spPr>
                    <a:xfrm>
                      <a:off x="0" y="0"/>
                      <a:ext cx="721995" cy="412115"/>
                    </a:xfrm>
                    <a:prstGeom prst="rect">
                      <a:avLst/>
                    </a:prstGeom>
                    <a:noFill/>
                    <a:ln>
                      <a:noFill/>
                    </a:ln>
                  </pic:spPr>
                </pic:pic>
              </a:graphicData>
            </a:graphic>
          </wp:anchor>
        </w:drawing>
      </w:r>
    </w:p>
    <w:p>
      <w:pPr>
        <w:topLinePunct/>
        <w:snapToGrid w:val="0"/>
        <w:spacing w:before="60" w:after="60"/>
        <w:jc w:val="center"/>
        <w:rPr>
          <w:rFonts w:hint="eastAsia"/>
          <w:szCs w:val="21"/>
        </w:rPr>
      </w:pPr>
    </w:p>
    <w:p>
      <w:pPr>
        <w:topLinePunct/>
        <w:snapToGrid w:val="0"/>
        <w:spacing w:before="60" w:after="60"/>
        <w:rPr>
          <w:rFonts w:hint="eastAsia"/>
          <w:szCs w:val="21"/>
        </w:rPr>
      </w:pPr>
      <w:r>
        <w:rPr>
          <w:rFonts w:hint="eastAsia"/>
          <w:szCs w:val="21"/>
        </w:rPr>
        <w:t xml:space="preserve">                                       </w:t>
      </w:r>
    </w:p>
    <w:p>
      <w:pPr>
        <w:pStyle w:val="10"/>
        <w:rPr>
          <w:rFonts w:hint="eastAsia"/>
          <w:sz w:val="18"/>
          <w:szCs w:val="18"/>
        </w:rPr>
      </w:pPr>
    </w:p>
    <w:p>
      <w:pPr>
        <w:pStyle w:val="16"/>
        <w:ind w:left="0" w:leftChars="0" w:firstLine="0" w:firstLineChars="0"/>
        <w:rPr>
          <w:rFonts w:hint="eastAsia" w:ascii="宋体" w:hAnsi="宋体" w:eastAsia="宋体" w:cs="宋体"/>
          <w:b w:val="0"/>
          <w:bCs w:val="0"/>
          <w:snapToGrid w:val="0"/>
          <w:color w:val="000000"/>
          <w:kern w:val="0"/>
          <w:sz w:val="24"/>
          <w:szCs w:val="24"/>
          <w:lang w:val="en-US" w:eastAsia="zh-CN" w:bidi="ar"/>
        </w:rPr>
      </w:pPr>
      <w:bookmarkStart w:id="3" w:name="_Toc2743"/>
      <w:bookmarkStart w:id="4" w:name="_Hlk143934398"/>
    </w:p>
    <w:bookmarkEnd w:id="3"/>
    <w:p>
      <w:pPr>
        <w:pStyle w:val="4"/>
        <w:tabs>
          <w:tab w:val="left" w:pos="2685"/>
        </w:tabs>
        <w:spacing w:before="156" w:after="120"/>
        <w:jc w:val="center"/>
        <w:rPr>
          <w:rFonts w:hint="eastAsia" w:ascii="宋体" w:hAnsi="宋体" w:eastAsia="宋体" w:cs="宋体"/>
          <w:sz w:val="24"/>
          <w:szCs w:val="24"/>
        </w:rPr>
      </w:pPr>
      <w:bookmarkStart w:id="5" w:name="_Toc5142"/>
      <w:bookmarkStart w:id="6" w:name="_Toc8735"/>
      <w:r>
        <w:rPr>
          <w:rFonts w:hint="eastAsia" w:ascii="宋体" w:hAnsi="宋体" w:eastAsia="宋体" w:cs="宋体"/>
          <w:b w:val="0"/>
          <w:bCs w:val="0"/>
          <w:color w:val="000000"/>
          <w:kern w:val="0"/>
          <w:sz w:val="24"/>
          <w:szCs w:val="24"/>
          <w:lang w:val="en-US" w:eastAsia="zh-CN" w:bidi="ar"/>
        </w:rPr>
        <w:t>高邮市鑫辰新能源有限公司汤庄镇</w:t>
      </w:r>
      <w:r>
        <w:rPr>
          <w:rFonts w:hint="eastAsia" w:ascii="宋体" w:hAnsi="宋体" w:eastAsia="宋体" w:cs="宋体"/>
          <w:b w:val="0"/>
          <w:bCs w:val="0"/>
          <w:color w:val="FF0000"/>
          <w:kern w:val="0"/>
          <w:sz w:val="24"/>
          <w:szCs w:val="24"/>
          <w:lang w:val="en-US" w:eastAsia="zh-CN" w:bidi="ar"/>
        </w:rPr>
        <w:t>78MW</w:t>
      </w:r>
      <w:r>
        <w:rPr>
          <w:rFonts w:hint="eastAsia" w:ascii="宋体" w:hAnsi="宋体" w:eastAsia="宋体" w:cs="宋体"/>
          <w:b w:val="0"/>
          <w:bCs w:val="0"/>
          <w:color w:val="000000"/>
          <w:kern w:val="0"/>
          <w:sz w:val="24"/>
          <w:szCs w:val="24"/>
          <w:lang w:val="en-US" w:eastAsia="zh-CN" w:bidi="ar"/>
        </w:rPr>
        <w:t>渔光互补光伏发电项目</w:t>
      </w:r>
      <w:bookmarkEnd w:id="5"/>
      <w:bookmarkEnd w:id="6"/>
    </w:p>
    <w:p>
      <w:pPr>
        <w:spacing w:line="360" w:lineRule="auto"/>
        <w:jc w:val="center"/>
        <w:rPr>
          <w:rFonts w:hint="eastAsia" w:ascii="宋体" w:hAnsi="宋体" w:eastAsia="宋体" w:cs="宋体"/>
          <w:b w:val="0"/>
          <w:bCs w:val="0"/>
          <w:lang w:val="en-US" w:eastAsia="zh-CN"/>
        </w:rPr>
        <w:sectPr>
          <w:footerReference r:id="rId3" w:type="default"/>
          <w:pgSz w:w="11906" w:h="16838"/>
          <w:pgMar w:top="1440" w:right="1587" w:bottom="1440" w:left="1587" w:header="851" w:footer="992" w:gutter="0"/>
          <w:pgNumType w:fmt="decimal" w:start="1" w:chapStyle="1"/>
          <w:cols w:space="720" w:num="1"/>
          <w:docGrid w:type="lines" w:linePitch="312" w:charSpace="0"/>
        </w:sectPr>
      </w:pPr>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07</w:t>
      </w:r>
      <w:r>
        <w:rPr>
          <w:rFonts w:hint="eastAsia" w:ascii="宋体" w:hAnsi="宋体" w:eastAsia="宋体" w:cs="宋体"/>
          <w:b w:val="0"/>
          <w:bCs w:val="0"/>
          <w:sz w:val="24"/>
          <w:szCs w:val="24"/>
        </w:rPr>
        <w:t>月</w:t>
      </w:r>
      <w:bookmarkEnd w:id="4"/>
    </w:p>
    <w:sdt>
      <w:sdtPr>
        <w:rPr>
          <w:rFonts w:ascii="宋体" w:hAnsi="宋体" w:eastAsia="宋体" w:cstheme="minorBidi"/>
          <w:kern w:val="2"/>
          <w:sz w:val="21"/>
          <w:szCs w:val="22"/>
          <w:lang w:val="en-US" w:eastAsia="zh-CN" w:bidi="ar-SA"/>
        </w:rPr>
        <w:id w:val="147482207"/>
        <w15:color w:val="DBDBDB"/>
        <w:docPartObj>
          <w:docPartGallery w:val="Table of Contents"/>
          <w:docPartUnique/>
        </w:docPartObj>
      </w:sdtPr>
      <w:sdtEndPr>
        <w:rPr>
          <w:rFonts w:hint="eastAsia" w:ascii="宋体" w:hAnsi="宋体" w:eastAsia="宋体" w:cs="宋体"/>
          <w:b/>
          <w:bCs/>
          <w:snapToGrid/>
          <w:color w:val="000000"/>
          <w:spacing w:val="-27"/>
          <w:w w:val="99"/>
          <w:kern w:val="2"/>
          <w:sz w:val="24"/>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44"/>
              <w:szCs w:val="44"/>
            </w:rPr>
            <w:t>目录</w:t>
          </w:r>
        </w:p>
        <w:p>
          <w:pPr>
            <w:pStyle w:val="21"/>
            <w:tabs>
              <w:tab w:val="right" w:leader="dot" w:pos="8306"/>
            </w:tabs>
            <w:rPr>
              <w:rFonts w:hint="eastAsia" w:ascii="宋体" w:hAnsi="宋体" w:eastAsia="宋体" w:cs="宋体"/>
              <w:sz w:val="24"/>
              <w:szCs w:val="24"/>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color w:val="000000"/>
              <w:spacing w:val="-27"/>
              <w:w w:val="99"/>
              <w:kern w:val="2"/>
              <w:sz w:val="24"/>
              <w:szCs w:val="24"/>
              <w:lang w:val="en-US" w:eastAsia="zh-CN" w:bidi="ar-SA"/>
            </w:rPr>
            <w:instrText xml:space="preserve">TOC \o "1-2" \h \u </w:instrText>
          </w:r>
          <w:r>
            <w:rPr>
              <w:rFonts w:hint="eastAsia" w:ascii="宋体" w:hAnsi="宋体" w:eastAsia="宋体" w:cs="宋体"/>
              <w:bCs/>
              <w:snapToGrid/>
              <w:color w:val="000000"/>
              <w:spacing w:val="-27"/>
              <w:w w:val="99"/>
              <w:kern w:val="2"/>
              <w:sz w:val="24"/>
              <w:szCs w:val="24"/>
              <w:lang w:val="en-US" w:eastAsia="zh-CN" w:bidi="ar-SA"/>
            </w:rPr>
            <w:fldChar w:fldCharType="separate"/>
          </w:r>
          <w:r>
            <w:rPr>
              <w:rFonts w:hint="eastAsia" w:ascii="宋体" w:hAnsi="宋体" w:eastAsia="宋体" w:cs="宋体"/>
              <w:b/>
              <w:bCs/>
              <w:snapToGrid/>
              <w:color w:val="000000"/>
              <w:spacing w:val="-27"/>
              <w:w w:val="99"/>
              <w:kern w:val="2"/>
              <w:sz w:val="24"/>
              <w:szCs w:val="24"/>
              <w:lang w:val="en-US" w:eastAsia="zh-CN" w:bidi="ar-SA"/>
            </w:rPr>
            <w:fldChar w:fldCharType="begin"/>
          </w:r>
          <w:r>
            <w:rPr>
              <w:rFonts w:hint="eastAsia" w:ascii="宋体" w:hAnsi="宋体" w:eastAsia="宋体" w:cs="宋体"/>
              <w:b/>
              <w:bCs/>
              <w:snapToGrid/>
              <w:spacing w:val="-27"/>
              <w:w w:val="99"/>
              <w:kern w:val="2"/>
              <w:sz w:val="24"/>
              <w:szCs w:val="24"/>
              <w:lang w:val="en-US" w:eastAsia="zh-CN" w:bidi="ar-SA"/>
            </w:rPr>
            <w:instrText xml:space="preserve"> HYPERLINK \l _Toc12608 </w:instrText>
          </w:r>
          <w:r>
            <w:rPr>
              <w:rFonts w:hint="eastAsia" w:ascii="宋体" w:hAnsi="宋体" w:eastAsia="宋体" w:cs="宋体"/>
              <w:b/>
              <w:bCs/>
              <w:snapToGrid/>
              <w:spacing w:val="-27"/>
              <w:w w:val="99"/>
              <w:kern w:val="2"/>
              <w:sz w:val="24"/>
              <w:szCs w:val="24"/>
              <w:lang w:val="en-US" w:eastAsia="zh-CN" w:bidi="ar-SA"/>
            </w:rPr>
            <w:fldChar w:fldCharType="separate"/>
          </w:r>
          <w:r>
            <w:rPr>
              <w:rFonts w:hint="eastAsia" w:ascii="宋体" w:hAnsi="宋体" w:eastAsia="宋体" w:cs="宋体"/>
              <w:b/>
              <w:bCs/>
              <w:spacing w:val="-5"/>
              <w:sz w:val="24"/>
              <w:szCs w:val="24"/>
            </w:rPr>
            <w:t>监理策划文件报审表</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_Toc12608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1</w:t>
          </w:r>
          <w:r>
            <w:rPr>
              <w:rFonts w:hint="eastAsia" w:ascii="宋体" w:hAnsi="宋体" w:eastAsia="宋体" w:cs="宋体"/>
              <w:b/>
              <w:sz w:val="24"/>
              <w:szCs w:val="24"/>
            </w:rPr>
            <w:fldChar w:fldCharType="end"/>
          </w:r>
          <w:r>
            <w:rPr>
              <w:rFonts w:hint="eastAsia" w:ascii="宋体" w:hAnsi="宋体" w:eastAsia="宋体" w:cs="宋体"/>
              <w:b/>
              <w:bCs/>
              <w:snapToGrid/>
              <w:color w:val="000000"/>
              <w:spacing w:val="-27"/>
              <w:w w:val="99"/>
              <w:kern w:val="2"/>
              <w:sz w:val="24"/>
              <w:szCs w:val="24"/>
              <w:lang w:val="en-US" w:eastAsia="zh-CN" w:bidi="ar-SA"/>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_Toc19255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项目介绍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_Toc19255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napToGrid/>
              <w:color w:val="000000"/>
              <w:spacing w:val="-27"/>
              <w:w w:val="99"/>
              <w:kern w:val="2"/>
              <w:sz w:val="24"/>
              <w:szCs w:val="24"/>
              <w:lang w:val="en-US" w:eastAsia="zh-CN" w:bidi="ar-SA"/>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_Toc23110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一、编制依据</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snapToGrid/>
              <w:color w:val="000000"/>
              <w:spacing w:val="-27"/>
              <w:w w:val="99"/>
              <w:kern w:val="2"/>
              <w:sz w:val="24"/>
              <w:szCs w:val="24"/>
              <w:lang w:val="en-US" w:eastAsia="zh-CN" w:bidi="ar-SA"/>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_Toc27826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二、监理工作范围</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snapToGrid/>
              <w:color w:val="000000"/>
              <w:spacing w:val="-27"/>
              <w:w w:val="99"/>
              <w:kern w:val="2"/>
              <w:sz w:val="24"/>
              <w:szCs w:val="24"/>
              <w:lang w:val="en-US" w:eastAsia="zh-CN" w:bidi="ar-SA"/>
            </w:rPr>
            <w:fldChar w:fldCharType="end"/>
          </w:r>
        </w:p>
        <w:p>
          <w:pPr>
            <w:pStyle w:val="22"/>
            <w:tabs>
              <w:tab w:val="right" w:leader="dot" w:pos="8306"/>
            </w:tabs>
            <w:rPr>
              <w:rFonts w:hint="default" w:ascii="宋体" w:hAnsi="宋体" w:eastAsia="宋体" w:cs="宋体"/>
              <w:sz w:val="24"/>
              <w:szCs w:val="24"/>
              <w:lang w:val="en-US"/>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_Toc13705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三 、监理工作流程</w:t>
          </w:r>
          <w:r>
            <w:rPr>
              <w:rFonts w:hint="eastAsia" w:ascii="宋体" w:hAnsi="宋体" w:eastAsia="宋体" w:cs="宋体"/>
              <w:sz w:val="24"/>
              <w:szCs w:val="24"/>
            </w:rPr>
            <w:tab/>
          </w:r>
          <w:r>
            <w:rPr>
              <w:rFonts w:hint="eastAsia" w:ascii="宋体" w:hAnsi="宋体" w:eastAsia="宋体" w:cs="宋体"/>
              <w:bCs/>
              <w:snapToGrid/>
              <w:color w:val="000000"/>
              <w:spacing w:val="-27"/>
              <w:w w:val="99"/>
              <w:kern w:val="2"/>
              <w:sz w:val="24"/>
              <w:szCs w:val="24"/>
              <w:lang w:val="en-US" w:eastAsia="zh-CN" w:bidi="ar-SA"/>
            </w:rPr>
            <w:fldChar w:fldCharType="end"/>
          </w:r>
          <w:r>
            <w:rPr>
              <w:rFonts w:hint="eastAsia" w:ascii="宋体" w:hAnsi="宋体" w:eastAsia="宋体" w:cs="宋体"/>
              <w:bCs/>
              <w:snapToGrid/>
              <w:color w:val="000000"/>
              <w:spacing w:val="-27"/>
              <w:w w:val="99"/>
              <w:kern w:val="2"/>
              <w:sz w:val="24"/>
              <w:szCs w:val="24"/>
              <w:lang w:val="en-US" w:eastAsia="zh-CN" w:bidi="ar-SA"/>
            </w:rPr>
            <w:t>5</w:t>
          </w:r>
        </w:p>
        <w:p>
          <w:pPr>
            <w:pStyle w:val="22"/>
            <w:tabs>
              <w:tab w:val="right" w:leader="dot" w:pos="8306"/>
            </w:tabs>
            <w:rPr>
              <w:rFonts w:hint="eastAsia" w:ascii="宋体" w:hAnsi="宋体" w:eastAsia="宋体" w:cs="宋体"/>
              <w:sz w:val="24"/>
              <w:szCs w:val="24"/>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_Toc32178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四、控制目标</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snapToGrid/>
              <w:color w:val="000000"/>
              <w:spacing w:val="-27"/>
              <w:w w:val="99"/>
              <w:kern w:val="2"/>
              <w:sz w:val="24"/>
              <w:szCs w:val="24"/>
              <w:lang w:val="en-US" w:eastAsia="zh-CN" w:bidi="ar-SA"/>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_Toc7380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4.1控制目标</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bCs/>
              <w:snapToGrid/>
              <w:color w:val="000000"/>
              <w:spacing w:val="-27"/>
              <w:w w:val="99"/>
              <w:kern w:val="2"/>
              <w:sz w:val="24"/>
              <w:szCs w:val="24"/>
              <w:lang w:val="en-US" w:eastAsia="zh-CN" w:bidi="ar-SA"/>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_Toc15244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4.2控制要点</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bCs/>
              <w:snapToGrid/>
              <w:color w:val="000000"/>
              <w:spacing w:val="-27"/>
              <w:w w:val="99"/>
              <w:kern w:val="2"/>
              <w:sz w:val="24"/>
              <w:szCs w:val="24"/>
              <w:lang w:val="en-US" w:eastAsia="zh-CN" w:bidi="ar-SA"/>
            </w:rPr>
            <w:fldChar w:fldCharType="end"/>
          </w:r>
        </w:p>
        <w:p>
          <w:pPr>
            <w:pStyle w:val="22"/>
            <w:tabs>
              <w:tab w:val="right" w:leader="dot" w:pos="8306"/>
            </w:tabs>
            <w:rPr>
              <w:rFonts w:hint="eastAsia" w:ascii="宋体" w:hAnsi="宋体" w:eastAsia="宋体" w:cs="宋体"/>
              <w:bCs/>
              <w:snapToGrid/>
              <w:spacing w:val="-27"/>
              <w:w w:val="99"/>
              <w:kern w:val="2"/>
              <w:sz w:val="24"/>
              <w:szCs w:val="24"/>
              <w:lang w:val="en-US" w:eastAsia="zh-CN"/>
            </w:rPr>
          </w:pPr>
          <w:r>
            <w:rPr>
              <w:rFonts w:hint="eastAsia" w:ascii="宋体" w:hAnsi="宋体" w:eastAsia="宋体" w:cs="宋体"/>
              <w:bCs/>
              <w:snapToGrid/>
              <w:spacing w:val="-27"/>
              <w:w w:val="99"/>
              <w:kern w:val="2"/>
              <w:sz w:val="24"/>
              <w:szCs w:val="24"/>
              <w:lang w:val="en-US" w:eastAsia="zh-CN"/>
            </w:rPr>
            <w:t>五、监理工作方法和措施：</w:t>
          </w:r>
          <w:r>
            <w:rPr>
              <w:rFonts w:hint="eastAsia" w:ascii="宋体" w:hAnsi="宋体" w:eastAsia="宋体" w:cs="宋体"/>
              <w:sz w:val="24"/>
              <w:szCs w:val="24"/>
            </w:rPr>
            <w:tab/>
          </w:r>
          <w:r>
            <w:rPr>
              <w:rFonts w:hint="eastAsia" w:ascii="宋体" w:hAnsi="宋体" w:eastAsia="宋体" w:cs="宋体"/>
              <w:sz w:val="24"/>
              <w:szCs w:val="24"/>
              <w:lang w:val="en-US" w:eastAsia="zh-CN"/>
            </w:rPr>
            <w:t>6</w:t>
          </w:r>
        </w:p>
        <w:p>
          <w:pPr>
            <w:pStyle w:val="22"/>
            <w:tabs>
              <w:tab w:val="right" w:leader="dot" w:pos="8306"/>
            </w:tabs>
            <w:rPr>
              <w:rFonts w:hint="eastAsia" w:ascii="宋体" w:hAnsi="宋体" w:eastAsia="宋体" w:cs="宋体"/>
              <w:sz w:val="24"/>
              <w:szCs w:val="24"/>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_Toc16384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5.1总则</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bCs/>
              <w:snapToGrid/>
              <w:color w:val="000000"/>
              <w:spacing w:val="-27"/>
              <w:w w:val="99"/>
              <w:kern w:val="2"/>
              <w:sz w:val="24"/>
              <w:szCs w:val="24"/>
              <w:lang w:val="en-US" w:eastAsia="zh-CN" w:bidi="ar-SA"/>
            </w:rPr>
            <w:fldChar w:fldCharType="end"/>
          </w:r>
        </w:p>
        <w:p>
          <w:pPr>
            <w:pStyle w:val="22"/>
            <w:tabs>
              <w:tab w:val="right" w:leader="dot" w:pos="8306"/>
            </w:tabs>
            <w:rPr>
              <w:rFonts w:hint="eastAsia" w:ascii="宋体" w:hAnsi="宋体" w:eastAsia="宋体" w:cs="宋体"/>
              <w:sz w:val="24"/>
              <w:szCs w:val="24"/>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_Toc8666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5.2安全管理主要内容</w:t>
          </w:r>
          <w:r>
            <w:rPr>
              <w:rFonts w:hint="eastAsia" w:ascii="宋体" w:hAnsi="宋体" w:eastAsia="宋体" w:cs="宋体"/>
              <w:sz w:val="24"/>
              <w:szCs w:val="24"/>
            </w:rPr>
            <w:tab/>
          </w:r>
          <w:r>
            <w:rPr>
              <w:rFonts w:hint="eastAsia" w:ascii="宋体" w:hAnsi="宋体" w:eastAsia="宋体" w:cs="宋体"/>
              <w:sz w:val="24"/>
              <w:szCs w:val="24"/>
              <w:lang w:val="en-US" w:eastAsia="zh-CN"/>
            </w:rPr>
            <w:t>9</w:t>
          </w:r>
          <w:r>
            <w:rPr>
              <w:rFonts w:hint="eastAsia" w:ascii="宋体" w:hAnsi="宋体" w:eastAsia="宋体" w:cs="宋体"/>
              <w:bCs/>
              <w:snapToGrid/>
              <w:color w:val="000000"/>
              <w:spacing w:val="-27"/>
              <w:w w:val="99"/>
              <w:kern w:val="2"/>
              <w:sz w:val="24"/>
              <w:szCs w:val="24"/>
              <w:lang w:val="en-US" w:eastAsia="zh-CN" w:bidi="ar-SA"/>
            </w:rPr>
            <w:fldChar w:fldCharType="end"/>
          </w:r>
        </w:p>
        <w:p>
          <w:pPr>
            <w:pStyle w:val="22"/>
            <w:tabs>
              <w:tab w:val="right" w:leader="dot" w:pos="8306"/>
            </w:tabs>
            <w:rPr>
              <w:rFonts w:hint="default" w:ascii="宋体" w:hAnsi="宋体" w:eastAsia="宋体" w:cs="宋体"/>
              <w:sz w:val="24"/>
              <w:szCs w:val="24"/>
              <w:lang w:val="en-US"/>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_Toc30955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5.3安全的事前控制</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snapToGrid/>
              <w:color w:val="000000"/>
              <w:spacing w:val="-27"/>
              <w:w w:val="99"/>
              <w:kern w:val="2"/>
              <w:sz w:val="24"/>
              <w:szCs w:val="24"/>
              <w:lang w:val="en-US" w:eastAsia="zh-CN" w:bidi="ar-SA"/>
            </w:rPr>
            <w:fldChar w:fldCharType="end"/>
          </w:r>
          <w:r>
            <w:rPr>
              <w:rFonts w:hint="eastAsia" w:ascii="宋体" w:hAnsi="宋体" w:eastAsia="宋体" w:cs="宋体"/>
              <w:bCs/>
              <w:snapToGrid/>
              <w:color w:val="000000"/>
              <w:spacing w:val="-27"/>
              <w:w w:val="99"/>
              <w:kern w:val="2"/>
              <w:sz w:val="24"/>
              <w:szCs w:val="24"/>
              <w:lang w:val="en-US" w:eastAsia="zh-CN" w:bidi="ar-SA"/>
            </w:rPr>
            <w:t>1</w:t>
          </w:r>
        </w:p>
        <w:p>
          <w:pPr>
            <w:pStyle w:val="22"/>
            <w:tabs>
              <w:tab w:val="right" w:leader="dot" w:pos="8306"/>
            </w:tabs>
            <w:rPr>
              <w:rFonts w:hint="default" w:ascii="宋体" w:hAnsi="宋体" w:eastAsia="宋体" w:cs="宋体"/>
              <w:sz w:val="24"/>
              <w:szCs w:val="24"/>
              <w:lang w:val="en-US"/>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_Toc21512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5.4安全的事中控制</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snapToGrid/>
              <w:color w:val="000000"/>
              <w:spacing w:val="-27"/>
              <w:w w:val="99"/>
              <w:kern w:val="2"/>
              <w:sz w:val="24"/>
              <w:szCs w:val="24"/>
              <w:lang w:val="en-US" w:eastAsia="zh-CN" w:bidi="ar-SA"/>
            </w:rPr>
            <w:fldChar w:fldCharType="end"/>
          </w:r>
          <w:r>
            <w:rPr>
              <w:rFonts w:hint="eastAsia" w:ascii="宋体" w:hAnsi="宋体" w:eastAsia="宋体" w:cs="宋体"/>
              <w:bCs/>
              <w:snapToGrid/>
              <w:color w:val="000000"/>
              <w:spacing w:val="-27"/>
              <w:w w:val="99"/>
              <w:kern w:val="2"/>
              <w:sz w:val="24"/>
              <w:szCs w:val="24"/>
              <w:lang w:val="en-US" w:eastAsia="zh-CN" w:bidi="ar-SA"/>
            </w:rPr>
            <w:t>3</w:t>
          </w:r>
        </w:p>
        <w:p>
          <w:pPr>
            <w:pStyle w:val="22"/>
            <w:tabs>
              <w:tab w:val="right" w:leader="dot" w:pos="8306"/>
            </w:tabs>
            <w:rPr>
              <w:rFonts w:hint="default" w:ascii="宋体" w:hAnsi="宋体" w:eastAsia="宋体" w:cs="宋体"/>
              <w:sz w:val="24"/>
              <w:szCs w:val="24"/>
              <w:lang w:val="en-US"/>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_Toc24368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5.5安全的事后控制</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snapToGrid/>
              <w:color w:val="000000"/>
              <w:spacing w:val="-27"/>
              <w:w w:val="99"/>
              <w:kern w:val="2"/>
              <w:sz w:val="24"/>
              <w:szCs w:val="24"/>
              <w:lang w:val="en-US" w:eastAsia="zh-CN" w:bidi="ar-SA"/>
            </w:rPr>
            <w:fldChar w:fldCharType="end"/>
          </w:r>
          <w:r>
            <w:rPr>
              <w:rFonts w:hint="eastAsia" w:ascii="宋体" w:hAnsi="宋体" w:eastAsia="宋体" w:cs="宋体"/>
              <w:bCs/>
              <w:snapToGrid/>
              <w:color w:val="000000"/>
              <w:spacing w:val="-27"/>
              <w:w w:val="99"/>
              <w:kern w:val="2"/>
              <w:sz w:val="24"/>
              <w:szCs w:val="24"/>
              <w:lang w:val="en-US" w:eastAsia="zh-CN" w:bidi="ar-SA"/>
            </w:rPr>
            <w:t>5</w:t>
          </w:r>
        </w:p>
        <w:p>
          <w:pPr>
            <w:pStyle w:val="22"/>
            <w:tabs>
              <w:tab w:val="right" w:leader="dot" w:pos="8306"/>
            </w:tabs>
            <w:rPr>
              <w:rFonts w:hint="default" w:ascii="宋体" w:hAnsi="宋体" w:eastAsia="宋体" w:cs="宋体"/>
              <w:sz w:val="24"/>
              <w:szCs w:val="24"/>
              <w:lang w:val="en-US"/>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_Toc28654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5.6文明施工</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snapToGrid/>
              <w:color w:val="000000"/>
              <w:spacing w:val="-27"/>
              <w:w w:val="99"/>
              <w:kern w:val="2"/>
              <w:sz w:val="24"/>
              <w:szCs w:val="24"/>
              <w:lang w:val="en-US" w:eastAsia="zh-CN" w:bidi="ar-SA"/>
            </w:rPr>
            <w:fldChar w:fldCharType="end"/>
          </w:r>
          <w:r>
            <w:rPr>
              <w:rFonts w:hint="eastAsia" w:ascii="宋体" w:hAnsi="宋体" w:eastAsia="宋体" w:cs="宋体"/>
              <w:bCs/>
              <w:snapToGrid/>
              <w:color w:val="000000"/>
              <w:spacing w:val="-27"/>
              <w:w w:val="99"/>
              <w:kern w:val="2"/>
              <w:sz w:val="24"/>
              <w:szCs w:val="24"/>
              <w:lang w:val="en-US" w:eastAsia="zh-CN" w:bidi="ar-SA"/>
            </w:rPr>
            <w:t>6</w:t>
          </w:r>
        </w:p>
        <w:p>
          <w:pPr>
            <w:pStyle w:val="22"/>
            <w:tabs>
              <w:tab w:val="right" w:leader="dot" w:pos="8306"/>
            </w:tabs>
            <w:rPr>
              <w:rFonts w:hint="default" w:ascii="宋体" w:hAnsi="宋体" w:eastAsia="宋体" w:cs="宋体"/>
              <w:sz w:val="24"/>
              <w:szCs w:val="24"/>
              <w:lang w:val="en-US"/>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_Toc20483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5.7环境保护</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snapToGrid/>
              <w:color w:val="000000"/>
              <w:spacing w:val="-27"/>
              <w:w w:val="99"/>
              <w:kern w:val="2"/>
              <w:sz w:val="24"/>
              <w:szCs w:val="24"/>
              <w:lang w:val="en-US" w:eastAsia="zh-CN" w:bidi="ar-SA"/>
            </w:rPr>
            <w:fldChar w:fldCharType="end"/>
          </w:r>
          <w:r>
            <w:rPr>
              <w:rFonts w:hint="eastAsia" w:ascii="宋体" w:hAnsi="宋体" w:eastAsia="宋体" w:cs="宋体"/>
              <w:bCs/>
              <w:snapToGrid/>
              <w:color w:val="000000"/>
              <w:spacing w:val="-27"/>
              <w:w w:val="99"/>
              <w:kern w:val="2"/>
              <w:sz w:val="24"/>
              <w:szCs w:val="24"/>
              <w:lang w:val="en-US" w:eastAsia="zh-CN" w:bidi="ar-SA"/>
            </w:rPr>
            <w:t>7</w:t>
          </w:r>
        </w:p>
        <w:p>
          <w:pPr>
            <w:pStyle w:val="21"/>
            <w:tabs>
              <w:tab w:val="right" w:leader="dot" w:pos="8306"/>
            </w:tabs>
            <w:ind w:firstLine="368" w:firstLineChars="200"/>
            <w:rPr>
              <w:rFonts w:hint="default" w:ascii="宋体" w:hAnsi="宋体" w:eastAsia="宋体" w:cs="宋体"/>
              <w:b/>
              <w:sz w:val="24"/>
              <w:szCs w:val="24"/>
              <w:lang w:val="en-US"/>
            </w:rPr>
          </w:pPr>
          <w:r>
            <w:rPr>
              <w:rFonts w:hint="eastAsia" w:ascii="宋体" w:hAnsi="宋体" w:eastAsia="宋体" w:cs="宋体"/>
              <w:b/>
              <w:bCs/>
              <w:snapToGrid/>
              <w:color w:val="000000"/>
              <w:spacing w:val="-27"/>
              <w:w w:val="99"/>
              <w:kern w:val="2"/>
              <w:sz w:val="24"/>
              <w:szCs w:val="24"/>
              <w:lang w:val="en-US" w:eastAsia="zh-CN" w:bidi="ar-SA"/>
            </w:rPr>
            <w:fldChar w:fldCharType="begin"/>
          </w:r>
          <w:r>
            <w:rPr>
              <w:rFonts w:hint="eastAsia" w:ascii="宋体" w:hAnsi="宋体" w:eastAsia="宋体" w:cs="宋体"/>
              <w:b/>
              <w:bCs/>
              <w:snapToGrid/>
              <w:spacing w:val="-27"/>
              <w:w w:val="99"/>
              <w:kern w:val="2"/>
              <w:sz w:val="24"/>
              <w:szCs w:val="24"/>
              <w:lang w:val="en-US" w:eastAsia="zh-CN" w:bidi="ar-SA"/>
            </w:rPr>
            <w:instrText xml:space="preserve"> HYPERLINK \l _Toc15879 </w:instrText>
          </w:r>
          <w:r>
            <w:rPr>
              <w:rFonts w:hint="eastAsia" w:ascii="宋体" w:hAnsi="宋体" w:eastAsia="宋体" w:cs="宋体"/>
              <w:b/>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六、管理体系及职责</w:t>
          </w:r>
          <w:r>
            <w:rPr>
              <w:rFonts w:hint="eastAsia" w:ascii="宋体" w:hAnsi="宋体" w:eastAsia="宋体" w:cs="宋体"/>
              <w:b/>
              <w:sz w:val="24"/>
              <w:szCs w:val="24"/>
            </w:rPr>
            <w:tab/>
          </w:r>
          <w:r>
            <w:rPr>
              <w:rFonts w:hint="eastAsia" w:ascii="宋体" w:hAnsi="宋体" w:cs="宋体"/>
              <w:b/>
              <w:sz w:val="24"/>
              <w:szCs w:val="24"/>
              <w:lang w:val="en-US" w:eastAsia="zh-CN"/>
            </w:rPr>
            <w:t>1</w:t>
          </w:r>
          <w:r>
            <w:rPr>
              <w:rFonts w:hint="eastAsia" w:ascii="宋体" w:hAnsi="宋体" w:eastAsia="宋体" w:cs="宋体"/>
              <w:b/>
              <w:bCs/>
              <w:snapToGrid/>
              <w:color w:val="000000"/>
              <w:spacing w:val="-27"/>
              <w:w w:val="99"/>
              <w:kern w:val="2"/>
              <w:sz w:val="24"/>
              <w:szCs w:val="24"/>
              <w:lang w:val="en-US" w:eastAsia="zh-CN" w:bidi="ar-SA"/>
            </w:rPr>
            <w:fldChar w:fldCharType="end"/>
          </w:r>
          <w:r>
            <w:rPr>
              <w:rFonts w:hint="eastAsia" w:ascii="宋体" w:hAnsi="宋体" w:cs="宋体"/>
              <w:b/>
              <w:bCs/>
              <w:snapToGrid/>
              <w:color w:val="000000"/>
              <w:spacing w:val="-27"/>
              <w:w w:val="99"/>
              <w:kern w:val="2"/>
              <w:sz w:val="24"/>
              <w:szCs w:val="24"/>
              <w:lang w:val="en-US" w:eastAsia="zh-CN" w:bidi="ar-SA"/>
            </w:rPr>
            <w:t>8</w:t>
          </w:r>
        </w:p>
        <w:p>
          <w:pPr>
            <w:pStyle w:val="22"/>
            <w:tabs>
              <w:tab w:val="right" w:leader="dot" w:pos="8306"/>
            </w:tabs>
            <w:rPr>
              <w:rFonts w:hint="default" w:ascii="宋体" w:hAnsi="宋体" w:eastAsia="宋体" w:cs="宋体"/>
              <w:sz w:val="24"/>
              <w:szCs w:val="24"/>
              <w:lang w:val="en-US"/>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_Toc14759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6.1管理机构</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snapToGrid/>
              <w:color w:val="000000"/>
              <w:spacing w:val="-27"/>
              <w:w w:val="99"/>
              <w:kern w:val="2"/>
              <w:sz w:val="24"/>
              <w:szCs w:val="24"/>
              <w:lang w:val="en-US" w:eastAsia="zh-CN" w:bidi="ar-SA"/>
            </w:rPr>
            <w:fldChar w:fldCharType="end"/>
          </w:r>
          <w:r>
            <w:rPr>
              <w:rFonts w:hint="eastAsia" w:ascii="宋体" w:hAnsi="宋体" w:eastAsia="宋体" w:cs="宋体"/>
              <w:bCs/>
              <w:snapToGrid/>
              <w:color w:val="000000"/>
              <w:spacing w:val="-27"/>
              <w:w w:val="99"/>
              <w:kern w:val="2"/>
              <w:sz w:val="24"/>
              <w:szCs w:val="24"/>
              <w:lang w:val="en-US" w:eastAsia="zh-CN" w:bidi="ar-SA"/>
            </w:rPr>
            <w:t>8</w:t>
          </w:r>
        </w:p>
        <w:p>
          <w:pPr>
            <w:pStyle w:val="22"/>
            <w:tabs>
              <w:tab w:val="right" w:leader="dot" w:pos="8306"/>
            </w:tabs>
            <w:rPr>
              <w:rFonts w:hint="default" w:ascii="宋体" w:hAnsi="宋体" w:eastAsia="宋体" w:cs="宋体"/>
              <w:sz w:val="24"/>
              <w:szCs w:val="24"/>
              <w:lang w:val="en-US"/>
            </w:rPr>
          </w:pPr>
          <w:r>
            <w:rPr>
              <w:rFonts w:hint="eastAsia" w:ascii="宋体" w:hAnsi="宋体" w:eastAsia="宋体" w:cs="宋体"/>
              <w:bCs/>
              <w:snapToGrid/>
              <w:color w:val="000000"/>
              <w:spacing w:val="-27"/>
              <w:w w:val="99"/>
              <w:kern w:val="2"/>
              <w:sz w:val="24"/>
              <w:szCs w:val="24"/>
              <w:lang w:val="en-US" w:eastAsia="zh-CN" w:bidi="ar-SA"/>
            </w:rPr>
            <w:fldChar w:fldCharType="begin"/>
          </w:r>
          <w:r>
            <w:rPr>
              <w:rFonts w:hint="eastAsia" w:ascii="宋体" w:hAnsi="宋体" w:eastAsia="宋体" w:cs="宋体"/>
              <w:bCs/>
              <w:snapToGrid/>
              <w:spacing w:val="-27"/>
              <w:w w:val="99"/>
              <w:kern w:val="2"/>
              <w:sz w:val="24"/>
              <w:szCs w:val="24"/>
              <w:lang w:val="en-US" w:eastAsia="zh-CN" w:bidi="ar-SA"/>
            </w:rPr>
            <w:instrText xml:space="preserve"> HYPERLINK \l _Toc25713 </w:instrText>
          </w:r>
          <w:r>
            <w:rPr>
              <w:rFonts w:hint="eastAsia" w:ascii="宋体" w:hAnsi="宋体" w:eastAsia="宋体" w:cs="宋体"/>
              <w:bCs/>
              <w:snapToGrid/>
              <w:spacing w:val="-27"/>
              <w:w w:val="99"/>
              <w:kern w:val="2"/>
              <w:sz w:val="24"/>
              <w:szCs w:val="24"/>
              <w:lang w:val="en-US" w:eastAsia="zh-CN" w:bidi="ar-SA"/>
            </w:rPr>
            <w:fldChar w:fldCharType="separate"/>
          </w:r>
          <w:r>
            <w:rPr>
              <w:rFonts w:hint="eastAsia" w:ascii="宋体" w:hAnsi="宋体" w:eastAsia="宋体" w:cs="宋体"/>
              <w:bCs/>
              <w:snapToGrid/>
              <w:spacing w:val="-27"/>
              <w:w w:val="99"/>
              <w:kern w:val="2"/>
              <w:sz w:val="24"/>
              <w:szCs w:val="24"/>
              <w:lang w:val="en-US" w:eastAsia="zh-CN"/>
            </w:rPr>
            <w:t>6.2，岗位安全职责</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snapToGrid/>
              <w:color w:val="000000"/>
              <w:spacing w:val="-27"/>
              <w:w w:val="99"/>
              <w:kern w:val="2"/>
              <w:sz w:val="24"/>
              <w:szCs w:val="24"/>
              <w:lang w:val="en-US" w:eastAsia="zh-CN" w:bidi="ar-SA"/>
            </w:rPr>
            <w:fldChar w:fldCharType="end"/>
          </w:r>
          <w:r>
            <w:rPr>
              <w:rFonts w:hint="eastAsia" w:ascii="宋体" w:hAnsi="宋体" w:eastAsia="宋体" w:cs="宋体"/>
              <w:bCs/>
              <w:snapToGrid/>
              <w:color w:val="000000"/>
              <w:spacing w:val="-27"/>
              <w:w w:val="99"/>
              <w:kern w:val="2"/>
              <w:sz w:val="24"/>
              <w:szCs w:val="24"/>
              <w:lang w:val="en-US" w:eastAsia="zh-CN" w:bidi="ar-SA"/>
            </w:rPr>
            <w:t>9</w:t>
          </w:r>
        </w:p>
        <w:p>
          <w:pPr>
            <w:pStyle w:val="22"/>
            <w:tabs>
              <w:tab w:val="left" w:pos="411"/>
              <w:tab w:val="right" w:leader="dot" w:pos="8306"/>
            </w:tabs>
            <w:ind w:left="0" w:leftChars="0" w:firstLine="480" w:firstLineChars="200"/>
            <w:rPr>
              <w:rFonts w:hint="eastAsia" w:ascii="宋体" w:hAnsi="宋体" w:eastAsia="宋体" w:cs="宋体"/>
              <w:sz w:val="24"/>
              <w:szCs w:val="24"/>
            </w:rPr>
          </w:pPr>
        </w:p>
        <w:p>
          <w:pPr>
            <w:pStyle w:val="7"/>
            <w:keepNext w:val="0"/>
            <w:keepLines w:val="0"/>
            <w:pageBreakBefore w:val="0"/>
            <w:widowControl w:val="0"/>
            <w:kinsoku/>
            <w:wordWrap/>
            <w:overflowPunct/>
            <w:topLinePunct w:val="0"/>
            <w:autoSpaceDE/>
            <w:autoSpaceDN/>
            <w:bidi w:val="0"/>
            <w:adjustRightInd/>
            <w:snapToGrid/>
            <w:spacing w:before="81" w:line="360" w:lineRule="auto"/>
            <w:ind w:left="19"/>
            <w:jc w:val="left"/>
            <w:textAlignment w:val="auto"/>
            <w:rPr>
              <w:rFonts w:hint="eastAsia" w:ascii="宋体" w:hAnsi="宋体" w:eastAsia="宋体" w:cs="宋体"/>
              <w:b/>
              <w:bCs/>
              <w:snapToGrid/>
              <w:color w:val="000000"/>
              <w:spacing w:val="-27"/>
              <w:w w:val="99"/>
              <w:kern w:val="2"/>
              <w:sz w:val="24"/>
              <w:szCs w:val="24"/>
              <w:lang w:val="en-US" w:eastAsia="zh-CN" w:bidi="ar-SA"/>
            </w:rPr>
          </w:pPr>
          <w:r>
            <w:rPr>
              <w:rFonts w:hint="eastAsia" w:ascii="宋体" w:hAnsi="宋体" w:eastAsia="宋体" w:cs="宋体"/>
              <w:b/>
              <w:bCs/>
              <w:snapToGrid/>
              <w:color w:val="000000"/>
              <w:spacing w:val="-27"/>
              <w:w w:val="99"/>
              <w:kern w:val="2"/>
              <w:sz w:val="24"/>
              <w:szCs w:val="24"/>
              <w:lang w:val="en-US" w:eastAsia="zh-CN" w:bidi="ar-SA"/>
            </w:rPr>
            <w:fldChar w:fldCharType="end"/>
          </w:r>
        </w:p>
      </w:sdtContent>
    </w:sdt>
    <w:p>
      <w:pPr>
        <w:pStyle w:val="7"/>
        <w:keepNext w:val="0"/>
        <w:keepLines w:val="0"/>
        <w:pageBreakBefore w:val="0"/>
        <w:widowControl w:val="0"/>
        <w:kinsoku/>
        <w:wordWrap/>
        <w:overflowPunct/>
        <w:topLinePunct w:val="0"/>
        <w:autoSpaceDE/>
        <w:autoSpaceDN/>
        <w:bidi w:val="0"/>
        <w:adjustRightInd/>
        <w:snapToGrid/>
        <w:spacing w:before="81" w:line="360" w:lineRule="auto"/>
        <w:ind w:left="19"/>
        <w:jc w:val="left"/>
        <w:textAlignment w:val="auto"/>
        <w:rPr>
          <w:rFonts w:hint="eastAsia" w:ascii="宋体" w:hAnsi="宋体" w:eastAsia="宋体" w:cs="宋体"/>
          <w:b/>
          <w:bCs/>
          <w:snapToGrid/>
          <w:color w:val="000000"/>
          <w:spacing w:val="-27"/>
          <w:w w:val="99"/>
          <w:kern w:val="2"/>
          <w:sz w:val="34"/>
          <w:szCs w:val="30"/>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81" w:line="360" w:lineRule="auto"/>
        <w:ind w:left="19"/>
        <w:jc w:val="left"/>
        <w:textAlignment w:val="auto"/>
        <w:rPr>
          <w:rFonts w:hint="eastAsia"/>
          <w:b/>
          <w:bCs/>
          <w:snapToGrid/>
          <w:color w:val="000000"/>
          <w:spacing w:val="-27"/>
          <w:w w:val="99"/>
          <w:kern w:val="2"/>
          <w:sz w:val="30"/>
          <w:szCs w:val="30"/>
          <w:lang w:val="en-US" w:eastAsia="zh-CN"/>
        </w:rPr>
      </w:pPr>
    </w:p>
    <w:p>
      <w:pPr>
        <w:pStyle w:val="7"/>
        <w:keepNext w:val="0"/>
        <w:keepLines w:val="0"/>
        <w:pageBreakBefore w:val="0"/>
        <w:widowControl w:val="0"/>
        <w:kinsoku/>
        <w:wordWrap/>
        <w:overflowPunct/>
        <w:topLinePunct w:val="0"/>
        <w:autoSpaceDE/>
        <w:autoSpaceDN/>
        <w:bidi w:val="0"/>
        <w:adjustRightInd/>
        <w:snapToGrid/>
        <w:spacing w:before="81" w:line="360" w:lineRule="auto"/>
        <w:ind w:left="19"/>
        <w:jc w:val="left"/>
        <w:textAlignment w:val="auto"/>
        <w:rPr>
          <w:rFonts w:hint="eastAsia"/>
          <w:b/>
          <w:bCs/>
          <w:snapToGrid/>
          <w:color w:val="000000"/>
          <w:spacing w:val="-27"/>
          <w:w w:val="99"/>
          <w:kern w:val="2"/>
          <w:sz w:val="30"/>
          <w:szCs w:val="30"/>
          <w:lang w:val="en-US" w:eastAsia="zh-CN"/>
        </w:rPr>
      </w:pPr>
    </w:p>
    <w:p>
      <w:pPr>
        <w:pStyle w:val="7"/>
        <w:keepNext w:val="0"/>
        <w:keepLines w:val="0"/>
        <w:pageBreakBefore w:val="0"/>
        <w:widowControl w:val="0"/>
        <w:kinsoku/>
        <w:wordWrap/>
        <w:overflowPunct/>
        <w:topLinePunct w:val="0"/>
        <w:autoSpaceDE/>
        <w:autoSpaceDN/>
        <w:bidi w:val="0"/>
        <w:adjustRightInd/>
        <w:snapToGrid/>
        <w:spacing w:before="81" w:line="360" w:lineRule="auto"/>
        <w:ind w:left="19"/>
        <w:jc w:val="left"/>
        <w:textAlignment w:val="auto"/>
        <w:rPr>
          <w:rFonts w:hint="eastAsia"/>
          <w:b/>
          <w:bCs/>
          <w:snapToGrid/>
          <w:color w:val="000000"/>
          <w:spacing w:val="-27"/>
          <w:w w:val="99"/>
          <w:kern w:val="2"/>
          <w:sz w:val="30"/>
          <w:szCs w:val="30"/>
          <w:lang w:val="en-US" w:eastAsia="zh-CN"/>
        </w:rPr>
      </w:pPr>
    </w:p>
    <w:p>
      <w:pPr>
        <w:pStyle w:val="7"/>
        <w:keepNext w:val="0"/>
        <w:keepLines w:val="0"/>
        <w:pageBreakBefore w:val="0"/>
        <w:widowControl w:val="0"/>
        <w:kinsoku/>
        <w:wordWrap/>
        <w:overflowPunct/>
        <w:topLinePunct w:val="0"/>
        <w:autoSpaceDE/>
        <w:autoSpaceDN/>
        <w:bidi w:val="0"/>
        <w:adjustRightInd/>
        <w:snapToGrid/>
        <w:spacing w:before="81" w:line="360" w:lineRule="auto"/>
        <w:jc w:val="left"/>
        <w:textAlignment w:val="auto"/>
        <w:rPr>
          <w:rFonts w:hint="eastAsia"/>
          <w:b/>
          <w:bCs/>
          <w:snapToGrid/>
          <w:color w:val="000000"/>
          <w:spacing w:val="-27"/>
          <w:w w:val="99"/>
          <w:kern w:val="2"/>
          <w:sz w:val="30"/>
          <w:szCs w:val="30"/>
          <w:lang w:val="en-US" w:eastAsia="zh-CN"/>
        </w:rPr>
      </w:pPr>
    </w:p>
    <w:p>
      <w:pPr>
        <w:pStyle w:val="7"/>
        <w:keepNext w:val="0"/>
        <w:keepLines w:val="0"/>
        <w:pageBreakBefore w:val="0"/>
        <w:widowControl w:val="0"/>
        <w:kinsoku/>
        <w:wordWrap/>
        <w:overflowPunct/>
        <w:topLinePunct w:val="0"/>
        <w:autoSpaceDE/>
        <w:autoSpaceDN/>
        <w:bidi w:val="0"/>
        <w:adjustRightInd/>
        <w:snapToGrid/>
        <w:spacing w:before="81" w:line="360" w:lineRule="auto"/>
        <w:jc w:val="left"/>
        <w:textAlignment w:val="auto"/>
        <w:rPr>
          <w:rFonts w:hint="eastAsia"/>
          <w:b/>
          <w:bCs/>
          <w:snapToGrid/>
          <w:color w:val="000000"/>
          <w:spacing w:val="-27"/>
          <w:w w:val="99"/>
          <w:kern w:val="2"/>
          <w:sz w:val="30"/>
          <w:szCs w:val="30"/>
          <w:lang w:val="en-US" w:eastAsia="zh-CN"/>
        </w:rPr>
      </w:pPr>
    </w:p>
    <w:p>
      <w:pPr>
        <w:pStyle w:val="7"/>
        <w:keepNext w:val="0"/>
        <w:keepLines w:val="0"/>
        <w:pageBreakBefore w:val="0"/>
        <w:widowControl w:val="0"/>
        <w:kinsoku/>
        <w:wordWrap/>
        <w:overflowPunct/>
        <w:topLinePunct w:val="0"/>
        <w:autoSpaceDE/>
        <w:autoSpaceDN/>
        <w:bidi w:val="0"/>
        <w:adjustRightInd/>
        <w:snapToGrid/>
        <w:spacing w:before="81" w:line="360" w:lineRule="auto"/>
        <w:jc w:val="left"/>
        <w:textAlignment w:val="auto"/>
        <w:rPr>
          <w:rFonts w:hint="eastAsia"/>
          <w:b/>
          <w:bCs/>
          <w:snapToGrid/>
          <w:color w:val="000000"/>
          <w:spacing w:val="-27"/>
          <w:w w:val="99"/>
          <w:kern w:val="2"/>
          <w:sz w:val="30"/>
          <w:szCs w:val="30"/>
          <w:lang w:val="en-US" w:eastAsia="zh-CN"/>
        </w:rPr>
      </w:pPr>
    </w:p>
    <w:p>
      <w:pPr>
        <w:pStyle w:val="7"/>
        <w:keepNext w:val="0"/>
        <w:keepLines w:val="0"/>
        <w:pageBreakBefore w:val="0"/>
        <w:widowControl w:val="0"/>
        <w:kinsoku/>
        <w:wordWrap/>
        <w:overflowPunct/>
        <w:topLinePunct w:val="0"/>
        <w:autoSpaceDE/>
        <w:autoSpaceDN/>
        <w:bidi w:val="0"/>
        <w:adjustRightInd/>
        <w:snapToGrid/>
        <w:spacing w:before="81" w:line="360" w:lineRule="auto"/>
        <w:jc w:val="left"/>
        <w:textAlignment w:val="auto"/>
        <w:rPr>
          <w:rFonts w:hint="eastAsia"/>
          <w:b/>
          <w:bCs/>
          <w:snapToGrid/>
          <w:color w:val="000000"/>
          <w:spacing w:val="-27"/>
          <w:w w:val="99"/>
          <w:kern w:val="2"/>
          <w:sz w:val="30"/>
          <w:szCs w:val="30"/>
          <w:lang w:val="en-US" w:eastAsia="zh-CN"/>
        </w:rPr>
      </w:pPr>
    </w:p>
    <w:p>
      <w:pPr>
        <w:pStyle w:val="7"/>
        <w:keepNext w:val="0"/>
        <w:keepLines w:val="0"/>
        <w:pageBreakBefore w:val="0"/>
        <w:widowControl w:val="0"/>
        <w:kinsoku/>
        <w:wordWrap/>
        <w:overflowPunct/>
        <w:topLinePunct w:val="0"/>
        <w:autoSpaceDE/>
        <w:autoSpaceDN/>
        <w:bidi w:val="0"/>
        <w:adjustRightInd/>
        <w:snapToGrid/>
        <w:spacing w:before="81" w:line="360" w:lineRule="auto"/>
        <w:jc w:val="left"/>
        <w:textAlignment w:val="auto"/>
        <w:rPr>
          <w:rFonts w:hint="eastAsia"/>
          <w:b/>
          <w:bCs/>
          <w:snapToGrid/>
          <w:color w:val="000000"/>
          <w:spacing w:val="-27"/>
          <w:w w:val="99"/>
          <w:kern w:val="2"/>
          <w:sz w:val="30"/>
          <w:szCs w:val="30"/>
          <w:lang w:val="en-US" w:eastAsia="zh-CN"/>
        </w:rPr>
      </w:pPr>
    </w:p>
    <w:p>
      <w:pPr>
        <w:pStyle w:val="7"/>
        <w:spacing w:before="82" w:line="219" w:lineRule="auto"/>
        <w:outlineLvl w:val="1"/>
        <w:rPr>
          <w:rFonts w:ascii="Arial"/>
          <w:sz w:val="21"/>
        </w:rPr>
      </w:pPr>
      <w:bookmarkStart w:id="7" w:name="_Toc19255"/>
      <w:r>
        <w:rPr>
          <w:rFonts w:hint="eastAsia"/>
          <w:b/>
          <w:bCs/>
          <w:snapToGrid/>
          <w:color w:val="000000"/>
          <w:spacing w:val="-27"/>
          <w:w w:val="99"/>
          <w:kern w:val="2"/>
          <w:sz w:val="30"/>
          <w:szCs w:val="30"/>
          <w:lang w:val="en-US" w:eastAsia="zh-CN"/>
        </w:rPr>
        <w:t>项目介绍</w:t>
      </w:r>
      <w:bookmarkEnd w:id="7"/>
    </w:p>
    <w:p>
      <w:pPr>
        <w:pStyle w:val="6"/>
        <w:keepNext w:val="0"/>
        <w:keepLines w:val="0"/>
        <w:pageBreakBefore w:val="0"/>
        <w:widowControl/>
        <w:kinsoku w:val="0"/>
        <w:wordWrap/>
        <w:overflowPunct/>
        <w:topLinePunct w:val="0"/>
        <w:autoSpaceDE w:val="0"/>
        <w:autoSpaceDN w:val="0"/>
        <w:bidi w:val="0"/>
        <w:adjustRightInd w:val="0"/>
        <w:snapToGrid w:val="0"/>
        <w:spacing w:before="0"/>
        <w:ind w:firstLine="468" w:firstLineChars="200"/>
        <w:textAlignment w:val="baseline"/>
        <w:rPr>
          <w:rFonts w:hint="eastAsia" w:ascii="宋体" w:hAnsi="宋体" w:eastAsia="宋体" w:cs="宋体"/>
          <w:snapToGrid w:val="0"/>
          <w:color w:val="000000"/>
          <w:spacing w:val="-3"/>
          <w:kern w:val="0"/>
          <w:sz w:val="24"/>
          <w:szCs w:val="30"/>
          <w:lang w:val="en-US" w:eastAsia="en-US" w:bidi="ar-SA"/>
        </w:rPr>
      </w:pPr>
      <w:r>
        <w:rPr>
          <w:rFonts w:hint="eastAsia" w:ascii="宋体" w:hAnsi="宋体" w:eastAsia="宋体" w:cs="宋体"/>
          <w:snapToGrid w:val="0"/>
          <w:color w:val="000000"/>
          <w:spacing w:val="-3"/>
          <w:kern w:val="0"/>
          <w:sz w:val="24"/>
          <w:szCs w:val="30"/>
          <w:lang w:val="en-US" w:eastAsia="en-US" w:bidi="ar-SA"/>
        </w:rPr>
        <w:t>1、工程名称：</w:t>
      </w:r>
      <w:r>
        <w:rPr>
          <w:rFonts w:hint="eastAsia" w:ascii="宋体" w:hAnsi="宋体" w:eastAsia="宋体" w:cs="宋体"/>
          <w:snapToGrid w:val="0"/>
          <w:color w:val="000000"/>
          <w:spacing w:val="-3"/>
          <w:kern w:val="0"/>
          <w:sz w:val="24"/>
          <w:szCs w:val="30"/>
          <w:lang w:val="en-US" w:eastAsia="zh-CN" w:bidi="ar-SA"/>
        </w:rPr>
        <w:t>高邮市鑫辰新能源有限公司汤庄镇78</w:t>
      </w:r>
      <w:bookmarkStart w:id="47" w:name="_GoBack"/>
      <w:bookmarkEnd w:id="47"/>
      <w:r>
        <w:rPr>
          <w:rFonts w:hint="eastAsia" w:ascii="宋体" w:hAnsi="宋体" w:eastAsia="宋体" w:cs="宋体"/>
          <w:snapToGrid w:val="0"/>
          <w:color w:val="FF0000"/>
          <w:spacing w:val="-3"/>
          <w:kern w:val="0"/>
          <w:sz w:val="24"/>
          <w:szCs w:val="30"/>
          <w:lang w:val="en-US" w:eastAsia="zh-CN" w:bidi="ar-SA"/>
        </w:rPr>
        <w:t>MW</w:t>
      </w:r>
      <w:r>
        <w:rPr>
          <w:rFonts w:hint="eastAsia" w:ascii="宋体" w:hAnsi="宋体" w:eastAsia="宋体" w:cs="宋体"/>
          <w:snapToGrid w:val="0"/>
          <w:color w:val="000000"/>
          <w:spacing w:val="-3"/>
          <w:kern w:val="0"/>
          <w:sz w:val="24"/>
          <w:szCs w:val="30"/>
          <w:lang w:val="en-US" w:eastAsia="zh-CN" w:bidi="ar-SA"/>
        </w:rPr>
        <w:t>渔光互补光伏发电项目</w:t>
      </w:r>
    </w:p>
    <w:p>
      <w:pPr>
        <w:pStyle w:val="6"/>
        <w:keepNext w:val="0"/>
        <w:keepLines w:val="0"/>
        <w:pageBreakBefore w:val="0"/>
        <w:widowControl/>
        <w:kinsoku w:val="0"/>
        <w:wordWrap/>
        <w:overflowPunct/>
        <w:topLinePunct w:val="0"/>
        <w:autoSpaceDE w:val="0"/>
        <w:autoSpaceDN w:val="0"/>
        <w:bidi w:val="0"/>
        <w:adjustRightInd w:val="0"/>
        <w:snapToGrid w:val="0"/>
        <w:spacing w:before="0"/>
        <w:ind w:firstLine="468" w:firstLineChars="200"/>
        <w:textAlignment w:val="baseline"/>
        <w:rPr>
          <w:rFonts w:hint="default" w:ascii="宋体" w:hAnsi="宋体" w:eastAsia="宋体" w:cs="宋体"/>
          <w:snapToGrid w:val="0"/>
          <w:color w:val="000000"/>
          <w:spacing w:val="-3"/>
          <w:kern w:val="0"/>
          <w:sz w:val="24"/>
          <w:szCs w:val="30"/>
          <w:lang w:val="en-US" w:eastAsia="en-US" w:bidi="ar-SA"/>
        </w:rPr>
      </w:pPr>
      <w:r>
        <w:rPr>
          <w:rFonts w:hint="eastAsia" w:ascii="宋体" w:hAnsi="宋体" w:eastAsia="宋体" w:cs="宋体"/>
          <w:snapToGrid w:val="0"/>
          <w:color w:val="000000"/>
          <w:spacing w:val="-3"/>
          <w:kern w:val="0"/>
          <w:sz w:val="24"/>
          <w:szCs w:val="30"/>
          <w:lang w:val="en-US" w:eastAsia="en-US" w:bidi="ar-SA"/>
        </w:rPr>
        <w:t>2、工程地点：</w:t>
      </w:r>
      <w:r>
        <w:rPr>
          <w:rFonts w:hint="eastAsia" w:ascii="宋体" w:hAnsi="宋体" w:eastAsia="宋体" w:cs="宋体"/>
          <w:snapToGrid w:val="0"/>
          <w:color w:val="000000"/>
          <w:spacing w:val="-3"/>
          <w:kern w:val="0"/>
          <w:sz w:val="24"/>
          <w:szCs w:val="30"/>
          <w:lang w:val="en-US" w:eastAsia="zh-CN" w:bidi="ar-SA"/>
        </w:rPr>
        <w:t>江苏省扬州市高邮市汤庄镇各镇村</w:t>
      </w:r>
    </w:p>
    <w:p>
      <w:pPr>
        <w:pStyle w:val="6"/>
        <w:keepNext w:val="0"/>
        <w:keepLines w:val="0"/>
        <w:pageBreakBefore w:val="0"/>
        <w:widowControl/>
        <w:kinsoku w:val="0"/>
        <w:wordWrap/>
        <w:overflowPunct/>
        <w:topLinePunct w:val="0"/>
        <w:autoSpaceDE w:val="0"/>
        <w:autoSpaceDN w:val="0"/>
        <w:bidi w:val="0"/>
        <w:adjustRightInd w:val="0"/>
        <w:snapToGrid w:val="0"/>
        <w:spacing w:before="0"/>
        <w:ind w:firstLine="468" w:firstLineChars="200"/>
        <w:textAlignment w:val="baseline"/>
        <w:rPr>
          <w:rFonts w:hint="eastAsia" w:ascii="宋体" w:hAnsi="宋体" w:eastAsia="宋体" w:cs="宋体"/>
          <w:snapToGrid w:val="0"/>
          <w:color w:val="000000"/>
          <w:spacing w:val="-3"/>
          <w:kern w:val="0"/>
          <w:sz w:val="24"/>
          <w:szCs w:val="30"/>
          <w:lang w:val="en-US" w:eastAsia="en-US" w:bidi="ar-SA"/>
        </w:rPr>
      </w:pPr>
      <w:r>
        <w:rPr>
          <w:rFonts w:hint="eastAsia" w:ascii="宋体" w:hAnsi="宋体" w:eastAsia="宋体" w:cs="宋体"/>
          <w:snapToGrid w:val="0"/>
          <w:color w:val="000000"/>
          <w:spacing w:val="-3"/>
          <w:kern w:val="0"/>
          <w:sz w:val="24"/>
          <w:szCs w:val="30"/>
          <w:lang w:val="en-US" w:eastAsia="en-US" w:bidi="ar-SA"/>
        </w:rPr>
        <w:t>3、工程投资：</w:t>
      </w:r>
      <w:r>
        <w:rPr>
          <w:rFonts w:hint="eastAsia" w:ascii="宋体" w:hAnsi="宋体" w:eastAsia="宋体" w:cs="宋体"/>
          <w:snapToGrid w:val="0"/>
          <w:color w:val="000000"/>
          <w:spacing w:val="-3"/>
          <w:kern w:val="0"/>
          <w:sz w:val="24"/>
          <w:szCs w:val="30"/>
          <w:lang w:val="en-US" w:eastAsia="zh-CN" w:bidi="ar-SA"/>
        </w:rPr>
        <w:t>31</w:t>
      </w:r>
      <w:r>
        <w:rPr>
          <w:rFonts w:hint="eastAsia" w:ascii="宋体" w:hAnsi="宋体" w:eastAsia="宋体" w:cs="宋体"/>
          <w:snapToGrid w:val="0"/>
          <w:color w:val="000000"/>
          <w:spacing w:val="-3"/>
          <w:kern w:val="0"/>
          <w:sz w:val="24"/>
          <w:szCs w:val="30"/>
          <w:lang w:val="en-US" w:eastAsia="en-US" w:bidi="ar-SA"/>
        </w:rPr>
        <w:t>亿元</w:t>
      </w:r>
    </w:p>
    <w:p>
      <w:pPr>
        <w:pStyle w:val="6"/>
        <w:keepNext w:val="0"/>
        <w:keepLines w:val="0"/>
        <w:pageBreakBefore w:val="0"/>
        <w:widowControl/>
        <w:kinsoku w:val="0"/>
        <w:wordWrap/>
        <w:overflowPunct/>
        <w:topLinePunct w:val="0"/>
        <w:autoSpaceDE w:val="0"/>
        <w:autoSpaceDN w:val="0"/>
        <w:bidi w:val="0"/>
        <w:adjustRightInd w:val="0"/>
        <w:snapToGrid w:val="0"/>
        <w:spacing w:before="0"/>
        <w:ind w:firstLine="468" w:firstLineChars="200"/>
        <w:textAlignment w:val="baseline"/>
        <w:rPr>
          <w:rFonts w:hint="eastAsia" w:ascii="宋体" w:hAnsi="宋体" w:eastAsia="宋体" w:cs="宋体"/>
          <w:snapToGrid w:val="0"/>
          <w:color w:val="000000"/>
          <w:spacing w:val="-3"/>
          <w:kern w:val="0"/>
          <w:sz w:val="24"/>
          <w:szCs w:val="30"/>
          <w:lang w:val="en-US" w:eastAsia="en-US" w:bidi="ar-SA"/>
        </w:rPr>
      </w:pPr>
      <w:r>
        <w:rPr>
          <w:rFonts w:hint="eastAsia" w:ascii="宋体" w:hAnsi="宋体" w:eastAsia="宋体" w:cs="宋体"/>
          <w:snapToGrid w:val="0"/>
          <w:color w:val="000000"/>
          <w:spacing w:val="-3"/>
          <w:kern w:val="0"/>
          <w:sz w:val="24"/>
          <w:szCs w:val="30"/>
          <w:lang w:val="en-US" w:eastAsia="en-US" w:bidi="ar-SA"/>
        </w:rPr>
        <w:t xml:space="preserve">4、资金来源： </w:t>
      </w:r>
      <w:r>
        <w:rPr>
          <w:rFonts w:hint="eastAsia" w:ascii="宋体" w:hAnsi="宋体" w:eastAsia="宋体" w:cs="宋体"/>
          <w:snapToGrid w:val="0"/>
          <w:color w:val="000000"/>
          <w:spacing w:val="-3"/>
          <w:kern w:val="0"/>
          <w:sz w:val="24"/>
          <w:szCs w:val="30"/>
          <w:lang w:val="en-US" w:eastAsia="zh-CN" w:bidi="ar-SA"/>
        </w:rPr>
        <w:t>融资</w:t>
      </w:r>
      <w:r>
        <w:rPr>
          <w:rFonts w:hint="eastAsia" w:ascii="宋体" w:hAnsi="宋体" w:eastAsia="宋体" w:cs="宋体"/>
          <w:snapToGrid w:val="0"/>
          <w:color w:val="000000"/>
          <w:spacing w:val="-3"/>
          <w:kern w:val="0"/>
          <w:sz w:val="24"/>
          <w:szCs w:val="30"/>
          <w:lang w:val="en-US" w:eastAsia="en-US" w:bidi="ar-SA"/>
        </w:rPr>
        <w:t>，现已落实。</w:t>
      </w:r>
    </w:p>
    <w:p>
      <w:pPr>
        <w:pStyle w:val="6"/>
        <w:keepNext w:val="0"/>
        <w:keepLines w:val="0"/>
        <w:pageBreakBefore w:val="0"/>
        <w:widowControl/>
        <w:kinsoku w:val="0"/>
        <w:wordWrap/>
        <w:overflowPunct/>
        <w:topLinePunct w:val="0"/>
        <w:autoSpaceDE w:val="0"/>
        <w:autoSpaceDN w:val="0"/>
        <w:bidi w:val="0"/>
        <w:adjustRightInd w:val="0"/>
        <w:snapToGrid w:val="0"/>
        <w:spacing w:before="0" w:line="240" w:lineRule="auto"/>
        <w:ind w:left="0" w:firstLine="468" w:firstLineChars="200"/>
        <w:jc w:val="left"/>
        <w:textAlignment w:val="baseline"/>
        <w:rPr>
          <w:rFonts w:hint="eastAsia" w:ascii="宋体" w:hAnsi="宋体" w:eastAsia="宋体" w:cs="宋体"/>
          <w:snapToGrid w:val="0"/>
          <w:color w:val="000000"/>
          <w:spacing w:val="-3"/>
          <w:kern w:val="0"/>
          <w:sz w:val="24"/>
          <w:szCs w:val="30"/>
          <w:lang w:val="en-US" w:eastAsia="en-US" w:bidi="ar-SA"/>
        </w:rPr>
      </w:pPr>
      <w:r>
        <w:rPr>
          <w:rFonts w:hint="eastAsia" w:ascii="宋体" w:hAnsi="宋体" w:eastAsia="宋体" w:cs="宋体"/>
          <w:snapToGrid w:val="0"/>
          <w:color w:val="000000"/>
          <w:spacing w:val="-3"/>
          <w:kern w:val="0"/>
          <w:sz w:val="24"/>
          <w:szCs w:val="30"/>
          <w:lang w:val="en-US" w:eastAsia="en-US" w:bidi="ar-SA"/>
        </w:rPr>
        <w:t>5、监理范围：监理人代表委托人负责本项目工程承包范围内的所有项目，在施工过程中工程量、工程规模调整或设计变更等均属本监理范围。控制工程建设的投资、建设工期、工程质量和安全文明施工，进行工程建设合同管理，协调有关单位的工作关系，工程相关的资料收集和归档，协助委托人办理与项目相关的手续、证照、批文等工作。</w:t>
      </w:r>
    </w:p>
    <w:p>
      <w:pPr>
        <w:pStyle w:val="7"/>
        <w:keepNext w:val="0"/>
        <w:keepLines w:val="0"/>
        <w:pageBreakBefore w:val="0"/>
        <w:widowControl w:val="0"/>
        <w:kinsoku/>
        <w:wordWrap/>
        <w:overflowPunct/>
        <w:topLinePunct w:val="0"/>
        <w:autoSpaceDE/>
        <w:autoSpaceDN/>
        <w:bidi w:val="0"/>
        <w:adjustRightInd/>
        <w:snapToGrid/>
        <w:spacing w:line="240" w:lineRule="auto"/>
        <w:ind w:left="0" w:firstLine="468" w:firstLineChars="200"/>
        <w:jc w:val="left"/>
        <w:textAlignment w:val="auto"/>
        <w:rPr>
          <w:rFonts w:hint="eastAsia" w:ascii="宋体" w:hAnsi="宋体" w:eastAsia="宋体" w:cs="宋体"/>
          <w:snapToGrid w:val="0"/>
          <w:color w:val="000000"/>
          <w:spacing w:val="-3"/>
          <w:kern w:val="0"/>
          <w:sz w:val="24"/>
          <w:szCs w:val="30"/>
          <w:lang w:val="en-US" w:eastAsia="en-US" w:bidi="ar-SA"/>
        </w:rPr>
      </w:pPr>
      <w:r>
        <w:rPr>
          <w:rFonts w:hint="eastAsia" w:ascii="宋体" w:hAnsi="宋体" w:eastAsia="宋体" w:cs="宋体"/>
          <w:snapToGrid w:val="0"/>
          <w:color w:val="000000"/>
          <w:spacing w:val="-3"/>
          <w:kern w:val="0"/>
          <w:sz w:val="24"/>
          <w:szCs w:val="30"/>
          <w:lang w:val="en-US" w:eastAsia="en-US" w:bidi="ar-SA"/>
        </w:rPr>
        <w:t>6、监理服务时间：本工程的监理服务时间以通知的开工日期及绝对工期为准(绝对工期</w:t>
      </w:r>
      <w:r>
        <w:rPr>
          <w:rFonts w:hint="eastAsia" w:ascii="宋体" w:hAnsi="宋体" w:eastAsia="宋体" w:cs="宋体"/>
          <w:snapToGrid w:val="0"/>
          <w:color w:val="000000"/>
          <w:spacing w:val="-3"/>
          <w:kern w:val="0"/>
          <w:sz w:val="24"/>
          <w:szCs w:val="30"/>
          <w:lang w:val="en-US" w:eastAsia="zh-CN" w:bidi="ar-SA"/>
        </w:rPr>
        <w:t>365</w:t>
      </w:r>
      <w:r>
        <w:rPr>
          <w:rFonts w:hint="eastAsia" w:ascii="宋体" w:hAnsi="宋体" w:eastAsia="宋体" w:cs="宋体"/>
          <w:snapToGrid w:val="0"/>
          <w:color w:val="000000"/>
          <w:spacing w:val="-3"/>
          <w:kern w:val="0"/>
          <w:sz w:val="24"/>
          <w:szCs w:val="30"/>
          <w:lang w:val="en-US" w:eastAsia="en-US" w:bidi="ar-SA"/>
        </w:rPr>
        <w:t>天)。</w:t>
      </w:r>
    </w:p>
    <w:p>
      <w:pPr>
        <w:pStyle w:val="7"/>
        <w:spacing w:before="82" w:line="219" w:lineRule="auto"/>
        <w:outlineLvl w:val="1"/>
        <w:rPr>
          <w:rFonts w:hint="eastAsia"/>
          <w:b/>
          <w:bCs/>
          <w:snapToGrid/>
          <w:color w:val="000000"/>
          <w:spacing w:val="-27"/>
          <w:w w:val="99"/>
          <w:kern w:val="2"/>
          <w:sz w:val="30"/>
          <w:szCs w:val="30"/>
          <w:lang w:val="en-US" w:eastAsia="zh-CN"/>
        </w:rPr>
      </w:pPr>
      <w:bookmarkStart w:id="8" w:name="_Toc13386"/>
      <w:bookmarkStart w:id="9" w:name="_Toc13968"/>
      <w:r>
        <w:rPr>
          <w:rFonts w:hint="eastAsia"/>
          <w:b/>
          <w:bCs/>
          <w:snapToGrid/>
          <w:color w:val="000000"/>
          <w:spacing w:val="-27"/>
          <w:w w:val="99"/>
          <w:kern w:val="2"/>
          <w:sz w:val="30"/>
          <w:szCs w:val="30"/>
          <w:lang w:val="en-US" w:eastAsia="zh-CN"/>
        </w:rPr>
        <w:t>一、编制依据</w:t>
      </w:r>
      <w:bookmarkEnd w:id="8"/>
      <w:bookmarkEnd w:id="9"/>
    </w:p>
    <w:p>
      <w:pPr>
        <w:pStyle w:val="5"/>
        <w:widowControl w:val="0"/>
        <w:tabs>
          <w:tab w:val="left" w:pos="1482"/>
        </w:tabs>
        <w:spacing w:line="360" w:lineRule="auto"/>
        <w:ind w:firstLine="0"/>
        <w:rPr>
          <w:rFonts w:ascii="宋体" w:hAnsi="宋体"/>
          <w:sz w:val="24"/>
          <w:szCs w:val="24"/>
        </w:rPr>
      </w:pPr>
      <w:r>
        <w:rPr>
          <w:rFonts w:hint="eastAsia" w:ascii="宋体" w:hAnsi="宋体"/>
          <w:sz w:val="24"/>
          <w:szCs w:val="24"/>
        </w:rPr>
        <w:t>1、2000-12国家技术监督局、中华人民共和国电力行业标准DL/T5434-20</w:t>
      </w:r>
      <w:r>
        <w:rPr>
          <w:rFonts w:hint="eastAsia" w:ascii="宋体" w:hAnsi="宋体"/>
          <w:sz w:val="24"/>
          <w:szCs w:val="24"/>
          <w:lang w:val="en-US" w:eastAsia="zh-CN"/>
        </w:rPr>
        <w:t>21</w:t>
      </w:r>
      <w:r>
        <w:rPr>
          <w:rFonts w:hint="eastAsia" w:ascii="宋体" w:hAnsi="宋体"/>
          <w:sz w:val="24"/>
          <w:szCs w:val="24"/>
        </w:rPr>
        <w:t>《电力建设工程监理规范》</w:t>
      </w:r>
    </w:p>
    <w:p>
      <w:pPr>
        <w:pStyle w:val="5"/>
        <w:widowControl w:val="0"/>
        <w:spacing w:line="360" w:lineRule="auto"/>
        <w:ind w:firstLine="0"/>
        <w:rPr>
          <w:rFonts w:ascii="宋体" w:hAnsi="宋体"/>
          <w:sz w:val="24"/>
          <w:szCs w:val="24"/>
        </w:rPr>
      </w:pPr>
      <w:r>
        <w:rPr>
          <w:rFonts w:hint="eastAsia" w:ascii="宋体" w:hAnsi="宋体"/>
          <w:sz w:val="24"/>
          <w:szCs w:val="24"/>
        </w:rPr>
        <w:t>2、2002-01-21国家电力公司发布实施《电力建设安全健康与环境管理工作规定》</w:t>
      </w:r>
    </w:p>
    <w:p>
      <w:pPr>
        <w:pStyle w:val="5"/>
        <w:widowControl w:val="0"/>
        <w:spacing w:line="360" w:lineRule="auto"/>
        <w:ind w:firstLine="0"/>
        <w:rPr>
          <w:rFonts w:ascii="宋体" w:hAnsi="宋体"/>
          <w:sz w:val="24"/>
          <w:szCs w:val="24"/>
        </w:rPr>
      </w:pPr>
      <w:r>
        <w:rPr>
          <w:rFonts w:hint="eastAsia" w:ascii="宋体" w:hAnsi="宋体"/>
          <w:sz w:val="24"/>
          <w:szCs w:val="24"/>
        </w:rPr>
        <w:t>3、2000-05-01国家电力公司发布实施《安全生产工作规定》</w:t>
      </w:r>
    </w:p>
    <w:p>
      <w:pPr>
        <w:pStyle w:val="5"/>
        <w:widowControl w:val="0"/>
        <w:spacing w:line="360" w:lineRule="auto"/>
        <w:ind w:firstLine="0"/>
        <w:rPr>
          <w:rFonts w:ascii="宋体" w:hAnsi="宋体"/>
          <w:sz w:val="24"/>
          <w:szCs w:val="24"/>
        </w:rPr>
      </w:pPr>
      <w:r>
        <w:rPr>
          <w:rFonts w:hint="eastAsia" w:ascii="宋体" w:hAnsi="宋体"/>
          <w:sz w:val="24"/>
          <w:szCs w:val="24"/>
        </w:rPr>
        <w:t>4、2001-01-01国家电力公司发布实施《电力生产事故调查规程》</w:t>
      </w:r>
    </w:p>
    <w:p>
      <w:pPr>
        <w:pStyle w:val="5"/>
        <w:widowControl w:val="0"/>
        <w:spacing w:line="360" w:lineRule="auto"/>
        <w:ind w:left="17" w:leftChars="8" w:firstLine="0"/>
        <w:rPr>
          <w:rFonts w:ascii="宋体" w:hAnsi="宋体"/>
          <w:sz w:val="24"/>
          <w:szCs w:val="24"/>
        </w:rPr>
      </w:pPr>
      <w:r>
        <w:rPr>
          <w:rFonts w:hint="eastAsia" w:ascii="宋体" w:hAnsi="宋体"/>
          <w:sz w:val="24"/>
          <w:szCs w:val="24"/>
        </w:rPr>
        <w:t>5、 2013-04-01国家能源局发布实施DL5009.2-201</w:t>
      </w:r>
      <w:r>
        <w:rPr>
          <w:rFonts w:hint="eastAsia" w:ascii="宋体" w:hAnsi="宋体"/>
          <w:sz w:val="24"/>
          <w:szCs w:val="24"/>
          <w:lang w:val="en-US" w:eastAsia="zh-CN"/>
        </w:rPr>
        <w:t>4</w:t>
      </w:r>
      <w:r>
        <w:rPr>
          <w:rFonts w:hint="eastAsia" w:ascii="宋体" w:hAnsi="宋体"/>
          <w:sz w:val="24"/>
          <w:szCs w:val="24"/>
        </w:rPr>
        <w:t>《电力建设安全工作规程第2部分(电力线路线电力行业标准)》</w:t>
      </w:r>
    </w:p>
    <w:p>
      <w:pPr>
        <w:spacing w:line="360" w:lineRule="auto"/>
        <w:rPr>
          <w:rFonts w:ascii="宋体" w:hAnsi="宋体"/>
          <w:sz w:val="24"/>
          <w:szCs w:val="24"/>
        </w:rPr>
      </w:pPr>
      <w:r>
        <w:rPr>
          <w:rFonts w:hint="eastAsia" w:ascii="宋体" w:hAnsi="宋体"/>
          <w:sz w:val="24"/>
          <w:szCs w:val="24"/>
        </w:rPr>
        <w:t xml:space="preserve">6、《中华人民共和国建筑法》 </w:t>
      </w:r>
      <w:r>
        <w:rPr>
          <w:rFonts w:hint="eastAsia" w:ascii="宋体" w:hAnsi="宋体"/>
          <w:sz w:val="24"/>
          <w:szCs w:val="24"/>
          <w:lang w:val="en-US" w:eastAsia="zh-CN"/>
        </w:rPr>
        <w:t>2019</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日中华人民共和国主席令</w:t>
      </w:r>
      <w:r>
        <w:rPr>
          <w:rFonts w:hint="eastAsia" w:ascii="宋体" w:hAnsi="宋体"/>
          <w:sz w:val="24"/>
          <w:szCs w:val="24"/>
          <w:lang w:eastAsia="zh-CN"/>
        </w:rPr>
        <w:t>第</w:t>
      </w:r>
      <w:r>
        <w:rPr>
          <w:rFonts w:hint="eastAsia" w:ascii="宋体" w:hAnsi="宋体"/>
          <w:sz w:val="24"/>
          <w:szCs w:val="24"/>
          <w:lang w:val="en-US" w:eastAsia="zh-CN"/>
        </w:rPr>
        <w:t>29</w:t>
      </w:r>
      <w:r>
        <w:rPr>
          <w:rFonts w:hint="eastAsia" w:ascii="宋体" w:hAnsi="宋体"/>
          <w:sz w:val="24"/>
          <w:szCs w:val="24"/>
        </w:rPr>
        <w:t>号公布， 自</w:t>
      </w:r>
      <w:r>
        <w:rPr>
          <w:rFonts w:hint="eastAsia" w:ascii="宋体" w:hAnsi="宋体"/>
          <w:sz w:val="24"/>
          <w:szCs w:val="24"/>
          <w:lang w:val="en-US" w:eastAsia="zh-CN"/>
        </w:rPr>
        <w:t>2019</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月1日起施行。</w:t>
      </w:r>
    </w:p>
    <w:p>
      <w:pPr>
        <w:spacing w:line="360" w:lineRule="auto"/>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、《中华人民共和国安全生产法》  中华人民共和国第</w:t>
      </w:r>
      <w:r>
        <w:rPr>
          <w:rFonts w:hint="eastAsia" w:ascii="宋体" w:hAnsi="宋体"/>
          <w:sz w:val="24"/>
          <w:szCs w:val="24"/>
          <w:lang w:eastAsia="zh-CN"/>
        </w:rPr>
        <w:t>十一</w:t>
      </w:r>
      <w:r>
        <w:rPr>
          <w:rFonts w:hint="eastAsia" w:ascii="宋体" w:hAnsi="宋体"/>
          <w:sz w:val="24"/>
          <w:szCs w:val="24"/>
        </w:rPr>
        <w:t>届全国人民代表大会常务委员会第二十</w:t>
      </w:r>
      <w:r>
        <w:rPr>
          <w:rFonts w:hint="eastAsia" w:ascii="宋体" w:hAnsi="宋体"/>
          <w:sz w:val="24"/>
          <w:szCs w:val="24"/>
          <w:lang w:eastAsia="zh-CN"/>
        </w:rPr>
        <w:t>九</w:t>
      </w:r>
      <w:r>
        <w:rPr>
          <w:rFonts w:hint="eastAsia" w:ascii="宋体" w:hAnsi="宋体"/>
          <w:sz w:val="24"/>
          <w:szCs w:val="24"/>
        </w:rPr>
        <w:t>次会议于20</w:t>
      </w:r>
      <w:r>
        <w:rPr>
          <w:rFonts w:hint="eastAsia" w:ascii="宋体" w:hAnsi="宋体"/>
          <w:sz w:val="24"/>
          <w:szCs w:val="24"/>
          <w:lang w:val="en-US" w:eastAsia="zh-CN"/>
        </w:rPr>
        <w:t>21</w:t>
      </w:r>
      <w:r>
        <w:rPr>
          <w:rFonts w:hint="eastAsia" w:ascii="宋体" w:hAnsi="宋体"/>
          <w:sz w:val="24"/>
          <w:szCs w:val="24"/>
        </w:rPr>
        <w:t>年6月</w:t>
      </w:r>
      <w:r>
        <w:rPr>
          <w:rFonts w:hint="eastAsia" w:ascii="宋体" w:hAnsi="宋体"/>
          <w:sz w:val="24"/>
          <w:szCs w:val="24"/>
          <w:lang w:val="en-US" w:eastAsia="zh-CN"/>
        </w:rPr>
        <w:t>10</w:t>
      </w:r>
      <w:r>
        <w:rPr>
          <w:rFonts w:hint="eastAsia" w:ascii="宋体" w:hAnsi="宋体"/>
          <w:sz w:val="24"/>
          <w:szCs w:val="24"/>
        </w:rPr>
        <w:t>日通过，现予公布，自20</w:t>
      </w:r>
      <w:r>
        <w:rPr>
          <w:rFonts w:hint="eastAsia" w:ascii="宋体" w:hAnsi="宋体"/>
          <w:sz w:val="24"/>
          <w:szCs w:val="24"/>
          <w:lang w:val="en-US" w:eastAsia="zh-CN"/>
        </w:rPr>
        <w:t>21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月1日起施行。</w:t>
      </w:r>
    </w:p>
    <w:p>
      <w:pPr>
        <w:spacing w:line="360" w:lineRule="auto"/>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、《建设工程安全生产管理条例》393号令  2003年11月12日国务院第28次常务会议通过，现予公布，自2004年2月1日起施行。</w:t>
      </w:r>
    </w:p>
    <w:p>
      <w:pPr>
        <w:spacing w:line="360" w:lineRule="auto"/>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、国家现行的工程建设的相关法律、法规、条例、行业规定及标准。</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、强制性标准：</w:t>
      </w:r>
    </w:p>
    <w:p>
      <w:pPr>
        <w:spacing w:line="360" w:lineRule="auto"/>
        <w:rPr>
          <w:rFonts w:ascii="宋体" w:hAnsi="宋体"/>
          <w:sz w:val="24"/>
          <w:szCs w:val="24"/>
        </w:rPr>
      </w:pPr>
      <w:r>
        <w:rPr>
          <w:rFonts w:hint="eastAsia" w:ascii="宋体" w:hAnsi="宋体"/>
          <w:sz w:val="24"/>
          <w:szCs w:val="24"/>
        </w:rPr>
        <w:t>《工程建设标准强制性条文》（电力工程部分 2011年版）；《工程建设标准强制性条文》（房屋建筑部分 2009年版）。</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、监理合同、监理规划</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、项目法人提供的本工程技术文件、资料。</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、工程施工组织设计。</w:t>
      </w:r>
    </w:p>
    <w:p>
      <w:pPr>
        <w:adjustRightInd w:val="0"/>
        <w:snapToGrid w:val="0"/>
        <w:spacing w:line="360" w:lineRule="auto"/>
        <w:jc w:val="left"/>
        <w:rPr>
          <w:rFonts w:ascii="宋体" w:hAnsi="宋体"/>
          <w:sz w:val="24"/>
          <w:szCs w:val="24"/>
        </w:rPr>
      </w:pPr>
      <w:r>
        <w:rPr>
          <w:rFonts w:hint="eastAsia" w:ascii="宋体" w:hAnsi="宋体"/>
          <w:sz w:val="24"/>
          <w:szCs w:val="24"/>
        </w:rPr>
        <w:t>以上法律法规和文件均使用国家和部门颁布的最新版本。</w:t>
      </w:r>
    </w:p>
    <w:p>
      <w:pPr>
        <w:pStyle w:val="7"/>
        <w:spacing w:before="82" w:line="219" w:lineRule="auto"/>
        <w:outlineLvl w:val="1"/>
        <w:rPr>
          <w:rFonts w:hint="eastAsia"/>
          <w:b/>
          <w:bCs/>
          <w:snapToGrid/>
          <w:color w:val="000000"/>
          <w:spacing w:val="-27"/>
          <w:w w:val="99"/>
          <w:kern w:val="2"/>
          <w:sz w:val="30"/>
          <w:szCs w:val="30"/>
          <w:lang w:val="en-US" w:eastAsia="zh-CN"/>
        </w:rPr>
      </w:pPr>
      <w:bookmarkStart w:id="10" w:name="_Toc20844"/>
      <w:bookmarkStart w:id="11" w:name="_Toc6008"/>
      <w:r>
        <w:rPr>
          <w:rFonts w:hint="eastAsia"/>
          <w:b/>
          <w:bCs/>
          <w:snapToGrid/>
          <w:color w:val="000000"/>
          <w:spacing w:val="-27"/>
          <w:w w:val="99"/>
          <w:kern w:val="2"/>
          <w:sz w:val="30"/>
          <w:szCs w:val="30"/>
          <w:lang w:val="en-US" w:eastAsia="zh-CN"/>
        </w:rPr>
        <w:t>二、 监理工作范围:</w:t>
      </w:r>
      <w:bookmarkEnd w:id="10"/>
      <w:bookmarkEnd w:id="11"/>
      <w:r>
        <w:rPr>
          <w:rFonts w:hint="eastAsia"/>
          <w:b/>
          <w:bCs/>
          <w:snapToGrid/>
          <w:color w:val="000000"/>
          <w:spacing w:val="-27"/>
          <w:w w:val="99"/>
          <w:kern w:val="2"/>
          <w:sz w:val="30"/>
          <w:szCs w:val="30"/>
          <w:lang w:val="en-US" w:eastAsia="zh-CN"/>
        </w:rPr>
        <w:t xml:space="preserve"> </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（1）协助委托人或施工单位办理工程施工中的有关手续。</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（2）工程施工阶段实施质量、进度、安全、投资目标控制，对信息与合同进行有效管理，协调工程各参建方之间的关系；</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（3）严格按法律、建设监理法规、监理合同、EPC总承包合同及监理规划的规定或约定，开展监理工作，监督控制总包单位严格按照合同及相关法律法规的规定施工，确保工程质量维护委托人权益；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（4）委派项目总监理工程师，并授予工程监理合同范围内的全部权限。</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（5）定期或不定期向委托人汇报工程质量、进度情况；</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参加工程质量事故的调查与处理；</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（7）督促施工单位及时办理工程竣工验收（并网验收）并交付使用。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（8）工程验收、报检、备案所需文件、资料的收集、整理、编制等工作。</w:t>
      </w:r>
    </w:p>
    <w:p>
      <w:pPr>
        <w:tabs>
          <w:tab w:val="left" w:pos="2160"/>
          <w:tab w:val="left" w:pos="3960"/>
          <w:tab w:val="left" w:pos="5400"/>
          <w:tab w:val="left" w:pos="6840"/>
        </w:tabs>
        <w:adjustRightInd w:val="0"/>
        <w:snapToGrid w:val="0"/>
        <w:spacing w:line="360" w:lineRule="auto"/>
        <w:rPr>
          <w:rFonts w:ascii="宋体" w:hAnsi="宋体"/>
          <w:b/>
          <w:sz w:val="24"/>
          <w:szCs w:val="24"/>
        </w:rPr>
      </w:pPr>
      <w:r>
        <w:rPr>
          <w:rFonts w:hint="eastAsia" w:ascii="宋体" w:hAnsi="宋体"/>
          <w:sz w:val="24"/>
          <w:szCs w:val="24"/>
        </w:rPr>
        <w:t>（9）委托人要求完成的其他合同内工作。</w:t>
      </w:r>
    </w:p>
    <w:p>
      <w:pPr>
        <w:pStyle w:val="7"/>
        <w:spacing w:before="82" w:line="219" w:lineRule="auto"/>
        <w:outlineLvl w:val="1"/>
        <w:rPr>
          <w:rFonts w:hint="eastAsia"/>
          <w:b/>
          <w:bCs/>
          <w:snapToGrid/>
          <w:color w:val="000000"/>
          <w:spacing w:val="-27"/>
          <w:w w:val="99"/>
          <w:kern w:val="2"/>
          <w:sz w:val="30"/>
          <w:szCs w:val="30"/>
          <w:lang w:val="en-US" w:eastAsia="zh-CN"/>
        </w:rPr>
      </w:pPr>
      <w:bookmarkStart w:id="12" w:name="_Toc22928"/>
      <w:bookmarkStart w:id="13" w:name="_Toc14489"/>
      <w:r>
        <w:rPr>
          <w:rFonts w:hint="eastAsia"/>
          <w:b/>
          <w:bCs/>
          <w:snapToGrid/>
          <w:color w:val="000000"/>
          <w:spacing w:val="-27"/>
          <w:w w:val="99"/>
          <w:kern w:val="2"/>
          <w:sz w:val="30"/>
          <w:szCs w:val="30"/>
          <w:lang w:val="en-US" w:eastAsia="zh-CN"/>
        </w:rPr>
        <w:t>三、监理工作流程：</w:t>
      </w:r>
      <w:bookmarkEnd w:id="12"/>
      <w:bookmarkEnd w:id="13"/>
    </w:p>
    <w:p>
      <w:pPr>
        <w:tabs>
          <w:tab w:val="left" w:pos="2160"/>
          <w:tab w:val="left" w:pos="3960"/>
          <w:tab w:val="left" w:pos="5400"/>
          <w:tab w:val="left" w:pos="6840"/>
        </w:tabs>
        <w:adjustRightInd w:val="0"/>
        <w:snapToGrid w:val="0"/>
        <w:spacing w:line="360" w:lineRule="auto"/>
        <w:ind w:firstLine="570"/>
        <w:rPr>
          <w:rFonts w:ascii="宋体" w:hAnsi="宋体"/>
          <w:b/>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pPr>
        <w:pStyle w:val="7"/>
        <w:spacing w:before="82" w:line="219" w:lineRule="auto"/>
        <w:outlineLvl w:val="1"/>
        <w:rPr>
          <w:rFonts w:hint="eastAsia"/>
          <w:b/>
          <w:bCs/>
          <w:snapToGrid/>
          <w:color w:val="000000"/>
          <w:spacing w:val="-27"/>
          <w:w w:val="99"/>
          <w:kern w:val="2"/>
          <w:sz w:val="30"/>
          <w:szCs w:val="30"/>
          <w:lang w:val="en-US" w:eastAsia="zh-CN"/>
        </w:rPr>
      </w:pPr>
      <w:bookmarkStart w:id="14" w:name="_Toc20697"/>
      <w:bookmarkStart w:id="15" w:name="_Toc730"/>
      <w:r>
        <w:rPr>
          <w:rFonts w:hint="eastAsia"/>
          <w:b/>
          <w:bCs/>
          <w:snapToGrid/>
          <w:color w:val="000000"/>
          <w:spacing w:val="-27"/>
          <w:w w:val="99"/>
          <w:kern w:val="2"/>
          <w:sz w:val="30"/>
          <w:szCs w:val="30"/>
          <w:lang w:val="en-US" w:eastAsia="zh-CN"/>
        </w:rPr>
        <w:t>四、控制目标：</w:t>
      </w:r>
      <w:bookmarkEnd w:id="14"/>
      <w:bookmarkEnd w:id="15"/>
    </w:p>
    <w:p>
      <w:pPr>
        <w:adjustRightInd w:val="0"/>
        <w:snapToGrid w:val="0"/>
        <w:spacing w:line="360" w:lineRule="auto"/>
        <w:outlineLvl w:val="1"/>
        <w:rPr>
          <w:rFonts w:ascii="宋体" w:hAnsi="宋体"/>
          <w:b/>
          <w:sz w:val="24"/>
          <w:szCs w:val="24"/>
        </w:rPr>
      </w:pPr>
      <w:bookmarkStart w:id="16" w:name="_Toc25274"/>
      <w:bookmarkStart w:id="17" w:name="_Toc32303"/>
      <w:r>
        <w:rPr>
          <w:rFonts w:hint="eastAsia" w:ascii="宋体" w:hAnsi="宋体"/>
          <w:b/>
          <w:sz w:val="24"/>
          <w:szCs w:val="24"/>
        </w:rPr>
        <w:t>1、控制目标：</w:t>
      </w:r>
      <w:bookmarkEnd w:id="16"/>
      <w:bookmarkEnd w:id="17"/>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杜绝重大人身伤亡和重大职业卫生伤害事故；</w:t>
      </w:r>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不发生重大火灾事故；</w:t>
      </w:r>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不发生本单位负主责的重大及以上交通事故；</w:t>
      </w:r>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不发生重大施工机械及设备事故和重大坍塌事故；</w:t>
      </w:r>
    </w:p>
    <w:p>
      <w:pPr>
        <w:numPr>
          <w:ilvl w:val="2"/>
          <w:numId w:val="2"/>
        </w:numPr>
        <w:adjustRightInd w:val="0"/>
        <w:snapToGrid w:val="0"/>
        <w:spacing w:line="360" w:lineRule="auto"/>
        <w:rPr>
          <w:rFonts w:ascii="宋体" w:hAnsi="宋体"/>
          <w:sz w:val="24"/>
          <w:szCs w:val="24"/>
        </w:rPr>
      </w:pPr>
      <w:r>
        <w:rPr>
          <w:rFonts w:hint="eastAsia" w:ascii="宋体" w:hAnsi="宋体"/>
          <w:sz w:val="24"/>
          <w:szCs w:val="24"/>
        </w:rPr>
        <w:t>不发生恶性未遂和恶性误操作事故；</w:t>
      </w:r>
    </w:p>
    <w:p>
      <w:pPr>
        <w:numPr>
          <w:ilvl w:val="2"/>
          <w:numId w:val="2"/>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无人身伤亡，力争无重伤事故，重伤事故率≤1‰，轻伤事故率≤5‰。</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安全、文明施工是体现工程建设综合管理水平的重要课题，关系着国家和人民的生命财产安全。文明施工与安全管理，经常由于各种被参与工程建设的各方疏忽，从而导致质量和安全事故，对工程建设造成不良影响。</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为了保证工程顺利完建并顺利达标投产，我们将对文明施工和安全进行科学有效的管理，建立健全文明施工与安全保证体系，在总监理工程师领导下，设立专职安全监理工程师进行管理。</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8" w:name="_Toc12693"/>
      <w:bookmarkStart w:id="19" w:name="_Toc29844"/>
      <w:r>
        <w:rPr>
          <w:rFonts w:hint="eastAsia" w:ascii="宋体" w:hAnsi="宋体"/>
          <w:b/>
          <w:sz w:val="24"/>
          <w:szCs w:val="24"/>
        </w:rPr>
        <w:t>2、控制要点：</w:t>
      </w:r>
      <w:bookmarkEnd w:id="18"/>
      <w:bookmarkEnd w:id="19"/>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1）、安全技术措施监理工作的主要内容</w:t>
      </w:r>
    </w:p>
    <w:p>
      <w:pPr>
        <w:spacing w:line="360" w:lineRule="auto"/>
        <w:rPr>
          <w:rFonts w:ascii="宋体" w:hAnsi="宋体"/>
          <w:sz w:val="24"/>
          <w:szCs w:val="24"/>
        </w:rPr>
      </w:pPr>
      <w:r>
        <w:rPr>
          <w:rFonts w:hint="eastAsia" w:ascii="宋体" w:hAnsi="宋体"/>
          <w:sz w:val="24"/>
          <w:szCs w:val="24"/>
        </w:rPr>
        <w:t>2）、本工程制定的进入施工现场安全规定。</w:t>
      </w:r>
    </w:p>
    <w:p>
      <w:pPr>
        <w:spacing w:line="360" w:lineRule="auto"/>
        <w:rPr>
          <w:rFonts w:ascii="宋体" w:hAnsi="宋体"/>
          <w:sz w:val="24"/>
          <w:szCs w:val="24"/>
        </w:rPr>
      </w:pPr>
      <w:r>
        <w:rPr>
          <w:rFonts w:hint="eastAsia" w:ascii="宋体" w:hAnsi="宋体"/>
          <w:sz w:val="24"/>
          <w:szCs w:val="24"/>
        </w:rPr>
        <w:t>3）、脚手架搭设方案和安全防护措施。</w:t>
      </w:r>
    </w:p>
    <w:p>
      <w:pPr>
        <w:spacing w:line="360" w:lineRule="auto"/>
        <w:rPr>
          <w:rFonts w:ascii="宋体" w:hAnsi="宋体"/>
          <w:sz w:val="24"/>
          <w:szCs w:val="24"/>
        </w:rPr>
      </w:pPr>
      <w:r>
        <w:rPr>
          <w:rFonts w:hint="eastAsia" w:ascii="宋体" w:hAnsi="宋体"/>
          <w:sz w:val="24"/>
          <w:szCs w:val="24"/>
        </w:rPr>
        <w:t>4)、高处作业的上下通道及防护措施。</w:t>
      </w:r>
    </w:p>
    <w:p>
      <w:pPr>
        <w:spacing w:line="360" w:lineRule="auto"/>
        <w:rPr>
          <w:rFonts w:ascii="宋体" w:hAnsi="宋体"/>
          <w:sz w:val="24"/>
          <w:szCs w:val="24"/>
        </w:rPr>
      </w:pPr>
      <w:r>
        <w:rPr>
          <w:rFonts w:hint="eastAsia" w:ascii="宋体" w:hAnsi="宋体"/>
          <w:sz w:val="24"/>
          <w:szCs w:val="24"/>
        </w:rPr>
        <w:t>5)、安全网（平网、立网）架设要求范围（保护区域）架设层次、段落。</w:t>
      </w:r>
    </w:p>
    <w:p>
      <w:pPr>
        <w:spacing w:line="360" w:lineRule="auto"/>
        <w:rPr>
          <w:rFonts w:ascii="宋体" w:hAnsi="宋体"/>
          <w:sz w:val="24"/>
          <w:szCs w:val="24"/>
        </w:rPr>
      </w:pPr>
      <w:r>
        <w:rPr>
          <w:rFonts w:hint="eastAsia" w:ascii="宋体" w:hAnsi="宋体"/>
          <w:sz w:val="24"/>
          <w:szCs w:val="24"/>
        </w:rPr>
        <w:t>6)、对设备二次倒运的道路及车辆安全装置等的要求和措施。</w:t>
      </w:r>
    </w:p>
    <w:p>
      <w:pPr>
        <w:spacing w:line="360" w:lineRule="auto"/>
        <w:rPr>
          <w:rFonts w:ascii="宋体" w:hAnsi="宋体"/>
          <w:sz w:val="24"/>
          <w:szCs w:val="24"/>
        </w:rPr>
      </w:pPr>
      <w:r>
        <w:rPr>
          <w:rFonts w:hint="eastAsia" w:ascii="宋体" w:hAnsi="宋体"/>
          <w:sz w:val="24"/>
          <w:szCs w:val="24"/>
        </w:rPr>
        <w:t>7)、施工洞口及临时的防护方法和立体交叉施工作业区的隔离措施。</w:t>
      </w:r>
    </w:p>
    <w:p>
      <w:pPr>
        <w:spacing w:line="360" w:lineRule="auto"/>
        <w:rPr>
          <w:rFonts w:ascii="宋体" w:hAnsi="宋体"/>
          <w:sz w:val="24"/>
          <w:szCs w:val="24"/>
        </w:rPr>
      </w:pPr>
      <w:r>
        <w:rPr>
          <w:rFonts w:hint="eastAsia" w:ascii="宋体" w:hAnsi="宋体"/>
          <w:sz w:val="24"/>
          <w:szCs w:val="24"/>
        </w:rPr>
        <w:t>8）、场内通道及行人道路的布置。</w:t>
      </w:r>
    </w:p>
    <w:p>
      <w:pPr>
        <w:spacing w:line="360" w:lineRule="auto"/>
        <w:rPr>
          <w:rFonts w:ascii="宋体" w:hAnsi="宋体"/>
          <w:sz w:val="24"/>
          <w:szCs w:val="24"/>
        </w:rPr>
      </w:pPr>
      <w:r>
        <w:rPr>
          <w:rFonts w:hint="eastAsia" w:ascii="宋体" w:hAnsi="宋体"/>
          <w:sz w:val="24"/>
          <w:szCs w:val="24"/>
        </w:rPr>
        <w:t>9）、临时施工用电组织设计。</w:t>
      </w:r>
    </w:p>
    <w:p>
      <w:pPr>
        <w:spacing w:line="360" w:lineRule="auto"/>
        <w:rPr>
          <w:rFonts w:ascii="宋体" w:hAnsi="宋体"/>
          <w:sz w:val="24"/>
          <w:szCs w:val="24"/>
        </w:rPr>
      </w:pPr>
      <w:r>
        <w:rPr>
          <w:rFonts w:hint="eastAsia" w:ascii="宋体" w:hAnsi="宋体"/>
          <w:sz w:val="24"/>
          <w:szCs w:val="24"/>
        </w:rPr>
        <w:t>10）、对各类起重机械及中小型机具使用的安全，重点对设备防风、防雷措施及安全装置使用情况进行检查。</w:t>
      </w:r>
    </w:p>
    <w:p>
      <w:pPr>
        <w:spacing w:line="360" w:lineRule="auto"/>
        <w:rPr>
          <w:rFonts w:ascii="宋体" w:hAnsi="宋体"/>
          <w:sz w:val="24"/>
          <w:szCs w:val="24"/>
        </w:rPr>
      </w:pPr>
      <w:r>
        <w:rPr>
          <w:rFonts w:hint="eastAsia" w:ascii="宋体" w:hAnsi="宋体"/>
          <w:sz w:val="24"/>
          <w:szCs w:val="24"/>
        </w:rPr>
        <w:t>11）、对各类模板的安装与拆除作业安全措施。</w:t>
      </w:r>
    </w:p>
    <w:p>
      <w:pPr>
        <w:spacing w:line="360" w:lineRule="auto"/>
        <w:rPr>
          <w:rFonts w:ascii="宋体" w:hAnsi="宋体"/>
          <w:sz w:val="24"/>
          <w:szCs w:val="24"/>
        </w:rPr>
      </w:pPr>
      <w:r>
        <w:rPr>
          <w:rFonts w:hint="eastAsia" w:ascii="宋体" w:hAnsi="宋体"/>
          <w:sz w:val="24"/>
          <w:szCs w:val="24"/>
        </w:rPr>
        <w:t>12)、防火、防毒、防爆、防雷等安全措施。</w:t>
      </w:r>
    </w:p>
    <w:p>
      <w:pPr>
        <w:autoSpaceDE w:val="0"/>
        <w:autoSpaceDN w:val="0"/>
        <w:adjustRightInd w:val="0"/>
        <w:jc w:val="left"/>
        <w:rPr>
          <w:rFonts w:ascii="宋体" w:hAnsi="宋体"/>
          <w:sz w:val="24"/>
          <w:szCs w:val="24"/>
        </w:rPr>
      </w:pPr>
      <w:r>
        <w:rPr>
          <w:rFonts w:hint="eastAsia" w:ascii="宋体" w:hAnsi="宋体"/>
          <w:sz w:val="24"/>
          <w:szCs w:val="24"/>
        </w:rPr>
        <w:t>13)、对设备倒运、大垮度结构、高支模体系、各种特殊脚手架作业的拆除工程等。</w:t>
      </w:r>
    </w:p>
    <w:p>
      <w:pPr>
        <w:autoSpaceDE w:val="0"/>
        <w:autoSpaceDN w:val="0"/>
        <w:adjustRightInd w:val="0"/>
        <w:jc w:val="left"/>
        <w:rPr>
          <w:rFonts w:ascii="宋体" w:cs="宋体"/>
          <w:kern w:val="0"/>
          <w:sz w:val="24"/>
          <w:szCs w:val="24"/>
        </w:rPr>
      </w:pPr>
      <w:r>
        <w:rPr>
          <w:rFonts w:hint="eastAsia" w:ascii="宋体" w:hAnsi="宋体"/>
          <w:sz w:val="24"/>
          <w:szCs w:val="24"/>
        </w:rPr>
        <w:t>14）受限空间作业安全技术措施：</w:t>
      </w:r>
      <w:r>
        <w:rPr>
          <w:rFonts w:hint="eastAsia" w:ascii="宋体" w:cs="宋体"/>
          <w:kern w:val="0"/>
          <w:sz w:val="24"/>
          <w:szCs w:val="24"/>
        </w:rPr>
        <w:t>指在基坑、下水道、管沟、等存在进出限制的空间内进行的作业。</w:t>
      </w:r>
    </w:p>
    <w:p>
      <w:pPr>
        <w:spacing w:line="360" w:lineRule="auto"/>
        <w:rPr>
          <w:rFonts w:ascii="宋体" w:hAnsi="宋体"/>
          <w:b/>
          <w:color w:val="000000"/>
          <w:sz w:val="24"/>
          <w:szCs w:val="24"/>
        </w:rPr>
      </w:pPr>
      <w:r>
        <w:rPr>
          <w:rFonts w:hint="eastAsia" w:ascii="宋体" w:hAnsi="宋体"/>
          <w:sz w:val="24"/>
          <w:szCs w:val="24"/>
        </w:rPr>
        <w:t>15)、季节性施工安全技术措施。（雨季施工、夏季施工、冬季施工）</w:t>
      </w:r>
    </w:p>
    <w:p>
      <w:pPr>
        <w:spacing w:line="360" w:lineRule="auto"/>
        <w:outlineLvl w:val="0"/>
        <w:rPr>
          <w:rFonts w:ascii="宋体" w:hAnsi="宋体"/>
          <w:b/>
          <w:color w:val="000000"/>
          <w:sz w:val="24"/>
          <w:szCs w:val="24"/>
        </w:rPr>
      </w:pPr>
      <w:bookmarkStart w:id="20" w:name="_Toc7298"/>
      <w:bookmarkStart w:id="21" w:name="_Toc19493"/>
      <w:r>
        <w:rPr>
          <w:rFonts w:hint="eastAsia" w:ascii="宋体" w:hAnsi="宋体"/>
          <w:b/>
          <w:color w:val="000000"/>
          <w:sz w:val="24"/>
          <w:szCs w:val="24"/>
          <w:lang w:val="en-US" w:eastAsia="zh-CN"/>
        </w:rPr>
        <w:t>五</w:t>
      </w:r>
      <w:r>
        <w:rPr>
          <w:rFonts w:hint="eastAsia" w:ascii="宋体" w:hAnsi="宋体"/>
          <w:b/>
          <w:color w:val="000000"/>
          <w:sz w:val="24"/>
          <w:szCs w:val="24"/>
        </w:rPr>
        <w:t>、监理工作方法和措施：</w:t>
      </w:r>
      <w:bookmarkEnd w:id="20"/>
      <w:bookmarkEnd w:id="21"/>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2" w:name="_Toc12126"/>
      <w:bookmarkStart w:id="23" w:name="_Toc12406"/>
      <w:r>
        <w:rPr>
          <w:rFonts w:hint="eastAsia" w:ascii="宋体" w:hAnsi="宋体"/>
          <w:b/>
          <w:sz w:val="24"/>
          <w:szCs w:val="24"/>
        </w:rPr>
        <w:t>1、总则：</w:t>
      </w:r>
      <w:bookmarkEnd w:id="22"/>
      <w:bookmarkEnd w:id="23"/>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按国家《安全生产法》以及电力系统安全文明生产的要求，树立“安全第一，预防为主”的思想，加强危险源管理、风险管理和事故预防，做好工程建设全过程中的安全监理工作，建立健全工程系统安全组织网络和安全管理制度，明确各单位、各级安全管理人员的职责，严格执行安全监理工作流程，从“人、机、环”三个方面实行全方位的安全、环境、职业健康的控制，对施工安全实施事前、事中和事后全过程的控制，确保实现安全控制目标。</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建立健全安全管理组织网络</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根据中华人民共和国《安全生产法》有关规定，以及原国家电力公司《安全生产工作规定》和《电力建设安全健康与环境管理工作规定》，协助项目法人成立“电厂安全生产委员会”；“安委会”统一指挥和领导工程施工安全管理工作，决定和协调解决施工中出现的安全问题。各级管理机构和施工单位的第一负责人为本单位安全第一责任人。</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各施工单位建立健全安全组织机构，配齐专职安全管理人员，实现三级安全网。施工企业（公司或项目部）必须设立安全监督机构，分公司（施工专业队）应设专职安全员，施工班组应有兼职安全员。</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单位健全自身的安全体系，公司设立安全监督机构加强对项目监理部的管理；项目监理部配备专职安全监理工程师，形成以公司总经理、总监、专职安全监理工程师和专业监理工程师、监理员组成的安全监理网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建立健全安全管理制度</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检查施工单位安全文明施工管理制度和有关规定，并督促有关人员落实安全生产责任制。</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各施工单位必须制订切实有效的安全文明施工管理制度和规定，用制度和规定达到约束和限制的目的。特别强调的是督促施工单位制订安全奖罚实施细则，并监督其实行。</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明确和落实各级管理人员安全文明施工责任制，有关人员职责要制订上墙，便于经常对照检查，执行落实。</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划分安全文明施工责任区域，责任区的界限和责任单位要清晰明确，标牌显示，落实到人。工程前期以土建为主，后期则以安装为主，但各时期各施工单位仍有自己的责任区域，并要注重监控调试及试生产阶段的安全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明确各级安全管理人员的职责</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级安监人员应职责明确，落实到位。专职安监人员应把主要精力放在安全文明施工的管理工作中，要立足现场，随时掌握安全文明施工的动态和情况，及时处理突发事件，把事故苗头消除在萌芽状态。班组兼职安全员要在班前会、施工中及时提出、控制和解决安全文明施工问题，真正发挥出三级安全管理的作用。</w:t>
      </w:r>
    </w:p>
    <w:p>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部人员要和各级管理人员一样，高标准、严要求，不断提高安全意识和管理水平，以身作则，做好自身的安全防护和遵章守纪工作；并严格履行监理的监督管理职责，加强预控和施工过程的检查，严格按计划的监控点进行旁站、巡视和检查，检查和审核各项施工方案中的安全文明施工措施，审核各施工单位安全月报表、特殊工种资格证件、安全作业票和各施工单位制订的安全文明管理制度和有关规定；并建立健全安全监督管理台账，做好安全监理日志，认真研究施工安全问题，重大问题记录在案，必要时逐级向上汇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严格执行安全监理工作流程</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定期开展安全活动,组织安全大检查</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根据安委会的安排，每月召开一次安全专题会议，形成例会制度。组织施工单位专职安全管理人员，总结检查前一段工作，制订下一阶段安全工作计划，认真分析、研究、处理目前施工中存在的不安全因素。</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对安全文明检查中发现的问题及时下发整改通知单，责令有关单位限期限量整改，并根据反馈情况进行复查和验收。</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定期开展安全检查评优活动，督促奖惩制度的落实。</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加强安全文明施工的宣传教育，实行考核上岗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加大安全文明施工的宣传教育力度，督促和检查施工单位对所有施工人员（包括管理人员）进行三级安全教育，考核合格后方可上岗。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督促和检查施工单位在施工现场进行的形象化宣传、标语宣传、黑板报宣传、图片展览等宣传活动，使安全文明施工深入人心，成为施工人员的自学行动。</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开展安全文明施工的评比竞赛活动，以阶段性施工和责任区域安全文明状况作为评比和竞赛条件，将评比结果上报，公布与众。</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利用照相器材拍摄安全文明施工方面的典型范例，进行宣传报道，学习推广。</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4" w:name="_Toc14696"/>
      <w:bookmarkStart w:id="25" w:name="_Toc9425"/>
      <w:r>
        <w:rPr>
          <w:rFonts w:hint="eastAsia" w:ascii="宋体" w:hAnsi="宋体"/>
          <w:b/>
          <w:sz w:val="24"/>
          <w:szCs w:val="24"/>
        </w:rPr>
        <w:t>2、安全管理主要内容</w:t>
      </w:r>
      <w:bookmarkEnd w:id="24"/>
      <w:bookmarkEnd w:id="25"/>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贯彻预防为主的方针，保护工程建设人员的人身安全、健康和国家财产的安全，安全管理的主要工作内容如下：</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根据业主的要求，审查总承包单位和分包单位近三年的安全施工记录、安全监察机构是否健全、本部和现场配置的安全监察人员数量和素质是否能满足工程要求，提出监理意见报送业主。</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检查施工合同的安全协议是否符合当地劳动部门的规定和工程的实际要求，安全协议不符合要求者不得开工。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协助业主制定施工现场安全管理制度和安全文明施工奖惩制度，组建现场“安全生产委员会”，建立健全安全保证体系。按照批准的施工总平面布置，督促施工承包商进行现场检查，并定期进行安全大检查，使现场的安全文明施工和消防管理始终处于受控状态。</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在工程开工前，监理工程师应督促施工承包商制订并落实施工安全措施，建立安全管理机构，检查安全人员配备是否足够、合理，设施是否齐全。参与审查重大技术方案的安全措施，审查施工单位提交的施工组织设计、重大施工方案是否包含安全措施，检查其中有无不安全的施工程序和方法，研究其预计的安全设施和安全措施的可行性及存在的问题，如经审查不满足安全要求，则对报告不予批准，直至改进后各方面满足要求为止。</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按业主授权与施工承包商签订安全施工责任书，并在开工后以及每个单项工程开始前检查施工安全措施的落实情况，施工安全措施不落实的监理工程师不得签署开工指令。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监督检查施工单位是否建立健全了安全生产责任制和安全生产教育培训制度。施工承包商必须执行国家有关安全生产和劳动保护的法律法规，建立安全生产责任制，加强规范化管理，进行安全交底、安全教育和安全宣传，严格执行安全技术方案。施工现场的各种安全设施和劳动保护机具，必须定期检查和维护，及时消除隐患，保证其安全有效。</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监理工程师将要求施工承包商针对易燃易爆危险品事先做出或采取所有必要的安全预防措施，并应遵守与易燃易爆危险品有关的法律规定。</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在工程进展过程中，监理工程师应随时对施工承包商的安全措施进行检查，发现影响安全施工的违章行为及时口头进行纠正，对屡教不改或情节严重者发出书面警告，直至下达停工令。对检查发现的安全隐患应督促施工承包商限期整改，否则予以停工或禁止开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总平面管理</w:t>
      </w:r>
    </w:p>
    <w:p>
      <w:pPr>
        <w:numPr>
          <w:ilvl w:val="0"/>
          <w:numId w:val="3"/>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.施工进度安排应先地下后地上，保持施工道路通畅。</w:t>
      </w:r>
    </w:p>
    <w:p>
      <w:pPr>
        <w:numPr>
          <w:ilvl w:val="0"/>
          <w:numId w:val="3"/>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.按照批准的施工总平面布置进行现场检查，督促做好施工用电、用水、临时照明、施工道路维护，使现场的安全文明施工、防火管理处于受控状态。</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 如果合同文件规定施工承包商必须对其进入工地的设备和人员进行保险，监理工程师还应对其检查和审核。由于工程进行中不断有设备进入工地，同时劳务人员和职员的人数也在变化，还应经常地、不定期地对施工承包商的保险工作进行检查，对没有及时保险的项目，应指示施工承包商及时保险。</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 督促检查施工单位制订防止高处坠落和触电安全措施并监督实施。在施工安排时尽量减少多层次交叉作业；涉及有毒、有害、设备及构件运输吊装等都应实行逐级报审后并派专人进行监护，设立安全警戒区。</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 监理工程师应与施工承包商定期或不定期进行会晤，及时对安全工作进行分析、评估和评价，从中发现的问题和不足之处，对施工承包商提出整改要求，并进行检查其落实情况，发现玩忽职守、不称职的人员，有权要求施工承包商予以解雇；现场发现严重的违章指挥、违章作业和安全装置不全时，立即发出停工通知，并向业主报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 根据业主的要求，会同施工承包商开展现场安全检查活动，监督施工承包商对查出有关安全设施、安全隐患、安全措施等问题进行限期整改。</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 在雷雨、汛期、冬期到来前，督促施工承包商及时制定相应的防范措施及特殊施工措施，并按规定进行检查措施落实情况。</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15) 参与事故调查分析，提出监理意见。督促检查反事故措施的贯彻执行，实行闭环控制。在施工过程中出现人身伤亡或财产严重损失等重大安全事故时，监理工程师应立即下令停止相关部位的施工活动，书面通知施工承包商按照事故报告的程序立即通知安全监督主管部门和业主，并配合有关部门对事故进行调查和处理。只有在获得安全监督主管部门的同意之后，监理工程师</w:t>
      </w:r>
      <w:r>
        <w:rPr>
          <w:rFonts w:hint="eastAsia" w:ascii="宋体" w:hAnsi="宋体"/>
          <w:color w:val="000000"/>
          <w:sz w:val="24"/>
          <w:szCs w:val="24"/>
        </w:rPr>
        <w:t>方</w:t>
      </w:r>
      <w:r>
        <w:rPr>
          <w:rFonts w:hint="eastAsia" w:ascii="宋体" w:hAnsi="宋体"/>
          <w:sz w:val="24"/>
          <w:szCs w:val="24"/>
        </w:rPr>
        <w:t>可下达复工指令。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 监理工程师应及时按月或季度进行安全总结工作，并向上级部门汇报，重大事故应立即汇报。认真传达落实上级部门对安全工作的指示文件和精神，按照内部的劳动保护和安全保障的法规，管理好监理工程师内部的安全工作，组织培训和教育内部人员树立安全观念，增强安全意识，避免监理工程师自身发生安全事故。</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 施工承包商应当严格按照《中华人民共和国消防条例》的规定，在施工现场建立和执行防火管理制度，设置符合消防要求的消防设施，并保持完好的备用状态，在容易发生火灾的地区施工或者储存、使用易燃易爆器材时，应当采取特殊的消防安全措施。</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18) 系统、设备分部试运和整套启动前，按照启规的要求，参与检查现场通道、照明、安全设施是否符合要求，签署监理意见。</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6" w:name="_Toc23254"/>
      <w:bookmarkStart w:id="27" w:name="_Toc31949"/>
      <w:r>
        <w:rPr>
          <w:rFonts w:hint="eastAsia" w:ascii="宋体" w:hAnsi="宋体"/>
          <w:b/>
          <w:sz w:val="24"/>
          <w:szCs w:val="24"/>
        </w:rPr>
        <w:t>3、安全的事前控制</w:t>
      </w:r>
      <w:bookmarkEnd w:id="26"/>
      <w:bookmarkEnd w:id="27"/>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坚持“安全第一，预防为主”的方针，坚持“三不”措施：无安全措施不施工，隐患不排除不施工，无安全条件不施工。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检查和审核各项施工方案中的安全施工措施</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任何施工项目施工前必须制订切实可行的安全施工方案和安全技术措施，经过监工程师批准实施。施工方案应对可能涉及到的安全问题提出预防措施，重要的施工项目应办理施工作业票；召开交底会，科学有效地做好事故的预测、预防、预控工作。</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对重要且危险性较大的高空作业、特殊作业等，事前必须审查安全施工方案和安全技术措施，参加交底会并监督实施。交底会应做好签字、记录工作。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检查施工人员</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人员必须经过三级安全教育，强化站班会制度落实到位，各班组要对当天的作业环境及危险因素贯彻到每位作业人员，让每位施工人员能正确了解和熟悉施工工序，保持施工人员身体健康，无高血压、心脏病、癫痫病或高度近视。严禁酒后上班。</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特殊专业施工人员必须经过专业培训，具有专业资格证。电工、焊接、起重、架子工、机械操作工、机动车驾驶员等，严禁无证操作。</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检查施工设备和材料</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所有施工机械设备（各种吊车、机动车、挖掘机等）和电气设备、工器具等应工况良好，运转正常，操作方便，使用安全。各零部件和安全装置完好无损，施工原材料报验合格后方准予使用。</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检查施工现场</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(1).现场布置和环境健康</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施工现场规划布置是否整齐、规范、实用。施工场地是否平整、排水畅通、无坑洼、积水或废置物品、垃圾等。施工现场坑井、土石方开挖区、陡坡、高压带电设备等危险场所应有防护围栏、盖板及明显标志。</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现场施工用电应布置合理、防护可靠、安全使用。现场应配备足够的消防设施、并有专人管理和维护。现场应采用集中式照明，满足夜间通行和施工的要求。</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设备材料的堆放应整齐、规范，并有标识。防雨、防风、防火的设备材料应有安全的保护措施。办公室、工具间、工棚及有关工作场所应整洁、干净；使用的电气设施应统一规范，符合安全要求。施工现场不得随意停放机动车、摩托车、自行车，应统一规划，设置停车场，各种车辆停放整齐。</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施工现场应按规划设置男、女厕所，并有明显标志；还应设置垃圾箱、废料桶，标识清楚，派专人经常打扫和清理。</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施工场所应有可靠的安全防护设施，上、下、左、右周围均无不安全因素，必要时采取隔离措施或交替作业。</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(2).施工道路条件</w:t>
      </w:r>
    </w:p>
    <w:p>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道路应畅通无阻，路面不得堆放设备或建筑材料、土石方、垃圾等。施工道路的路面应坚实、平整、清洁、无坑洼积水现象，并有人负责打扫和清理。施工道路出入口应设置路标，交通标志、限速标志等应醒目、规范。</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(3).安全防护设施</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入口处应有保卫人员上岗执勤，非施工人员不得进入。重要作业区域应设置封闭式围栏，围栏范围应根据施工作业可能造成的危险涉及面和作业点的高度而定，涉及面较大的临时性作业区可设置安全警戒线或派专人看守监护。</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脚手架搭设必须安全规范、间距标准、牢固可靠，脚踏板铺满、绑牢，有防护栏杆，必须设防护立网水平网保护。高度超过2m的平台（走道、过桥或临时平台、临时作业面）必须有可靠的防护栏杆，必须设置踢脚板防止物料滚落。所有孔洞应加盖牢固盖板，较大的孔洞周围应设安全防护栏铺设安全网，并设有明显的防护标志。</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(4).施工用电设备的安装、接线、维修等，应由专业人员进行。施工电源必须设施配套，配电盘、柜内插座、电压等级、开关负荷等名称应标示清楚，所有部件完好无损。</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所有电动工器具应绝缘良好，有良好的接地或漏电保护器，在潮湿的地方必须使用安全电压，并有专人监护。</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(5).危险区域标识和防护</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高空作业区域及设备带电后，应有明显的标识、标牌及应该疏散标志牌，应急疏散通道必须保持畅通无阻。</w:t>
      </w:r>
    </w:p>
    <w:p>
      <w:pPr>
        <w:numPr>
          <w:ilvl w:val="0"/>
          <w:numId w:val="3"/>
        </w:numPr>
        <w:tabs>
          <w:tab w:val="left" w:pos="2160"/>
          <w:tab w:val="left" w:pos="3960"/>
          <w:tab w:val="left" w:pos="5400"/>
          <w:tab w:val="left" w:pos="6840"/>
          <w:tab w:val="clear" w:pos="360"/>
        </w:tabs>
        <w:adjustRightInd w:val="0"/>
        <w:snapToGrid w:val="0"/>
        <w:spacing w:line="360" w:lineRule="auto"/>
        <w:ind w:left="0" w:leftChars="0" w:firstLine="0" w:firstLineChars="0"/>
        <w:rPr>
          <w:rFonts w:hint="eastAsia" w:ascii="Malgun Gothic Semilight" w:hAnsi="Malgun Gothic Semilight" w:eastAsia="Malgun Gothic Semilight" w:cs="Malgun Gothic Semilight"/>
          <w:sz w:val="24"/>
          <w:szCs w:val="24"/>
          <w:u w:val="single"/>
        </w:rPr>
      </w:pPr>
      <w:r>
        <w:rPr>
          <w:rFonts w:hint="eastAsia" w:ascii="宋体" w:hAnsi="宋体"/>
          <w:sz w:val="24"/>
          <w:szCs w:val="24"/>
        </w:rPr>
        <w:t>易燃易爆场所（临时油料储存库、设备临时存放区、拆箱板及包装材料临时存</w:t>
      </w:r>
      <w:r>
        <w:rPr>
          <w:rFonts w:hint="eastAsia" w:ascii="Malgun Gothic Semilight" w:hAnsi="Malgun Gothic Semilight" w:eastAsia="Malgun Gothic Semilight" w:cs="Malgun Gothic Semilight"/>
          <w:sz w:val="24"/>
          <w:szCs w:val="24"/>
          <w:u w:val="single"/>
        </w:rPr>
        <w:t>放区等）要有明显的“严禁烟火”标志或防范隔离措施，同时应配置足够的消防器材。</w:t>
      </w:r>
    </w:p>
    <w:p>
      <w:pPr>
        <w:numPr>
          <w:ilvl w:val="0"/>
          <w:numId w:val="3"/>
        </w:numPr>
        <w:tabs>
          <w:tab w:val="left" w:pos="2160"/>
          <w:tab w:val="left" w:pos="3960"/>
          <w:tab w:val="left" w:pos="5400"/>
          <w:tab w:val="left" w:pos="6840"/>
          <w:tab w:val="clear" w:pos="360"/>
        </w:tabs>
        <w:adjustRightInd w:val="0"/>
        <w:snapToGrid w:val="0"/>
        <w:spacing w:line="360" w:lineRule="auto"/>
        <w:ind w:left="0" w:leftChars="0" w:firstLine="0" w:firstLineChars="0"/>
        <w:outlineLvl w:val="1"/>
        <w:rPr>
          <w:rFonts w:hint="eastAsia" w:ascii="Malgun Gothic Semilight" w:hAnsi="Malgun Gothic Semilight" w:eastAsia="Malgun Gothic Semilight" w:cs="Malgun Gothic Semilight"/>
          <w:b/>
          <w:sz w:val="24"/>
          <w:szCs w:val="24"/>
          <w:u w:val="single"/>
        </w:rPr>
      </w:pPr>
      <w:bookmarkStart w:id="28" w:name="_Toc17564"/>
      <w:bookmarkStart w:id="29" w:name="_Toc26585"/>
      <w:r>
        <w:rPr>
          <w:rFonts w:hint="eastAsia" w:ascii="Malgun Gothic Semilight" w:hAnsi="Malgun Gothic Semilight" w:eastAsia="Malgun Gothic Semilight" w:cs="Malgun Gothic Semilight"/>
          <w:b/>
          <w:sz w:val="24"/>
          <w:szCs w:val="24"/>
          <w:u w:val="single"/>
        </w:rPr>
        <w:t>4、安全的事中控制</w:t>
      </w:r>
      <w:bookmarkEnd w:id="28"/>
      <w:bookmarkEnd w:id="29"/>
    </w:p>
    <w:p>
      <w:pPr>
        <w:numPr>
          <w:ilvl w:val="0"/>
          <w:numId w:val="3"/>
        </w:numPr>
        <w:tabs>
          <w:tab w:val="left" w:pos="2160"/>
          <w:tab w:val="left" w:pos="3960"/>
          <w:tab w:val="left" w:pos="5400"/>
          <w:tab w:val="left" w:pos="6840"/>
          <w:tab w:val="clear" w:pos="360"/>
        </w:tabs>
        <w:adjustRightInd w:val="0"/>
        <w:snapToGrid w:val="0"/>
        <w:spacing w:line="360" w:lineRule="auto"/>
        <w:ind w:left="0" w:leftChars="0" w:firstLine="0" w:firstLineChars="0"/>
        <w:rPr>
          <w:rFonts w:hint="eastAsia" w:ascii="Malgun Gothic Semilight" w:hAnsi="Malgun Gothic Semilight" w:eastAsia="Malgun Gothic Semilight" w:cs="Malgun Gothic Semilight"/>
          <w:sz w:val="24"/>
          <w:szCs w:val="24"/>
          <w:u w:val="single"/>
        </w:rPr>
      </w:pPr>
      <w:r>
        <w:rPr>
          <w:rFonts w:hint="eastAsia" w:ascii="Malgun Gothic Semilight" w:hAnsi="Malgun Gothic Semilight" w:eastAsia="Malgun Gothic Semilight" w:cs="Malgun Gothic Semilight"/>
          <w:sz w:val="24"/>
          <w:szCs w:val="24"/>
          <w:u w:val="single"/>
        </w:rPr>
        <w:t>1) 深入施工现场，实施旁站、巡视和监督检查</w:t>
      </w:r>
    </w:p>
    <w:p>
      <w:pPr>
        <w:numPr>
          <w:ilvl w:val="0"/>
          <w:numId w:val="3"/>
        </w:numPr>
        <w:tabs>
          <w:tab w:val="left" w:pos="2160"/>
          <w:tab w:val="left" w:pos="3960"/>
          <w:tab w:val="left" w:pos="5400"/>
          <w:tab w:val="left" w:pos="6840"/>
          <w:tab w:val="clear" w:pos="360"/>
        </w:tabs>
        <w:adjustRightInd w:val="0"/>
        <w:snapToGrid w:val="0"/>
        <w:spacing w:line="360" w:lineRule="auto"/>
        <w:ind w:left="0" w:leftChars="0" w:firstLine="0" w:firstLineChars="0"/>
        <w:rPr>
          <w:rFonts w:hint="eastAsia" w:ascii="Malgun Gothic Semilight" w:hAnsi="Malgun Gothic Semilight" w:eastAsia="Malgun Gothic Semilight" w:cs="Malgun Gothic Semilight"/>
          <w:sz w:val="24"/>
          <w:szCs w:val="24"/>
          <w:u w:val="single"/>
        </w:rPr>
      </w:pPr>
      <w:r>
        <w:rPr>
          <w:rFonts w:hint="eastAsia" w:ascii="Malgun Gothic Semilight" w:hAnsi="Malgun Gothic Semilight" w:eastAsia="Malgun Gothic Semilight" w:cs="Malgun Gothic Semilight"/>
          <w:sz w:val="24"/>
          <w:szCs w:val="24"/>
          <w:u w:val="single"/>
        </w:rPr>
        <w:t>(1).安全防护</w:t>
      </w:r>
    </w:p>
    <w:p>
      <w:pPr>
        <w:numPr>
          <w:ilvl w:val="0"/>
          <w:numId w:val="3"/>
        </w:numPr>
        <w:tabs>
          <w:tab w:val="left" w:pos="945"/>
          <w:tab w:val="left" w:pos="3960"/>
          <w:tab w:val="left" w:pos="5400"/>
          <w:tab w:val="left" w:pos="6840"/>
          <w:tab w:val="clear" w:pos="360"/>
        </w:tabs>
        <w:adjustRightInd w:val="0"/>
        <w:snapToGrid w:val="0"/>
        <w:spacing w:line="360" w:lineRule="auto"/>
        <w:ind w:left="0" w:leftChars="0" w:firstLine="0" w:firstLineChars="0"/>
        <w:rPr>
          <w:rFonts w:hint="eastAsia" w:ascii="Malgun Gothic Semilight" w:hAnsi="Malgun Gothic Semilight" w:eastAsia="Malgun Gothic Semilight" w:cs="Malgun Gothic Semilight"/>
          <w:sz w:val="24"/>
          <w:szCs w:val="24"/>
          <w:u w:val="single"/>
        </w:rPr>
      </w:pPr>
      <w:r>
        <w:rPr>
          <w:rFonts w:hint="eastAsia" w:ascii="Malgun Gothic Semilight" w:hAnsi="Malgun Gothic Semilight" w:eastAsia="Malgun Gothic Semilight" w:cs="Malgun Gothic Semilight"/>
          <w:sz w:val="24"/>
          <w:szCs w:val="24"/>
          <w:u w:val="single"/>
        </w:rPr>
        <w:t>进入施工现场的人员必须正确佩戴好安全帽，2米及以上高空作业必须系好安全带。</w:t>
      </w:r>
    </w:p>
    <w:p>
      <w:pPr>
        <w:numPr>
          <w:ilvl w:val="0"/>
          <w:numId w:val="3"/>
        </w:numPr>
        <w:tabs>
          <w:tab w:val="left" w:pos="945"/>
          <w:tab w:val="left" w:pos="3960"/>
          <w:tab w:val="left" w:pos="5400"/>
          <w:tab w:val="left" w:pos="6840"/>
          <w:tab w:val="clear" w:pos="360"/>
        </w:tabs>
        <w:adjustRightInd w:val="0"/>
        <w:snapToGrid w:val="0"/>
        <w:spacing w:line="360" w:lineRule="auto"/>
        <w:ind w:left="0" w:leftChars="0" w:firstLine="0" w:firstLineChars="0"/>
        <w:rPr>
          <w:rFonts w:hint="eastAsia" w:ascii="Malgun Gothic Semilight" w:hAnsi="Malgun Gothic Semilight" w:eastAsia="Malgun Gothic Semilight" w:cs="Malgun Gothic Semilight"/>
          <w:sz w:val="24"/>
          <w:szCs w:val="24"/>
          <w:u w:val="single"/>
        </w:rPr>
      </w:pPr>
      <w:r>
        <w:rPr>
          <w:rFonts w:hint="eastAsia" w:ascii="Malgun Gothic Semilight" w:hAnsi="Malgun Gothic Semilight" w:eastAsia="Malgun Gothic Semilight" w:cs="Malgun Gothic Semilight"/>
          <w:sz w:val="24"/>
          <w:szCs w:val="24"/>
          <w:u w:val="single"/>
        </w:rPr>
        <w:t>所有施工人员不得穿拖鞋、凉鞋、高跟鞋，不准赤脚、赤膊，进入施工获要统一穿着反光服、工作鞋。</w:t>
      </w:r>
    </w:p>
    <w:p>
      <w:pPr>
        <w:pStyle w:val="24"/>
        <w:numPr>
          <w:ilvl w:val="0"/>
          <w:numId w:val="3"/>
        </w:numPr>
        <w:tabs>
          <w:tab w:val="left" w:pos="945"/>
          <w:tab w:val="left" w:pos="3960"/>
          <w:tab w:val="left" w:pos="5400"/>
          <w:tab w:val="left" w:pos="6840"/>
          <w:tab w:val="clear" w:pos="360"/>
        </w:tabs>
        <w:adjustRightInd w:val="0"/>
        <w:snapToGrid w:val="0"/>
        <w:ind w:left="0" w:leftChars="0" w:firstLine="0" w:firstLineChars="0"/>
        <w:rPr>
          <w:rFonts w:hint="eastAsia" w:ascii="Malgun Gothic Semilight" w:hAnsi="Malgun Gothic Semilight" w:eastAsia="Malgun Gothic Semilight" w:cs="Malgun Gothic Semilight"/>
          <w:color w:val="auto"/>
          <w:szCs w:val="24"/>
          <w:u w:val="single"/>
        </w:rPr>
      </w:pPr>
      <w:r>
        <w:rPr>
          <w:rFonts w:hint="eastAsia" w:ascii="Malgun Gothic Semilight" w:hAnsi="Malgun Gothic Semilight" w:eastAsia="Malgun Gothic Semilight" w:cs="Malgun Gothic Semilight"/>
          <w:color w:val="auto"/>
          <w:szCs w:val="24"/>
          <w:u w:val="single"/>
        </w:rPr>
        <w:t>从事光伏区反光镜特殊作业人员，应配戴防护墨镜和手套。</w:t>
      </w:r>
    </w:p>
    <w:p>
      <w:pPr>
        <w:numPr>
          <w:ilvl w:val="0"/>
          <w:numId w:val="3"/>
        </w:numPr>
        <w:tabs>
          <w:tab w:val="left" w:pos="945"/>
          <w:tab w:val="left" w:pos="3960"/>
          <w:tab w:val="left" w:pos="5400"/>
          <w:tab w:val="left" w:pos="6840"/>
          <w:tab w:val="clear" w:pos="360"/>
        </w:tabs>
        <w:adjustRightInd w:val="0"/>
        <w:snapToGrid w:val="0"/>
        <w:spacing w:line="360" w:lineRule="auto"/>
        <w:ind w:left="0" w:leftChars="0" w:firstLine="0" w:firstLineChars="0"/>
        <w:rPr>
          <w:rFonts w:hint="eastAsia" w:ascii="Malgun Gothic Semilight" w:hAnsi="Malgun Gothic Semilight" w:eastAsia="Malgun Gothic Semilight" w:cs="Malgun Gothic Semilight"/>
          <w:sz w:val="24"/>
          <w:szCs w:val="24"/>
          <w:u w:val="single"/>
        </w:rPr>
      </w:pPr>
      <w:r>
        <w:rPr>
          <w:rFonts w:hint="eastAsia" w:ascii="Malgun Gothic Semilight" w:hAnsi="Malgun Gothic Semilight" w:eastAsia="Malgun Gothic Semilight" w:cs="Malgun Gothic Semilight"/>
          <w:sz w:val="24"/>
          <w:szCs w:val="24"/>
          <w:u w:val="single"/>
        </w:rPr>
        <w:t>女同志进入施工现场严禁长发披肩，长发应塞在安全帽或工作帽内。</w:t>
      </w:r>
    </w:p>
    <w:p>
      <w:pPr>
        <w:numPr>
          <w:ilvl w:val="0"/>
          <w:numId w:val="3"/>
        </w:numPr>
        <w:tabs>
          <w:tab w:val="left" w:pos="945"/>
          <w:tab w:val="left" w:pos="3960"/>
          <w:tab w:val="left" w:pos="5400"/>
          <w:tab w:val="left" w:pos="6840"/>
          <w:tab w:val="clear" w:pos="360"/>
        </w:tabs>
        <w:adjustRightInd w:val="0"/>
        <w:snapToGrid w:val="0"/>
        <w:spacing w:line="360" w:lineRule="auto"/>
        <w:ind w:left="0" w:leftChars="0" w:firstLine="0" w:firstLineChars="0"/>
        <w:rPr>
          <w:rFonts w:hint="eastAsia" w:ascii="Malgun Gothic Semilight" w:hAnsi="Malgun Gothic Semilight" w:eastAsia="Malgun Gothic Semilight" w:cs="Malgun Gothic Semilight"/>
          <w:sz w:val="24"/>
          <w:szCs w:val="24"/>
          <w:u w:val="single"/>
        </w:rPr>
      </w:pPr>
      <w:r>
        <w:rPr>
          <w:rFonts w:hint="eastAsia" w:ascii="Malgun Gothic Semilight" w:hAnsi="Malgun Gothic Semilight" w:eastAsia="Malgun Gothic Semilight" w:cs="Malgun Gothic Semilight"/>
          <w:sz w:val="24"/>
          <w:szCs w:val="24"/>
          <w:u w:val="single"/>
        </w:rPr>
        <w:t>使用砂轮机、火焊、切割机和接触化学危险品时应配戴防护眼镜。</w:t>
      </w:r>
    </w:p>
    <w:p>
      <w:pPr>
        <w:numPr>
          <w:ilvl w:val="0"/>
          <w:numId w:val="3"/>
        </w:numPr>
        <w:tabs>
          <w:tab w:val="left" w:pos="945"/>
          <w:tab w:val="left" w:pos="3960"/>
          <w:tab w:val="left" w:pos="5400"/>
          <w:tab w:val="left" w:pos="6840"/>
          <w:tab w:val="clear" w:pos="360"/>
        </w:tabs>
        <w:adjustRightInd w:val="0"/>
        <w:snapToGrid w:val="0"/>
        <w:spacing w:line="360" w:lineRule="auto"/>
        <w:ind w:left="0" w:leftChars="0" w:firstLine="0" w:firstLineChars="0"/>
        <w:rPr>
          <w:rFonts w:hint="eastAsia" w:ascii="Malgun Gothic Semilight" w:hAnsi="Malgun Gothic Semilight" w:eastAsia="Malgun Gothic Semilight" w:cs="Malgun Gothic Semilight"/>
          <w:sz w:val="24"/>
          <w:szCs w:val="24"/>
          <w:u w:val="single"/>
        </w:rPr>
      </w:pPr>
      <w:r>
        <w:rPr>
          <w:rFonts w:hint="eastAsia" w:ascii="Malgun Gothic Semilight" w:hAnsi="Malgun Gothic Semilight" w:eastAsia="Malgun Gothic Semilight" w:cs="Malgun Gothic Semilight"/>
          <w:sz w:val="24"/>
          <w:szCs w:val="24"/>
          <w:u w:val="single"/>
        </w:rPr>
        <w:t>所有施工人员必须贯彻执行电力建设安全规程和安全施工管理规定，坚持“安全第一，预防为主”的方针，提高安全意识，真正做到安全施工，文明施工。</w:t>
      </w:r>
    </w:p>
    <w:p>
      <w:pPr>
        <w:numPr>
          <w:ilvl w:val="0"/>
          <w:numId w:val="3"/>
        </w:numPr>
        <w:tabs>
          <w:tab w:val="left" w:pos="2160"/>
          <w:tab w:val="left" w:pos="3960"/>
          <w:tab w:val="left" w:pos="5400"/>
          <w:tab w:val="left" w:pos="6840"/>
          <w:tab w:val="clear" w:pos="360"/>
        </w:tabs>
        <w:adjustRightInd w:val="0"/>
        <w:snapToGrid w:val="0"/>
        <w:spacing w:line="360" w:lineRule="auto"/>
        <w:ind w:left="0" w:leftChars="0" w:firstLine="0" w:firstLineChars="0"/>
        <w:rPr>
          <w:rFonts w:ascii="宋体" w:hAnsi="宋体"/>
          <w:sz w:val="24"/>
          <w:szCs w:val="24"/>
        </w:rPr>
      </w:pPr>
      <w:r>
        <w:rPr>
          <w:rFonts w:hint="eastAsia" w:ascii="Malgun Gothic Semilight" w:hAnsi="Malgun Gothic Semilight" w:eastAsia="Malgun Gothic Semilight" w:cs="Malgun Gothic Semilight"/>
          <w:sz w:val="24"/>
          <w:szCs w:val="24"/>
          <w:u w:val="single"/>
        </w:rPr>
        <w:t>(2).所有施工人员必须有高度的组织纪律性，施工班组每天进行班前会，</w:t>
      </w:r>
      <w:r>
        <w:rPr>
          <w:rFonts w:hint="eastAsia" w:ascii="宋体" w:hAnsi="宋体"/>
          <w:sz w:val="24"/>
          <w:szCs w:val="24"/>
        </w:rPr>
        <w:t>布置施工任务时要讲明安全文明施工措施，做好重点预防保护工作。</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在开始工作之前，施工人员必须检查作业环境，确认具备安全施工条件后再开始施工。</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工作点比较集中的地方，施工人员应互相照应，互相提供方便，做到互不妨碍，互不影响。</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施工中产生的废料、建筑垃圾或剩余的设备材料要及时清理运走，发现隐患要及时消除，为自己、为他人提供安全文明施工条件。</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施工人员必须合理使用工具，作业工具必须专业化，不许替代；不准带病作业，特别是高空作业时使用的榔头、扳手、撬棒等要绝对安全可靠，必要时应系安全绳，防止掉落。</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脚手架搭设必须实行书面委托，注明高度、强度和用途，搭好后双方交接验收，签字挂牌使用。</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重要施工工序或吊装工作，施工前应学习和掌握经过单位总工程师批准的施工方案和安全技术措施，任何施工人员不得随意更改和变动，发现问题要及时报告。施工中要分工明确，听从统一指挥，严格执行施工方案和安全技术措施。</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起重作业指挥方式应清晰明确、果断、无误。起重工具、钢丝绳、吊带、起重机械不得超负荷起吊、超铭牌使用，六级以上大风或雨雾天气禁止起吊作业。</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起重作业时，吊物下方及回转半径内禁止站人，禁止人员走动。较重物品吊起需要调整时，下方必须加放垫物。</w:t>
      </w:r>
    </w:p>
    <w:p>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禁止在易燃易爆场所或附近明火作业，确因工作需要，应有可靠的防范措施，必要时应办理作业票，经总工程师批准。</w:t>
      </w:r>
    </w:p>
    <w:p>
      <w:pPr>
        <w:pStyle w:val="24"/>
        <w:numPr>
          <w:ilvl w:val="2"/>
          <w:numId w:val="4"/>
        </w:numPr>
        <w:tabs>
          <w:tab w:val="left" w:pos="945"/>
          <w:tab w:val="left" w:pos="3960"/>
          <w:tab w:val="left" w:pos="5400"/>
          <w:tab w:val="left" w:pos="6840"/>
        </w:tabs>
        <w:adjustRightInd w:val="0"/>
        <w:snapToGrid w:val="0"/>
        <w:rPr>
          <w:color w:val="auto"/>
          <w:szCs w:val="24"/>
        </w:rPr>
      </w:pPr>
      <w:r>
        <w:rPr>
          <w:rFonts w:hint="eastAsia"/>
          <w:color w:val="auto"/>
          <w:szCs w:val="24"/>
        </w:rPr>
        <w:t>控制领用的设备材料，尽量做到当天领，当天用完；一般情况现场存放不得超过三天。暂不使用的设备材料要摆放整齐、稳妥，做到不妨碍施工、不妨碍交通、不会造成安全隐患。</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针对存在的问题及时采取纠正措施</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项目监理部各级监理人员按安全管理的分工，严格按计划的监控点进行见证、旁站和巡视，定期开展安全大检查和进行不定期的例外检查，对检查中发现的问题及时采取纠正措施。一般性问题口头警告，责令整改；对重复出现和问题严重的下发书面整改通知单，并跟踪整改结果；对严重影响人身、设备安全的下发停工令，并及时向业主报告。</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定期进行安全文明施工检查评价考核</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根据日常检查情况，对安全检查明细表进行汇总，编制检查汇总统计表，对土建施工阶段与安装施工阶段的各施工单位进行综合评定。</w:t>
      </w:r>
    </w:p>
    <w:p>
      <w:pPr>
        <w:pStyle w:val="24"/>
        <w:numPr>
          <w:ilvl w:val="2"/>
          <w:numId w:val="5"/>
        </w:numPr>
        <w:tabs>
          <w:tab w:val="left" w:pos="945"/>
          <w:tab w:val="left" w:pos="3960"/>
          <w:tab w:val="left" w:pos="5400"/>
          <w:tab w:val="left" w:pos="6840"/>
        </w:tabs>
        <w:adjustRightInd w:val="0"/>
        <w:snapToGrid w:val="0"/>
        <w:rPr>
          <w:color w:val="auto"/>
          <w:szCs w:val="24"/>
        </w:rPr>
      </w:pPr>
      <w:r>
        <w:rPr>
          <w:rFonts w:hint="eastAsia"/>
          <w:color w:val="auto"/>
          <w:szCs w:val="24"/>
        </w:rPr>
        <w:t>检查评级按优、良、一般和差四个等级进行评定，每月评定一次。评定结果在安全简报上予以公布。</w:t>
      </w:r>
    </w:p>
    <w:p>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对安全文明施工情况优良的单位通报表扬，建议业主予以适当奖励；对管理差的单位通报批评，并根据合同规定实施处罚。</w:t>
      </w:r>
    </w:p>
    <w:p>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30" w:name="_Toc28951"/>
      <w:bookmarkStart w:id="31" w:name="_Toc7446"/>
      <w:r>
        <w:rPr>
          <w:rFonts w:hint="eastAsia" w:ascii="宋体" w:hAnsi="宋体"/>
          <w:b/>
          <w:sz w:val="24"/>
          <w:szCs w:val="24"/>
        </w:rPr>
        <w:t>5、安全的事后控制</w:t>
      </w:r>
      <w:bookmarkEnd w:id="30"/>
      <w:bookmarkEnd w:id="31"/>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对于施工中发生的事故，按照“四不放过原则”，参与调查、分析和处理，吸取教训，并提出整改意见。</w:t>
      </w:r>
    </w:p>
    <w:p>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工地上发生安全事故后，一般采取以下程序进行处理：</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立即抢救事故受害者，同时采取有效措施控制事故的发展或扩大，把事故损失减少到最低程度。</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保护好事故现场，在不会继续造成损失或危害的情况下，尽可能维持事故发生时的原状，为分析和研究事故的发生提供依据，为下一步预防工作打下基础。重要设备和大型机械事故也应如此，必要时进行拍照摄影，作为分析的资料。</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按照分管系统逐级向上级领导和主管部门汇报事故发生的时间、地点、性质、类别、伤害程度、损失情况和事故处理情况；并向业主、监理部门和有关兄弟单位进行事故通报。</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做好群众情绪和稳定工作和善后事宜，尽快恢复正常的工作和生活秩序（发生重大事故后，应按上级领导的安排有组织地停工整顿）。</w:t>
      </w:r>
    </w:p>
    <w:p>
      <w:pPr>
        <w:tabs>
          <w:tab w:val="left" w:pos="2160"/>
          <w:tab w:val="left" w:pos="3960"/>
          <w:tab w:val="left" w:pos="5400"/>
          <w:tab w:val="left" w:pos="6840"/>
        </w:tabs>
        <w:adjustRightInd w:val="0"/>
        <w:snapToGrid w:val="0"/>
        <w:spacing w:line="360" w:lineRule="auto"/>
        <w:rPr>
          <w:rFonts w:hint="default" w:asciiTheme="minorAscii" w:hAnsiTheme="minorAscii"/>
          <w:sz w:val="24"/>
          <w:szCs w:val="24"/>
        </w:rPr>
      </w:pPr>
      <w:r>
        <w:rPr>
          <w:rFonts w:hint="eastAsia" w:ascii="宋体" w:hAnsi="宋体"/>
          <w:sz w:val="24"/>
          <w:szCs w:val="24"/>
        </w:rPr>
        <w:t>5) 严格按照“</w:t>
      </w:r>
      <w:r>
        <w:rPr>
          <w:rFonts w:hint="default" w:asciiTheme="minorAscii" w:hAnsiTheme="minorAscii"/>
          <w:sz w:val="24"/>
          <w:szCs w:val="24"/>
        </w:rPr>
        <w:t>四不放过原则”及时召开事故分析会。有关领导、安监人员、责任班组、当事者、目击者等相关人员代表参加会议，根据事发现场的实际情况和有关陈述以及可靠的旁证、见证，彻底查清事故发生的真正原因，找出发生事故的因果关系，分清事故责任的属向（主要责任、直接责任、领导责任等）。</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default" w:asciiTheme="minorAscii" w:hAnsiTheme="minorAscii"/>
          <w:sz w:val="24"/>
          <w:szCs w:val="24"/>
        </w:rPr>
        <w:t>6) 以事故为例及时进行安全教育（开展安全学习或安全专题会议），要求所有施工人员从中认识到不安全的危害和事故造成的严重后果，认真吸取教</w:t>
      </w:r>
      <w:r>
        <w:rPr>
          <w:rFonts w:hint="eastAsia" w:ascii="宋体" w:hAnsi="宋体"/>
          <w:sz w:val="24"/>
          <w:szCs w:val="24"/>
        </w:rPr>
        <w:t>训，使当事人和所有施工人员都受到现实的深刻教育，自觉地提高安全意识和预防事故的能力。</w:t>
      </w:r>
    </w:p>
    <w:p>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举一反三，组织安全大检查，一是查找安全管理上的漏洞；二是查找安全措施上的薄弱环节或落实不到之处；三是查找施工中的安全隐患和不安全因素。根据检查情况提出整改意见和有效的防范措施，把事故苗头消除在萌芽状态，坚决杜绝同类事故重复发生。</w:t>
      </w:r>
    </w:p>
    <w:p>
      <w:pPr>
        <w:tabs>
          <w:tab w:val="left" w:pos="2160"/>
          <w:tab w:val="left" w:pos="3960"/>
          <w:tab w:val="left" w:pos="5400"/>
          <w:tab w:val="left" w:pos="6840"/>
        </w:tabs>
        <w:adjustRightInd w:val="0"/>
        <w:snapToGrid w:val="0"/>
        <w:spacing w:line="360" w:lineRule="auto"/>
        <w:rPr>
          <w:rFonts w:hint="eastAsia" w:ascii="微软雅黑" w:hAnsi="微软雅黑" w:eastAsia="微软雅黑" w:cs="微软雅黑"/>
          <w:sz w:val="24"/>
          <w:szCs w:val="24"/>
        </w:rPr>
      </w:pPr>
      <w:r>
        <w:rPr>
          <w:rFonts w:hint="eastAsia" w:ascii="宋体" w:hAnsi="宋体"/>
          <w:sz w:val="24"/>
          <w:szCs w:val="24"/>
        </w:rPr>
        <w:t>8) 督促施工单位尽快进行整改，认真落实防范措施，并对整改和落实情况进行复查、验收。同时建议事故单位尽快写出事故报告和事故处理意见，报送有关部门。</w:t>
      </w:r>
    </w:p>
    <w:p>
      <w:pPr>
        <w:tabs>
          <w:tab w:val="left" w:pos="2160"/>
          <w:tab w:val="left" w:pos="3960"/>
          <w:tab w:val="left" w:pos="5400"/>
          <w:tab w:val="left" w:pos="6840"/>
        </w:tabs>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9) 按照安全管理体系做好书面统计上报工作。监理部门应将各种文字资料（事故调查、会议记录、检查记录、整改记录、事故处理意见、事故报告等）收存归档。</w:t>
      </w:r>
    </w:p>
    <w:p>
      <w:pPr>
        <w:pStyle w:val="7"/>
        <w:widowControl w:val="0"/>
        <w:outlineLvl w:val="1"/>
        <w:rPr>
          <w:rFonts w:hint="eastAsia" w:ascii="微软雅黑" w:hAnsi="微软雅黑" w:eastAsia="微软雅黑" w:cs="微软雅黑"/>
          <w:b/>
          <w:sz w:val="24"/>
          <w:szCs w:val="24"/>
        </w:rPr>
      </w:pPr>
      <w:bookmarkStart w:id="32" w:name="_Toc18018"/>
      <w:bookmarkStart w:id="33" w:name="_Toc6144"/>
      <w:r>
        <w:rPr>
          <w:rFonts w:hint="eastAsia" w:ascii="微软雅黑" w:hAnsi="微软雅黑" w:eastAsia="微软雅黑" w:cs="微软雅黑"/>
          <w:b/>
          <w:sz w:val="24"/>
          <w:szCs w:val="24"/>
        </w:rPr>
        <w:t>6、文明施工</w:t>
      </w:r>
      <w:bookmarkEnd w:id="32"/>
      <w:bookmarkEnd w:id="33"/>
    </w:p>
    <w:p>
      <w:pPr>
        <w:pStyle w:val="7"/>
        <w:widowControl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工程项目从施工准备至交付生产为止的全过程中，对施工作业行为（工艺）、物料存放，环境清洁卫生等方面实现安全、文明施工的标准要求。</w:t>
      </w:r>
    </w:p>
    <w:p>
      <w:pPr>
        <w:numPr>
          <w:ilvl w:val="3"/>
          <w:numId w:val="6"/>
        </w:numPr>
        <w:tabs>
          <w:tab w:val="left" w:pos="2160"/>
          <w:tab w:val="left" w:pos="3960"/>
          <w:tab w:val="left" w:pos="5400"/>
          <w:tab w:val="left" w:pos="6840"/>
        </w:tabs>
        <w:adjustRightInd w:val="0"/>
        <w:snapToGrid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审查施工承包商编制的施工组织设计中的文明施工措施，提出监理意见。</w:t>
      </w:r>
    </w:p>
    <w:p>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微软雅黑" w:hAnsi="微软雅黑" w:eastAsia="微软雅黑" w:cs="微软雅黑"/>
          <w:sz w:val="24"/>
          <w:szCs w:val="24"/>
        </w:rPr>
        <w:t>组织施工承包商建立现场安全文明施工网络，明确各自的区域责任，定期活</w:t>
      </w:r>
      <w:r>
        <w:rPr>
          <w:rFonts w:hint="eastAsia" w:ascii="宋体" w:hAnsi="宋体"/>
          <w:sz w:val="24"/>
          <w:szCs w:val="24"/>
        </w:rPr>
        <w:t>动，提高现场安全文明施工水平。</w:t>
      </w:r>
    </w:p>
    <w:p>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施工承包商应贯彻文明施工要求，推行现代管理方法，科学组织施工，做好各项管理工作。</w:t>
      </w:r>
    </w:p>
    <w:p>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施工承包商应当按照批准的施工总平面布置图设置各项临时设施。堆放大宗材料、成品、半成品和机具设备，不得侵占场内道路及安全防护等设施。</w:t>
      </w:r>
    </w:p>
    <w:p>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施工现场必须设置明显的标牌，标明工程项目名称、建设单位、设计单位、施工承包商、监理单位、项目经理和施工现场总代表人姓名、开竣工日期等。施工承包商负责施工现场标牌的保护工作。</w:t>
      </w:r>
    </w:p>
    <w:p>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进入施工现场的主要管理人员、监理人员、设计以及业主人员应当佩戴证明其身份的证件。</w:t>
      </w:r>
    </w:p>
    <w:p>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的用电线路、用电设施的安装和使用必须符合安装规范和安全操作规程，并按照批准的施工组织设计进行架设，严禁任意拉线接电。施工现场必须设有保证施工安全的夜间照明；危险潮湿场所的照明以及手持照明灯具，必须采用符合安全要求的电压。</w:t>
      </w:r>
    </w:p>
    <w:p>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机械按照批准的施工总平面布置图规定的位置和线路设置，不得任意侵占场内道路。施工机械进场必须经过安全检查，经检查合格的方能使用。施工机械操作人员必须建立岗位责任制，并依照有关规定持证上岗，禁止无证人员操作。</w:t>
      </w:r>
    </w:p>
    <w:p>
      <w:pPr>
        <w:numPr>
          <w:ilvl w:val="3"/>
          <w:numId w:val="6"/>
        </w:numPr>
        <w:tabs>
          <w:tab w:val="left" w:pos="2160"/>
          <w:tab w:val="left" w:pos="3960"/>
          <w:tab w:val="left" w:pos="5400"/>
          <w:tab w:val="left" w:pos="6840"/>
        </w:tabs>
        <w:adjustRightInd w:val="0"/>
        <w:snapToGrid w:val="0"/>
        <w:spacing w:line="360" w:lineRule="auto"/>
        <w:rPr>
          <w:rFonts w:hint="default" w:asciiTheme="minorAscii" w:hAnsiTheme="minorAscii"/>
          <w:sz w:val="24"/>
          <w:szCs w:val="24"/>
        </w:rPr>
      </w:pPr>
      <w:r>
        <w:rPr>
          <w:rFonts w:hint="eastAsia" w:ascii="宋体" w:hAnsi="宋体"/>
          <w:sz w:val="24"/>
          <w:szCs w:val="24"/>
        </w:rPr>
        <w:t>施工承包商应保证施工现场道路畅通，排水系统处于良好的使用状态；保持场容场</w:t>
      </w:r>
      <w:r>
        <w:rPr>
          <w:rFonts w:hint="default" w:asciiTheme="minorAscii" w:hAnsiTheme="minorAscii"/>
          <w:sz w:val="24"/>
          <w:szCs w:val="24"/>
        </w:rPr>
        <w:t>貌的整洁，随时清理建筑垃圾。车辆、行人通过的地方施工，应当设置沟、井、坎、穴覆盖物和明显的施工标志。</w:t>
      </w:r>
    </w:p>
    <w:p>
      <w:pPr>
        <w:numPr>
          <w:ilvl w:val="3"/>
          <w:numId w:val="6"/>
        </w:numPr>
        <w:tabs>
          <w:tab w:val="left" w:pos="2160"/>
          <w:tab w:val="left" w:pos="3960"/>
          <w:tab w:val="left" w:pos="5400"/>
          <w:tab w:val="left" w:pos="6840"/>
        </w:tabs>
        <w:adjustRightInd w:val="0"/>
        <w:snapToGrid w:val="0"/>
        <w:spacing w:line="360" w:lineRule="auto"/>
        <w:rPr>
          <w:rFonts w:hint="default" w:asciiTheme="minorAscii" w:hAnsiTheme="minorAscii"/>
          <w:sz w:val="24"/>
          <w:szCs w:val="24"/>
        </w:rPr>
      </w:pPr>
      <w:r>
        <w:rPr>
          <w:rFonts w:hint="default" w:asciiTheme="minorAscii" w:hAnsiTheme="minorAscii"/>
          <w:sz w:val="24"/>
          <w:szCs w:val="24"/>
        </w:rPr>
        <w:t>检查施工承包商现场文明施工情况，尤其在保温及大宗物件堆放等施工环节。发现问题提出整改意见，逾期未改，发出不符合项通知单，责令停工整改，实行闭环控制。</w:t>
      </w:r>
    </w:p>
    <w:p>
      <w:pPr>
        <w:numPr>
          <w:ilvl w:val="3"/>
          <w:numId w:val="6"/>
        </w:numPr>
        <w:tabs>
          <w:tab w:val="left" w:pos="2160"/>
          <w:tab w:val="left" w:pos="3960"/>
          <w:tab w:val="left" w:pos="5400"/>
          <w:tab w:val="left" w:pos="6840"/>
        </w:tabs>
        <w:adjustRightInd w:val="0"/>
        <w:snapToGrid w:val="0"/>
        <w:spacing w:line="360" w:lineRule="auto"/>
        <w:rPr>
          <w:rFonts w:hint="default" w:asciiTheme="minorAscii" w:hAnsiTheme="minorAscii"/>
          <w:sz w:val="24"/>
          <w:szCs w:val="24"/>
        </w:rPr>
      </w:pPr>
      <w:r>
        <w:rPr>
          <w:rFonts w:hint="default" w:asciiTheme="minorAscii" w:hAnsiTheme="minorAscii"/>
          <w:sz w:val="24"/>
          <w:szCs w:val="24"/>
        </w:rPr>
        <w:t>系统及设备分部试运和整套启动前，按照新启规的要求检查现场是否符合启动条件，并签署监理意见。</w:t>
      </w:r>
    </w:p>
    <w:p>
      <w:pPr>
        <w:pStyle w:val="24"/>
        <w:numPr>
          <w:ilvl w:val="3"/>
          <w:numId w:val="6"/>
        </w:numPr>
        <w:tabs>
          <w:tab w:val="left" w:pos="2160"/>
          <w:tab w:val="left" w:pos="3960"/>
          <w:tab w:val="left" w:pos="5400"/>
          <w:tab w:val="left" w:pos="6840"/>
        </w:tabs>
        <w:adjustRightInd w:val="0"/>
        <w:snapToGrid w:val="0"/>
        <w:rPr>
          <w:color w:val="auto"/>
          <w:szCs w:val="24"/>
        </w:rPr>
      </w:pPr>
      <w:r>
        <w:rPr>
          <w:rFonts w:hint="eastAsia"/>
          <w:color w:val="auto"/>
          <w:szCs w:val="24"/>
        </w:rPr>
        <w:t>文明施工检查</w:t>
      </w:r>
    </w:p>
    <w:p>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施工人员必须精神状态良好，进入现场要衣帽整齐，佩戴证件，穿戴应符合自己施工的要求。</w:t>
      </w:r>
    </w:p>
    <w:p>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施工人员在作业时不准吸烟，不准在施工现场流动吸烟。</w:t>
      </w:r>
    </w:p>
    <w:p>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施工人员在现场不准嘻戏、打闹、追逐、开玩笑，不准带小孩进入现场。</w:t>
      </w:r>
    </w:p>
    <w:p>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严禁在施工现场随处大小便，高空作业时不准随意吐痰。</w:t>
      </w:r>
    </w:p>
    <w:p>
      <w:pPr>
        <w:numPr>
          <w:ilvl w:val="0"/>
          <w:numId w:val="7"/>
        </w:numPr>
        <w:tabs>
          <w:tab w:val="left" w:pos="945"/>
          <w:tab w:val="left" w:pos="3960"/>
          <w:tab w:val="left" w:pos="5400"/>
          <w:tab w:val="left" w:pos="6840"/>
        </w:tabs>
        <w:adjustRightInd w:val="0"/>
        <w:snapToGrid w:val="0"/>
        <w:spacing w:line="360" w:lineRule="auto"/>
        <w:rPr>
          <w:rFonts w:hint="eastAsia" w:ascii="Microsoft JhengHei UI Light" w:hAnsi="Microsoft JhengHei UI Light" w:eastAsia="Microsoft JhengHei UI Light" w:cs="Microsoft JhengHei UI Light"/>
          <w:sz w:val="24"/>
          <w:szCs w:val="24"/>
        </w:rPr>
      </w:pPr>
      <w:r>
        <w:rPr>
          <w:rFonts w:hint="eastAsia" w:ascii="宋体" w:hAnsi="宋体"/>
          <w:sz w:val="24"/>
          <w:szCs w:val="24"/>
        </w:rPr>
        <w:t>不准在已施工好的墙壁、设备或其它构件上随意刻划、张贴、写字、涂抹、污染等，做好</w:t>
      </w:r>
      <w:r>
        <w:rPr>
          <w:rFonts w:hint="eastAsia" w:ascii="Microsoft JhengHei UI Light" w:hAnsi="Microsoft JhengHei UI Light" w:eastAsia="Microsoft JhengHei UI Light" w:cs="Microsoft JhengHei UI Light"/>
          <w:sz w:val="24"/>
          <w:szCs w:val="24"/>
        </w:rPr>
        <w:t>成品保护工作。</w:t>
      </w:r>
    </w:p>
    <w:p>
      <w:pPr>
        <w:numPr>
          <w:ilvl w:val="0"/>
          <w:numId w:val="7"/>
        </w:numPr>
        <w:tabs>
          <w:tab w:val="left" w:pos="945"/>
          <w:tab w:val="left" w:pos="3960"/>
          <w:tab w:val="left" w:pos="5400"/>
          <w:tab w:val="left" w:pos="6840"/>
        </w:tabs>
        <w:adjustRightInd w:val="0"/>
        <w:snapToGrid w:val="0"/>
        <w:spacing w:line="360" w:lineRule="auto"/>
        <w:rPr>
          <w:rFonts w:hint="eastAsia" w:ascii="Microsoft JhengHei UI Light" w:hAnsi="Microsoft JhengHei UI Light" w:eastAsia="Microsoft JhengHei UI Light" w:cs="Microsoft JhengHei UI Light"/>
          <w:sz w:val="24"/>
          <w:szCs w:val="24"/>
        </w:rPr>
      </w:pPr>
      <w:r>
        <w:rPr>
          <w:rFonts w:hint="eastAsia" w:ascii="Microsoft JhengHei UI Light" w:hAnsi="Microsoft JhengHei UI Light" w:eastAsia="Microsoft JhengHei UI Light" w:cs="Microsoft JhengHei UI Light"/>
          <w:sz w:val="24"/>
          <w:szCs w:val="24"/>
        </w:rPr>
        <w:t>施工中未经批准不得在楼板、墙壁或其它构件上打洞、钻孔、开缺口。</w:t>
      </w:r>
    </w:p>
    <w:p>
      <w:pPr>
        <w:numPr>
          <w:ilvl w:val="0"/>
          <w:numId w:val="7"/>
        </w:numPr>
        <w:tabs>
          <w:tab w:val="left" w:pos="945"/>
          <w:tab w:val="left" w:pos="3960"/>
          <w:tab w:val="left" w:pos="5400"/>
          <w:tab w:val="left" w:pos="6840"/>
        </w:tabs>
        <w:adjustRightInd w:val="0"/>
        <w:snapToGrid w:val="0"/>
        <w:spacing w:line="360" w:lineRule="auto"/>
        <w:rPr>
          <w:rFonts w:hint="eastAsia" w:ascii="Microsoft JhengHei UI Light" w:hAnsi="Microsoft JhengHei UI Light" w:eastAsia="Microsoft JhengHei UI Light" w:cs="Microsoft JhengHei UI Light"/>
          <w:sz w:val="24"/>
          <w:szCs w:val="24"/>
        </w:rPr>
      </w:pPr>
      <w:r>
        <w:rPr>
          <w:rFonts w:hint="eastAsia" w:ascii="Microsoft JhengHei UI Light" w:hAnsi="Microsoft JhengHei UI Light" w:eastAsia="Microsoft JhengHei UI Light" w:cs="Microsoft JhengHei UI Light"/>
          <w:sz w:val="24"/>
          <w:szCs w:val="24"/>
        </w:rPr>
        <w:t>高空作业时，不得随意抛掷物件，脚手架拆除时应从上到下采用传递方式，放到指定位置堆放整齐。</w:t>
      </w:r>
    </w:p>
    <w:p>
      <w:pPr>
        <w:numPr>
          <w:ilvl w:val="0"/>
          <w:numId w:val="7"/>
        </w:numPr>
        <w:tabs>
          <w:tab w:val="left" w:pos="945"/>
          <w:tab w:val="left" w:pos="3960"/>
          <w:tab w:val="left" w:pos="5400"/>
          <w:tab w:val="left" w:pos="6840"/>
        </w:tabs>
        <w:adjustRightInd w:val="0"/>
        <w:snapToGrid w:val="0"/>
        <w:spacing w:line="360" w:lineRule="auto"/>
        <w:rPr>
          <w:rFonts w:hint="eastAsia" w:ascii="Microsoft JhengHei UI Light" w:hAnsi="Microsoft JhengHei UI Light" w:eastAsia="Microsoft JhengHei UI Light" w:cs="Microsoft JhengHei UI Light"/>
          <w:sz w:val="24"/>
          <w:szCs w:val="24"/>
        </w:rPr>
      </w:pPr>
      <w:r>
        <w:rPr>
          <w:rFonts w:hint="eastAsia" w:ascii="Microsoft JhengHei UI Light" w:hAnsi="Microsoft JhengHei UI Light" w:eastAsia="Microsoft JhengHei UI Light" w:cs="Microsoft JhengHei UI Light"/>
          <w:sz w:val="24"/>
          <w:szCs w:val="24"/>
        </w:rPr>
        <w:t>施工现场的脚手架、承重平台、施工通道、临时作业支架应加以爱护，未经补充方案，不得任意拆除毁坏或削弱强度。</w:t>
      </w:r>
    </w:p>
    <w:p>
      <w:pPr>
        <w:numPr>
          <w:ilvl w:val="0"/>
          <w:numId w:val="7"/>
        </w:numPr>
        <w:tabs>
          <w:tab w:val="left" w:pos="945"/>
          <w:tab w:val="left" w:pos="3960"/>
          <w:tab w:val="left" w:pos="5400"/>
          <w:tab w:val="left" w:pos="6840"/>
        </w:tabs>
        <w:adjustRightInd w:val="0"/>
        <w:snapToGrid w:val="0"/>
        <w:spacing w:line="360" w:lineRule="auto"/>
        <w:rPr>
          <w:rFonts w:hint="eastAsia" w:ascii="Microsoft JhengHei UI Light" w:hAnsi="Microsoft JhengHei UI Light" w:eastAsia="Microsoft JhengHei UI Light" w:cs="Microsoft JhengHei UI Light"/>
          <w:sz w:val="24"/>
          <w:szCs w:val="24"/>
        </w:rPr>
      </w:pPr>
      <w:r>
        <w:rPr>
          <w:rFonts w:hint="eastAsia" w:ascii="Microsoft JhengHei UI Light" w:hAnsi="Microsoft JhengHei UI Light" w:eastAsia="Microsoft JhengHei UI Light" w:cs="Microsoft JhengHei UI Light"/>
          <w:sz w:val="24"/>
          <w:szCs w:val="24"/>
        </w:rPr>
        <w:t>各种施工机械（吊车、机动车等）和电气设备（工器具等）应专人使用和管理，要经常擦洗和养护，保持外貌清洁美观。安全操作规程和标志牌要悬挂醒目规范。</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(10)下班前要打扫清理作业场所，做到“工完料尽场地清”。</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(11)爱护现场安全设施和消防设施，未经批准不得随意移动、挪用或破坏。</w:t>
      </w:r>
    </w:p>
    <w:p>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(12)零米层水泥地坪完成以后，脚上不得带泥登上高处。</w:t>
      </w:r>
    </w:p>
    <w:p>
      <w:pPr>
        <w:tabs>
          <w:tab w:val="left" w:pos="945"/>
          <w:tab w:val="left" w:pos="3960"/>
          <w:tab w:val="left" w:pos="5400"/>
          <w:tab w:val="left" w:pos="6840"/>
        </w:tabs>
        <w:adjustRightInd w:val="0"/>
        <w:snapToGrid w:val="0"/>
        <w:spacing w:line="360" w:lineRule="auto"/>
        <w:jc w:val="center"/>
        <w:rPr>
          <w:rFonts w:hint="eastAsia" w:asciiTheme="majorEastAsia" w:hAnsiTheme="majorEastAsia" w:eastAsiaTheme="majorEastAsia" w:cstheme="majorEastAsia"/>
          <w:sz w:val="24"/>
          <w:szCs w:val="24"/>
        </w:rPr>
      </w:pPr>
      <w:r>
        <w:rPr>
          <w:rFonts w:hint="eastAsia" w:ascii="宋体" w:hAnsi="宋体"/>
          <w:sz w:val="24"/>
          <w:szCs w:val="24"/>
        </w:rPr>
        <w:t>(13)电焊作业时余下的焊条头不得随意丢弃，要集中存放回收。焊工使用的焊机、氧气瓶和乙炔瓶</w:t>
      </w:r>
      <w:r>
        <w:rPr>
          <w:rFonts w:hint="eastAsia" w:asciiTheme="majorEastAsia" w:hAnsiTheme="majorEastAsia" w:eastAsiaTheme="majorEastAsia" w:cstheme="majorEastAsia"/>
          <w:sz w:val="24"/>
          <w:szCs w:val="24"/>
        </w:rPr>
        <w:t>放置要规范，符合安全要求，焊把线不得超过30米，把焊线和乙炔皮管不得缠在一起。</w:t>
      </w:r>
    </w:p>
    <w:p>
      <w:pPr>
        <w:tabs>
          <w:tab w:val="left" w:pos="945"/>
          <w:tab w:val="left" w:pos="3960"/>
          <w:tab w:val="left" w:pos="5400"/>
          <w:tab w:val="left" w:pos="6840"/>
        </w:tabs>
        <w:adjustRightInd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(14)施工照明用电不得私拉乱接、各行其事，要统一合理布置，使用和管理要落实到班组或个人。</w:t>
      </w:r>
    </w:p>
    <w:p>
      <w:pPr>
        <w:pStyle w:val="24"/>
        <w:numPr>
          <w:ilvl w:val="0"/>
          <w:numId w:val="0"/>
        </w:numPr>
        <w:tabs>
          <w:tab w:val="left" w:pos="945"/>
          <w:tab w:val="left" w:pos="3960"/>
          <w:tab w:val="left" w:pos="5400"/>
          <w:tab w:val="left" w:pos="6840"/>
        </w:tabs>
        <w:adjustRightInd w:val="0"/>
        <w:snapToGrid w:val="0"/>
        <w:jc w:val="center"/>
        <w:rPr>
          <w:rFonts w:hint="eastAsia" w:asciiTheme="majorEastAsia" w:hAnsiTheme="majorEastAsia" w:eastAsiaTheme="majorEastAsia" w:cstheme="majorEastAsia"/>
          <w:color w:val="auto"/>
          <w:szCs w:val="24"/>
        </w:rPr>
      </w:pPr>
      <w:r>
        <w:rPr>
          <w:rFonts w:hint="eastAsia" w:asciiTheme="majorEastAsia" w:hAnsiTheme="majorEastAsia" w:eastAsiaTheme="majorEastAsia" w:cstheme="majorEastAsia"/>
          <w:color w:val="auto"/>
          <w:szCs w:val="24"/>
        </w:rPr>
        <w:t>(15)在高处打扫卫生时，不得造成尘沙飞扬、垃圾乱堆乱放，要按规定把垃圾送往垃圾通道或指定的地方。</w:t>
      </w:r>
    </w:p>
    <w:p>
      <w:pPr>
        <w:tabs>
          <w:tab w:val="left" w:pos="945"/>
          <w:tab w:val="left" w:pos="3960"/>
          <w:tab w:val="left" w:pos="5400"/>
          <w:tab w:val="left" w:pos="6840"/>
        </w:tabs>
        <w:adjustRightInd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(16)现场施工用水要控制漏淌、漫延，要合理用水，不得造成场地路面积水。</w:t>
      </w:r>
    </w:p>
    <w:p>
      <w:pPr>
        <w:tabs>
          <w:tab w:val="left" w:pos="945"/>
          <w:tab w:val="left" w:pos="3960"/>
          <w:tab w:val="left" w:pos="5400"/>
          <w:tab w:val="left" w:pos="6840"/>
        </w:tabs>
        <w:adjustRightInd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(17)现场堆放的各种物资、设备、材料应按要求放好垫好，堆放整齐，标识清楚。</w:t>
      </w:r>
    </w:p>
    <w:p>
      <w:pPr>
        <w:tabs>
          <w:tab w:val="left" w:pos="2160"/>
          <w:tab w:val="left" w:pos="3960"/>
          <w:tab w:val="left" w:pos="5400"/>
          <w:tab w:val="left" w:pos="6840"/>
        </w:tabs>
        <w:adjustRightInd w:val="0"/>
        <w:snapToGrid w:val="0"/>
        <w:spacing w:line="360" w:lineRule="auto"/>
        <w:jc w:val="center"/>
        <w:outlineLvl w:val="1"/>
        <w:rPr>
          <w:rFonts w:hint="eastAsia" w:asciiTheme="majorEastAsia" w:hAnsiTheme="majorEastAsia" w:eastAsiaTheme="majorEastAsia" w:cstheme="majorEastAsia"/>
          <w:b/>
          <w:sz w:val="24"/>
          <w:szCs w:val="24"/>
        </w:rPr>
      </w:pPr>
      <w:bookmarkStart w:id="34" w:name="_Toc2321"/>
      <w:bookmarkStart w:id="35" w:name="_Toc17150"/>
      <w:r>
        <w:rPr>
          <w:rFonts w:hint="eastAsia" w:asciiTheme="majorEastAsia" w:hAnsiTheme="majorEastAsia" w:eastAsiaTheme="majorEastAsia" w:cstheme="majorEastAsia"/>
          <w:b/>
          <w:sz w:val="24"/>
          <w:szCs w:val="24"/>
        </w:rPr>
        <w:t>7、环境保护</w:t>
      </w:r>
      <w:bookmarkEnd w:id="34"/>
      <w:bookmarkEnd w:id="35"/>
    </w:p>
    <w:p>
      <w:pPr>
        <w:tabs>
          <w:tab w:val="left" w:pos="2160"/>
          <w:tab w:val="left" w:pos="3960"/>
          <w:tab w:val="left" w:pos="5400"/>
          <w:tab w:val="left" w:pos="6840"/>
        </w:tabs>
        <w:adjustRightInd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施工承包商均应当遵守国家有关环境保护的法律规定，采取措施控制施工现场的各种粉尘、废水、废气、固体抛弃物以及噪声、振动对环境的污染和危害。同时，施工承包商应当采取下列防止环境污染的措施：</w:t>
      </w:r>
    </w:p>
    <w:p>
      <w:pPr>
        <w:numPr>
          <w:ilvl w:val="3"/>
          <w:numId w:val="8"/>
        </w:numPr>
        <w:tabs>
          <w:tab w:val="left" w:pos="2160"/>
          <w:tab w:val="left" w:pos="3960"/>
          <w:tab w:val="left" w:pos="5400"/>
          <w:tab w:val="left" w:pos="6840"/>
        </w:tabs>
        <w:adjustRightInd w:val="0"/>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妥善处理施工废水、废物；</w:t>
      </w:r>
    </w:p>
    <w:p>
      <w:pPr>
        <w:pStyle w:val="24"/>
        <w:numPr>
          <w:ilvl w:val="3"/>
          <w:numId w:val="8"/>
        </w:numPr>
        <w:tabs>
          <w:tab w:val="left" w:pos="2160"/>
          <w:tab w:val="left" w:pos="3960"/>
          <w:tab w:val="left" w:pos="5400"/>
          <w:tab w:val="left" w:pos="6840"/>
        </w:tabs>
        <w:adjustRightInd w:val="0"/>
        <w:snapToGrid w:val="0"/>
        <w:jc w:val="center"/>
        <w:rPr>
          <w:rFonts w:hint="eastAsia" w:asciiTheme="majorEastAsia" w:hAnsiTheme="majorEastAsia" w:eastAsiaTheme="majorEastAsia" w:cstheme="majorEastAsia"/>
          <w:color w:val="auto"/>
          <w:szCs w:val="24"/>
        </w:rPr>
      </w:pPr>
      <w:r>
        <w:rPr>
          <w:rFonts w:hint="eastAsia" w:asciiTheme="majorEastAsia" w:hAnsiTheme="majorEastAsia" w:eastAsiaTheme="majorEastAsia" w:cstheme="majorEastAsia"/>
          <w:color w:val="auto"/>
          <w:szCs w:val="24"/>
        </w:rPr>
        <w:t>除在设有符合规定的装置外，不得在施工现场熔融沥青或者焚烧油毡、油漆以及其它会产生有毒有害烟尘和恶臭气体的物质；</w:t>
      </w:r>
    </w:p>
    <w:p>
      <w:pPr>
        <w:numPr>
          <w:ilvl w:val="3"/>
          <w:numId w:val="8"/>
        </w:numPr>
        <w:tabs>
          <w:tab w:val="left" w:pos="2160"/>
          <w:tab w:val="left" w:pos="3960"/>
          <w:tab w:val="left" w:pos="5400"/>
          <w:tab w:val="left" w:pos="6840"/>
        </w:tabs>
        <w:adjustRightInd w:val="0"/>
        <w:snapToGrid w:val="0"/>
        <w:spacing w:line="360" w:lineRule="auto"/>
        <w:jc w:val="center"/>
        <w:rPr>
          <w:rFonts w:ascii="宋体" w:hAnsi="宋体"/>
          <w:sz w:val="24"/>
          <w:szCs w:val="24"/>
        </w:rPr>
      </w:pPr>
      <w:r>
        <w:rPr>
          <w:rFonts w:hint="eastAsia" w:asciiTheme="majorEastAsia" w:hAnsiTheme="majorEastAsia" w:eastAsiaTheme="majorEastAsia" w:cstheme="majorEastAsia"/>
          <w:sz w:val="24"/>
          <w:szCs w:val="24"/>
        </w:rPr>
        <w:t>采取有效措施控制施工过程中的扬尘，现场堆放的泥工要采</w:t>
      </w:r>
      <w:r>
        <w:rPr>
          <w:rFonts w:hint="eastAsia" w:ascii="宋体" w:hAnsi="宋体"/>
          <w:sz w:val="24"/>
          <w:szCs w:val="24"/>
        </w:rPr>
        <w:t>取覆盖，施工现场及道路要采取洒水降尘措施；</w:t>
      </w:r>
    </w:p>
    <w:p>
      <w:pPr>
        <w:numPr>
          <w:ilvl w:val="3"/>
          <w:numId w:val="8"/>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对于产生振动、噪声的施工机械，应当采取有效的控制措施，减轻噪声污染。发现违反规定者，监理工程师将配合业主及有关主管部门，根据有关规定，采取警告、责令改正、下停工令等措施。</w:t>
      </w:r>
    </w:p>
    <w:p>
      <w:pPr>
        <w:numPr>
          <w:ilvl w:val="3"/>
          <w:numId w:val="8"/>
        </w:numPr>
        <w:tabs>
          <w:tab w:val="left" w:pos="2160"/>
          <w:tab w:val="left" w:pos="3960"/>
          <w:tab w:val="left" w:pos="5400"/>
          <w:tab w:val="left" w:pos="6840"/>
        </w:tabs>
        <w:adjustRightInd w:val="0"/>
        <w:snapToGrid w:val="0"/>
        <w:rPr>
          <w:rFonts w:hint="eastAsia" w:ascii="宋体" w:hAnsi="宋体"/>
          <w:b/>
          <w:color w:val="000000"/>
          <w:sz w:val="24"/>
          <w:szCs w:val="24"/>
        </w:rPr>
      </w:pPr>
      <w:r>
        <w:rPr>
          <w:rFonts w:hint="eastAsia" w:ascii="宋体" w:hAnsi="宋体"/>
          <w:sz w:val="24"/>
          <w:szCs w:val="24"/>
        </w:rPr>
        <w:t>保护好施工区段的树木、草皮和生态环境。</w:t>
      </w:r>
      <w:bookmarkStart w:id="36" w:name="_Toc15205"/>
      <w:bookmarkStart w:id="37" w:name="_Toc29088"/>
    </w:p>
    <w:p>
      <w:pPr>
        <w:spacing w:line="360" w:lineRule="auto"/>
        <w:outlineLvl w:val="0"/>
        <w:rPr>
          <w:rFonts w:ascii="宋体" w:hAnsi="宋体"/>
          <w:b/>
          <w:color w:val="000000"/>
          <w:sz w:val="24"/>
          <w:szCs w:val="24"/>
        </w:rPr>
      </w:pPr>
      <w:r>
        <w:rPr>
          <w:rFonts w:hint="eastAsia" w:ascii="宋体" w:hAnsi="宋体"/>
          <w:b/>
          <w:color w:val="000000"/>
          <w:sz w:val="24"/>
          <w:szCs w:val="24"/>
          <w:lang w:val="en-US" w:eastAsia="zh-CN"/>
        </w:rPr>
        <w:t>六</w:t>
      </w:r>
      <w:r>
        <w:rPr>
          <w:rFonts w:hint="eastAsia" w:ascii="宋体" w:hAnsi="宋体"/>
          <w:b/>
          <w:color w:val="000000"/>
          <w:sz w:val="24"/>
          <w:szCs w:val="24"/>
        </w:rPr>
        <w:t>、管理体系及职责：</w:t>
      </w:r>
      <w:bookmarkEnd w:id="36"/>
      <w:bookmarkEnd w:id="37"/>
    </w:p>
    <w:p>
      <w:pPr>
        <w:spacing w:line="360" w:lineRule="auto"/>
        <w:outlineLvl w:val="1"/>
        <w:rPr>
          <w:rFonts w:ascii="宋体" w:hAnsi="宋体"/>
          <w:b/>
          <w:color w:val="000000"/>
          <w:sz w:val="24"/>
          <w:szCs w:val="24"/>
        </w:rPr>
      </w:pPr>
      <w:bookmarkStart w:id="38" w:name="_Toc27270"/>
      <w:bookmarkStart w:id="39" w:name="_Toc21255"/>
      <w:r>
        <w:rPr>
          <w:rFonts w:hint="eastAsia" w:ascii="宋体" w:hAnsi="宋体"/>
          <w:b/>
          <w:color w:val="000000"/>
          <w:sz w:val="24"/>
          <w:szCs w:val="24"/>
        </w:rPr>
        <w:t xml:space="preserve">1、管理体系：         </w:t>
      </w:r>
    </w:p>
    <w:p>
      <w:pPr>
        <w:spacing w:line="360" w:lineRule="auto"/>
        <w:outlineLvl w:val="1"/>
        <w:rPr>
          <w:rFonts w:ascii="宋体" w:hAnsi="宋体"/>
          <w:b/>
          <w:color w:val="000000"/>
          <w:sz w:val="24"/>
          <w:szCs w:val="24"/>
        </w:rPr>
      </w:pPr>
      <w:r>
        <w:rPr>
          <w:rFonts w:hint="eastAsia" w:cs="宋体"/>
          <w:bCs/>
          <w:color w:val="000000"/>
          <w:kern w:val="0"/>
          <w:sz w:val="24"/>
          <w:szCs w:val="24"/>
        </w:rPr>
        <w:t>监理部安全组织机构网络图</w:t>
      </w:r>
      <w:bookmarkEnd w:id="38"/>
      <w:bookmarkEnd w:id="39"/>
    </w:p>
    <w:p>
      <w:pPr>
        <w:spacing w:line="360" w:lineRule="auto"/>
        <w:rPr>
          <w:rFonts w:ascii="宋体" w:hAnsi="宋体"/>
          <w:color w:val="000000"/>
          <w:sz w:val="24"/>
          <w:szCs w:val="24"/>
        </w:rPr>
      </w:pPr>
      <w:r>
        <w:rPr>
          <w:rFonts w:hint="eastAsia" w:ascii="宋体" w:hAnsi="宋体"/>
          <w:color w:val="000000"/>
          <w:sz w:val="24"/>
          <w:szCs w:val="24"/>
        </w:rPr>
        <mc:AlternateContent>
          <mc:Choice Requires="wpg">
            <w:drawing>
              <wp:anchor distT="0" distB="0" distL="114300" distR="114300" simplePos="0" relativeHeight="251661312" behindDoc="0" locked="0" layoutInCell="1" allowOverlap="1">
                <wp:simplePos x="0" y="0"/>
                <wp:positionH relativeFrom="column">
                  <wp:posOffset>236855</wp:posOffset>
                </wp:positionH>
                <wp:positionV relativeFrom="paragraph">
                  <wp:posOffset>175895</wp:posOffset>
                </wp:positionV>
                <wp:extent cx="4914900" cy="2377440"/>
                <wp:effectExtent l="4445" t="4445" r="14605" b="18415"/>
                <wp:wrapNone/>
                <wp:docPr id="4" name="组合 4"/>
                <wp:cNvGraphicFramePr/>
                <a:graphic xmlns:a="http://schemas.openxmlformats.org/drawingml/2006/main">
                  <a:graphicData uri="http://schemas.microsoft.com/office/word/2010/wordprocessingGroup">
                    <wpg:wgp>
                      <wpg:cNvGrpSpPr/>
                      <wpg:grpSpPr>
                        <a:xfrm>
                          <a:off x="0" y="0"/>
                          <a:ext cx="4914900" cy="2377440"/>
                          <a:chOff x="0" y="0"/>
                          <a:chExt cx="7380" cy="3276"/>
                        </a:xfrm>
                      </wpg:grpSpPr>
                      <wps:wsp>
                        <wps:cNvPr id="5" name="Line 17"/>
                        <wps:cNvCnPr>
                          <a:cxnSpLocks noChangeShapeType="1"/>
                        </wps:cNvCnPr>
                        <wps:spPr bwMode="auto">
                          <a:xfrm flipH="1">
                            <a:off x="6660" y="2340"/>
                            <a:ext cx="0" cy="552"/>
                          </a:xfrm>
                          <a:prstGeom prst="line">
                            <a:avLst/>
                          </a:prstGeom>
                          <a:noFill/>
                          <a:ln w="9525">
                            <a:solidFill>
                              <a:srgbClr val="000000"/>
                            </a:solidFill>
                            <a:round/>
                          </a:ln>
                        </wps:spPr>
                        <wps:bodyPr/>
                      </wps:wsp>
                      <wps:wsp>
                        <wps:cNvPr id="6" name="Line 18"/>
                        <wps:cNvCnPr>
                          <a:cxnSpLocks noChangeShapeType="1"/>
                        </wps:cNvCnPr>
                        <wps:spPr bwMode="auto">
                          <a:xfrm flipH="1">
                            <a:off x="4140" y="2340"/>
                            <a:ext cx="0" cy="552"/>
                          </a:xfrm>
                          <a:prstGeom prst="line">
                            <a:avLst/>
                          </a:prstGeom>
                          <a:noFill/>
                          <a:ln w="9525">
                            <a:solidFill>
                              <a:srgbClr val="000000"/>
                            </a:solidFill>
                            <a:round/>
                          </a:ln>
                        </wps:spPr>
                        <wps:bodyPr/>
                      </wps:wsp>
                      <wps:wsp>
                        <wps:cNvPr id="7" name="Text Box 19"/>
                        <wps:cNvSpPr txBox="1">
                          <a:spLocks noChangeArrowheads="1"/>
                        </wps:cNvSpPr>
                        <wps:spPr bwMode="auto">
                          <a:xfrm>
                            <a:off x="1620" y="0"/>
                            <a:ext cx="144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总监理师</w:t>
                              </w:r>
                            </w:p>
                          </w:txbxContent>
                        </wps:txbx>
                        <wps:bodyPr rot="0" vert="horz" wrap="square" lIns="91440" tIns="45720" rIns="91440" bIns="45720" anchor="t" anchorCtr="0" upright="1">
                          <a:noAutofit/>
                        </wps:bodyPr>
                      </wps:wsp>
                      <wps:wsp>
                        <wps:cNvPr id="8" name="Line 20"/>
                        <wps:cNvCnPr>
                          <a:cxnSpLocks noChangeShapeType="1"/>
                        </wps:cNvCnPr>
                        <wps:spPr bwMode="auto">
                          <a:xfrm>
                            <a:off x="2340" y="468"/>
                            <a:ext cx="0" cy="312"/>
                          </a:xfrm>
                          <a:prstGeom prst="line">
                            <a:avLst/>
                          </a:prstGeom>
                          <a:noFill/>
                          <a:ln w="9525">
                            <a:solidFill>
                              <a:srgbClr val="000000"/>
                            </a:solidFill>
                            <a:round/>
                          </a:ln>
                        </wps:spPr>
                        <wps:bodyPr/>
                      </wps:wsp>
                      <wps:wsp>
                        <wps:cNvPr id="9" name="Text Box 21"/>
                        <wps:cNvSpPr txBox="1">
                          <a:spLocks noChangeArrowheads="1"/>
                        </wps:cNvSpPr>
                        <wps:spPr bwMode="auto">
                          <a:xfrm>
                            <a:off x="1620" y="780"/>
                            <a:ext cx="1620" cy="468"/>
                          </a:xfrm>
                          <a:prstGeom prst="rect">
                            <a:avLst/>
                          </a:prstGeom>
                          <a:solidFill>
                            <a:srgbClr val="FFFFFF"/>
                          </a:solidFill>
                          <a:ln w="9525">
                            <a:solidFill>
                              <a:srgbClr val="000000"/>
                            </a:solidFill>
                            <a:miter lim="800000"/>
                          </a:ln>
                        </wps:spPr>
                        <wps:txbx>
                          <w:txbxContent>
                            <w:p>
                              <w:pPr>
                                <w:jc w:val="center"/>
                                <w:rPr>
                                  <w:rFonts w:hint="eastAsia" w:ascii="宋体" w:hAnsi="宋体" w:eastAsiaTheme="minorEastAsia"/>
                                  <w:lang w:eastAsia="zh-CN"/>
                                </w:rPr>
                              </w:pPr>
                              <w:r>
                                <w:rPr>
                                  <w:rFonts w:hint="eastAsia" w:ascii="宋体" w:hAnsi="宋体"/>
                                  <w:sz w:val="24"/>
                                </w:rPr>
                                <w:t>总监</w:t>
                              </w:r>
                              <w:r>
                                <w:rPr>
                                  <w:rFonts w:hint="eastAsia" w:ascii="宋体" w:hAnsi="宋体"/>
                                  <w:sz w:val="24"/>
                                  <w:lang w:eastAsia="zh-CN"/>
                                </w:rPr>
                                <w:t>代表</w:t>
                              </w:r>
                            </w:p>
                          </w:txbxContent>
                        </wps:txbx>
                        <wps:bodyPr rot="0" vert="horz" wrap="square" lIns="91440" tIns="45720" rIns="91440" bIns="45720" anchor="t" anchorCtr="0" upright="1">
                          <a:noAutofit/>
                        </wps:bodyPr>
                      </wps:wsp>
                      <wps:wsp>
                        <wps:cNvPr id="10" name="Text Box 22"/>
                        <wps:cNvSpPr txBox="1">
                          <a:spLocks noChangeArrowheads="1"/>
                        </wps:cNvSpPr>
                        <wps:spPr bwMode="auto">
                          <a:xfrm>
                            <a:off x="3060" y="2808"/>
                            <a:ext cx="216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lang w:eastAsia="zh-CN"/>
                                </w:rPr>
                                <w:t>电气</w:t>
                              </w:r>
                              <w:r>
                                <w:rPr>
                                  <w:rFonts w:hint="eastAsia" w:ascii="宋体" w:hAnsi="宋体"/>
                                  <w:sz w:val="24"/>
                                </w:rPr>
                                <w:t>监理组</w:t>
                              </w:r>
                            </w:p>
                          </w:txbxContent>
                        </wps:txbx>
                        <wps:bodyPr rot="0" vert="horz" wrap="square" lIns="91440" tIns="45720" rIns="91440" bIns="45720" anchor="t" anchorCtr="0" upright="1">
                          <a:noAutofit/>
                        </wps:bodyPr>
                      </wps:wsp>
                      <wps:wsp>
                        <wps:cNvPr id="11" name="Text Box 23"/>
                        <wps:cNvSpPr txBox="1">
                          <a:spLocks noChangeArrowheads="1"/>
                        </wps:cNvSpPr>
                        <wps:spPr bwMode="auto">
                          <a:xfrm>
                            <a:off x="0" y="2808"/>
                            <a:ext cx="216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土建监理组</w:t>
                              </w:r>
                            </w:p>
                          </w:txbxContent>
                        </wps:txbx>
                        <wps:bodyPr rot="0" vert="horz" wrap="square" lIns="91440" tIns="45720" rIns="91440" bIns="45720" anchor="t" anchorCtr="0" upright="1">
                          <a:noAutofit/>
                        </wps:bodyPr>
                      </wps:wsp>
                      <wps:wsp>
                        <wps:cNvPr id="12" name="Text Box 24"/>
                        <wps:cNvSpPr txBox="1">
                          <a:spLocks noChangeArrowheads="1"/>
                        </wps:cNvSpPr>
                        <wps:spPr bwMode="auto">
                          <a:xfrm>
                            <a:off x="3960" y="1248"/>
                            <a:ext cx="1440" cy="468"/>
                          </a:xfrm>
                          <a:prstGeom prst="rect">
                            <a:avLst/>
                          </a:prstGeom>
                          <a:solidFill>
                            <a:srgbClr val="FFFFFF"/>
                          </a:solidFill>
                          <a:ln w="9525">
                            <a:solidFill>
                              <a:srgbClr val="000000"/>
                            </a:solidFill>
                            <a:miter lim="800000"/>
                          </a:ln>
                        </wps:spPr>
                        <wps:txbx>
                          <w:txbxContent>
                            <w:p>
                              <w:pPr>
                                <w:jc w:val="center"/>
                                <w:rPr>
                                  <w:rFonts w:ascii="宋体" w:hAnsi="宋体"/>
                                  <w:sz w:val="15"/>
                                  <w:szCs w:val="15"/>
                                </w:rPr>
                              </w:pPr>
                              <w:r>
                                <w:rPr>
                                  <w:rFonts w:hint="eastAsia" w:ascii="宋体" w:hAnsi="宋体"/>
                                  <w:sz w:val="15"/>
                                  <w:szCs w:val="15"/>
                                </w:rPr>
                                <w:t>办公室（综合组）</w:t>
                              </w:r>
                            </w:p>
                          </w:txbxContent>
                        </wps:txbx>
                        <wps:bodyPr rot="0" vert="horz" wrap="square" lIns="91440" tIns="45720" rIns="91440" bIns="45720" anchor="t" anchorCtr="0" upright="1">
                          <a:noAutofit/>
                        </wps:bodyPr>
                      </wps:wsp>
                      <wps:wsp>
                        <wps:cNvPr id="13" name="Text Box 25"/>
                        <wps:cNvSpPr txBox="1">
                          <a:spLocks noChangeArrowheads="1"/>
                        </wps:cNvSpPr>
                        <wps:spPr bwMode="auto">
                          <a:xfrm>
                            <a:off x="5760" y="2808"/>
                            <a:ext cx="1620" cy="468"/>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 w:val="24"/>
                                </w:rPr>
                                <w:t xml:space="preserve">安全监理组    </w:t>
                              </w:r>
                            </w:p>
                          </w:txbxContent>
                        </wps:txbx>
                        <wps:bodyPr rot="0" vert="horz" wrap="square" lIns="91440" tIns="45720" rIns="91440" bIns="45720" anchor="t" anchorCtr="0" upright="1">
                          <a:noAutofit/>
                        </wps:bodyPr>
                      </wps:wsp>
                      <wps:wsp>
                        <wps:cNvPr id="14" name="Line 26"/>
                        <wps:cNvCnPr>
                          <a:cxnSpLocks noChangeShapeType="1"/>
                        </wps:cNvCnPr>
                        <wps:spPr bwMode="auto">
                          <a:xfrm>
                            <a:off x="2340" y="1248"/>
                            <a:ext cx="0" cy="1092"/>
                          </a:xfrm>
                          <a:prstGeom prst="line">
                            <a:avLst/>
                          </a:prstGeom>
                          <a:noFill/>
                          <a:ln w="9525">
                            <a:solidFill>
                              <a:srgbClr val="000000"/>
                            </a:solidFill>
                            <a:round/>
                          </a:ln>
                        </wps:spPr>
                        <wps:bodyPr/>
                      </wps:wsp>
                      <wps:wsp>
                        <wps:cNvPr id="15" name="Line 27"/>
                        <wps:cNvCnPr>
                          <a:cxnSpLocks noChangeShapeType="1"/>
                        </wps:cNvCnPr>
                        <wps:spPr bwMode="auto">
                          <a:xfrm>
                            <a:off x="1080" y="2340"/>
                            <a:ext cx="0" cy="468"/>
                          </a:xfrm>
                          <a:prstGeom prst="line">
                            <a:avLst/>
                          </a:prstGeom>
                          <a:noFill/>
                          <a:ln w="9525">
                            <a:solidFill>
                              <a:srgbClr val="000000"/>
                            </a:solidFill>
                            <a:round/>
                          </a:ln>
                        </wps:spPr>
                        <wps:bodyPr/>
                      </wps:wsp>
                      <wps:wsp>
                        <wps:cNvPr id="16" name="Line 28"/>
                        <wps:cNvCnPr>
                          <a:cxnSpLocks noChangeShapeType="1"/>
                        </wps:cNvCnPr>
                        <wps:spPr bwMode="auto">
                          <a:xfrm>
                            <a:off x="1080" y="2340"/>
                            <a:ext cx="5580" cy="0"/>
                          </a:xfrm>
                          <a:prstGeom prst="line">
                            <a:avLst/>
                          </a:prstGeom>
                          <a:noFill/>
                          <a:ln w="9525">
                            <a:solidFill>
                              <a:srgbClr val="000000"/>
                            </a:solidFill>
                            <a:round/>
                          </a:ln>
                        </wps:spPr>
                        <wps:bodyPr/>
                      </wps:wsp>
                      <wps:wsp>
                        <wps:cNvPr id="17" name="Line 29"/>
                        <wps:cNvCnPr>
                          <a:cxnSpLocks noChangeShapeType="1"/>
                        </wps:cNvCnPr>
                        <wps:spPr bwMode="auto">
                          <a:xfrm>
                            <a:off x="2340" y="1560"/>
                            <a:ext cx="1620" cy="0"/>
                          </a:xfrm>
                          <a:prstGeom prst="line">
                            <a:avLst/>
                          </a:prstGeom>
                          <a:noFill/>
                          <a:ln w="9525">
                            <a:solidFill>
                              <a:srgbClr val="000000"/>
                            </a:solidFill>
                            <a:round/>
                          </a:ln>
                        </wps:spPr>
                        <wps:bodyPr/>
                      </wps:wsp>
                      <wps:wsp>
                        <wps:cNvPr id="18" name="Line 30"/>
                        <wps:cNvCnPr>
                          <a:cxnSpLocks noChangeShapeType="1"/>
                        </wps:cNvCnPr>
                        <wps:spPr bwMode="auto">
                          <a:xfrm>
                            <a:off x="4680" y="1716"/>
                            <a:ext cx="0" cy="624"/>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8.65pt;margin-top:13.85pt;height:187.2pt;width:387pt;z-index:251661312;mso-width-relative:page;mso-height-relative:page;" coordsize="7380,3276" o:gfxdata="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">
                <o:lock v:ext="edit" aspectratio="f"/>
                <v:line id="Line 17" o:spid="_x0000_s1026" o:spt="20" style="position:absolute;left:6660;top:2340;flip:x;height:552;width:0;"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8" o:spid="_x0000_s1026" o:spt="20" style="position:absolute;left:4140;top:2340;flip:x;height:552;width:0;" filled="f" stroked="t" coordsize="21600,21600" o:gfxdata="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wyo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19" o:spid="_x0000_s1026" o:spt="202" type="#_x0000_t202" style="position:absolute;left:1620;top:0;height:468;width:144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总监理师</w:t>
                        </w:r>
                      </w:p>
                    </w:txbxContent>
                  </v:textbox>
                </v:shape>
                <v:line id="Line 20" o:spid="_x0000_s1026" o:spt="20" style="position:absolute;left:2340;top:468;height:312;width: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shape id="Text Box 21" o:spid="_x0000_s1026" o:spt="202" type="#_x0000_t202" style="position:absolute;left:1620;top:780;height:468;width:162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ascii="宋体" w:hAnsi="宋体" w:eastAsiaTheme="minorEastAsia"/>
                            <w:lang w:eastAsia="zh-CN"/>
                          </w:rPr>
                        </w:pPr>
                        <w:r>
                          <w:rPr>
                            <w:rFonts w:hint="eastAsia" w:ascii="宋体" w:hAnsi="宋体"/>
                            <w:sz w:val="24"/>
                          </w:rPr>
                          <w:t>总监</w:t>
                        </w:r>
                        <w:r>
                          <w:rPr>
                            <w:rFonts w:hint="eastAsia" w:ascii="宋体" w:hAnsi="宋体"/>
                            <w:sz w:val="24"/>
                            <w:lang w:eastAsia="zh-CN"/>
                          </w:rPr>
                          <w:t>代表</w:t>
                        </w:r>
                      </w:p>
                    </w:txbxContent>
                  </v:textbox>
                </v:shape>
                <v:shape id="Text Box 22" o:spid="_x0000_s1026" o:spt="202" type="#_x0000_t202" style="position:absolute;left:3060;top:2808;height:468;width:216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lang w:eastAsia="zh-CN"/>
                          </w:rPr>
                          <w:t>电气</w:t>
                        </w:r>
                        <w:r>
                          <w:rPr>
                            <w:rFonts w:hint="eastAsia" w:ascii="宋体" w:hAnsi="宋体"/>
                            <w:sz w:val="24"/>
                          </w:rPr>
                          <w:t>监理组</w:t>
                        </w:r>
                      </w:p>
                    </w:txbxContent>
                  </v:textbox>
                </v:shape>
                <v:shape id="Text Box 23" o:spid="_x0000_s1026" o:spt="202" type="#_x0000_t202" style="position:absolute;left:0;top:2808;height:468;width:216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土建监理组</w:t>
                        </w:r>
                      </w:p>
                    </w:txbxContent>
                  </v:textbox>
                </v:shape>
                <v:shape id="Text Box 24" o:spid="_x0000_s1026" o:spt="202" type="#_x0000_t202" style="position:absolute;left:3960;top:1248;height:468;width:144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ascii="宋体" w:hAnsi="宋体"/>
                            <w:sz w:val="15"/>
                            <w:szCs w:val="15"/>
                          </w:rPr>
                        </w:pPr>
                        <w:r>
                          <w:rPr>
                            <w:rFonts w:hint="eastAsia" w:ascii="宋体" w:hAnsi="宋体"/>
                            <w:sz w:val="15"/>
                            <w:szCs w:val="15"/>
                          </w:rPr>
                          <w:t>办公室（综合组）</w:t>
                        </w:r>
                      </w:p>
                    </w:txbxContent>
                  </v:textbox>
                </v:shape>
                <v:shape id="Text Box 25" o:spid="_x0000_s1026" o:spt="202" type="#_x0000_t202" style="position:absolute;left:5760;top:2808;height:468;width:1620;"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宋体" w:hAnsi="宋体"/>
                          </w:rPr>
                        </w:pPr>
                        <w:r>
                          <w:rPr>
                            <w:rFonts w:hint="eastAsia" w:ascii="宋体" w:hAnsi="宋体"/>
                            <w:sz w:val="24"/>
                          </w:rPr>
                          <w:t xml:space="preserve">安全监理组    </w:t>
                        </w:r>
                      </w:p>
                    </w:txbxContent>
                  </v:textbox>
                </v:shape>
                <v:line id="Line 26" o:spid="_x0000_s1026" o:spt="20" style="position:absolute;left:2340;top:1248;height:1092;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1080;top:2340;height:468;width: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1080;top:2340;height:0;width:558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2340;top:1560;height:0;width:162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 o:spid="_x0000_s1026" o:spt="20" style="position:absolute;left:4680;top:1716;height:624;width: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p>
    <w:p>
      <w:pPr>
        <w:spacing w:line="360" w:lineRule="auto"/>
        <w:outlineLvl w:val="1"/>
        <w:rPr>
          <w:rFonts w:hint="eastAsia" w:ascii="宋体" w:hAnsi="宋体"/>
          <w:b/>
          <w:color w:val="000000"/>
          <w:sz w:val="24"/>
          <w:szCs w:val="24"/>
        </w:rPr>
      </w:pPr>
      <w:bookmarkStart w:id="40" w:name="_Toc23267"/>
      <w:bookmarkStart w:id="41" w:name="_Toc695"/>
    </w:p>
    <w:p>
      <w:pPr>
        <w:spacing w:line="360" w:lineRule="auto"/>
        <w:outlineLvl w:val="1"/>
        <w:rPr>
          <w:rFonts w:hint="eastAsia" w:ascii="宋体" w:hAnsi="宋体"/>
          <w:b/>
          <w:color w:val="000000"/>
          <w:sz w:val="24"/>
          <w:szCs w:val="24"/>
        </w:rPr>
      </w:pPr>
    </w:p>
    <w:p>
      <w:pPr>
        <w:spacing w:line="360" w:lineRule="auto"/>
        <w:outlineLvl w:val="1"/>
        <w:rPr>
          <w:rFonts w:hint="eastAsia" w:ascii="宋体" w:hAnsi="宋体"/>
          <w:b/>
          <w:color w:val="000000"/>
          <w:sz w:val="24"/>
          <w:szCs w:val="24"/>
        </w:rPr>
      </w:pPr>
    </w:p>
    <w:p>
      <w:pPr>
        <w:spacing w:line="360" w:lineRule="auto"/>
        <w:outlineLvl w:val="1"/>
        <w:rPr>
          <w:rFonts w:hint="eastAsia" w:ascii="宋体" w:hAnsi="宋体"/>
          <w:b/>
          <w:color w:val="000000"/>
          <w:sz w:val="24"/>
          <w:szCs w:val="24"/>
        </w:rPr>
      </w:pPr>
    </w:p>
    <w:p>
      <w:pPr>
        <w:spacing w:line="360" w:lineRule="auto"/>
        <w:outlineLvl w:val="1"/>
        <w:rPr>
          <w:rFonts w:hint="eastAsia" w:ascii="宋体" w:hAnsi="宋体"/>
          <w:b/>
          <w:color w:val="000000"/>
          <w:sz w:val="24"/>
          <w:szCs w:val="24"/>
        </w:rPr>
      </w:pPr>
    </w:p>
    <w:p>
      <w:pPr>
        <w:spacing w:line="360" w:lineRule="auto"/>
        <w:outlineLvl w:val="1"/>
        <w:rPr>
          <w:rFonts w:hint="eastAsia" w:ascii="宋体" w:hAnsi="宋体"/>
          <w:b/>
          <w:color w:val="000000"/>
          <w:sz w:val="24"/>
          <w:szCs w:val="24"/>
        </w:rPr>
      </w:pPr>
    </w:p>
    <w:p>
      <w:pPr>
        <w:spacing w:line="360" w:lineRule="auto"/>
        <w:outlineLvl w:val="1"/>
        <w:rPr>
          <w:rFonts w:hint="eastAsia" w:ascii="宋体" w:hAnsi="宋体"/>
          <w:b/>
          <w:color w:val="000000"/>
          <w:sz w:val="24"/>
          <w:szCs w:val="24"/>
        </w:rPr>
      </w:pPr>
    </w:p>
    <w:p>
      <w:pPr>
        <w:spacing w:line="360" w:lineRule="auto"/>
        <w:outlineLvl w:val="1"/>
        <w:rPr>
          <w:rFonts w:hint="eastAsia" w:ascii="宋体" w:hAnsi="宋体"/>
          <w:b/>
          <w:color w:val="000000"/>
          <w:sz w:val="24"/>
          <w:szCs w:val="24"/>
        </w:rPr>
      </w:pPr>
    </w:p>
    <w:p>
      <w:pPr>
        <w:spacing w:line="360" w:lineRule="auto"/>
        <w:outlineLvl w:val="1"/>
        <w:rPr>
          <w:rFonts w:ascii="宋体" w:hAnsi="宋体"/>
          <w:b/>
          <w:color w:val="000000"/>
          <w:sz w:val="24"/>
          <w:szCs w:val="24"/>
        </w:rPr>
      </w:pPr>
      <w:r>
        <w:rPr>
          <w:rFonts w:hint="eastAsia" w:ascii="宋体" w:hAnsi="宋体"/>
          <w:b/>
          <w:color w:val="000000"/>
          <w:sz w:val="24"/>
          <w:szCs w:val="24"/>
        </w:rPr>
        <w:t>2、岗位安</w:t>
      </w:r>
      <w:bookmarkEnd w:id="40"/>
      <w:bookmarkStart w:id="42" w:name="_Toc31827"/>
      <w:bookmarkStart w:id="43" w:name="_Toc28588"/>
      <w:r>
        <w:rPr>
          <w:rFonts w:hint="eastAsia" w:ascii="宋体" w:hAnsi="宋体"/>
          <w:b/>
          <w:color w:val="000000"/>
          <w:sz w:val="24"/>
          <w:szCs w:val="24"/>
        </w:rPr>
        <w:t>全职责：</w:t>
      </w:r>
      <w:bookmarkEnd w:id="41"/>
      <w:bookmarkEnd w:id="42"/>
      <w:bookmarkEnd w:id="43"/>
    </w:p>
    <w:p>
      <w:pPr>
        <w:spacing w:line="360" w:lineRule="auto"/>
        <w:ind w:firstLine="590" w:firstLineChars="245"/>
        <w:rPr>
          <w:rFonts w:ascii="宋体" w:hAnsi="宋体" w:cs="宋体"/>
          <w:bCs/>
          <w:kern w:val="0"/>
          <w:sz w:val="24"/>
          <w:szCs w:val="24"/>
        </w:rPr>
      </w:pPr>
      <w:r>
        <w:rPr>
          <w:rFonts w:hint="eastAsia" w:ascii="宋体" w:hAnsi="宋体" w:cs="宋体"/>
          <w:b/>
          <w:bCs/>
          <w:kern w:val="0"/>
          <w:sz w:val="24"/>
          <w:szCs w:val="24"/>
        </w:rPr>
        <w:t>A、总监工程师（代表）</w:t>
      </w:r>
      <w:r>
        <w:rPr>
          <w:rFonts w:hint="eastAsia" w:ascii="宋体" w:hAnsi="宋体"/>
          <w:b/>
          <w:color w:val="000000"/>
          <w:sz w:val="24"/>
          <w:szCs w:val="24"/>
        </w:rPr>
        <w:t>安全</w:t>
      </w:r>
      <w:r>
        <w:rPr>
          <w:rFonts w:hint="eastAsia" w:ascii="宋体" w:hAnsi="宋体" w:cs="宋体"/>
          <w:b/>
          <w:bCs/>
          <w:kern w:val="0"/>
          <w:sz w:val="24"/>
          <w:szCs w:val="24"/>
        </w:rPr>
        <w:t>职责</w:t>
      </w:r>
      <w:r>
        <w:rPr>
          <w:rFonts w:hint="eastAsia" w:ascii="宋体" w:hAnsi="宋体" w:cs="宋体"/>
          <w:bCs/>
          <w:kern w:val="0"/>
          <w:sz w:val="24"/>
          <w:szCs w:val="24"/>
        </w:rPr>
        <w:t>：</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1）.审查分包单位的安全生产许可证，并提出审查意见；</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2）.审查施工组织设计中的安全技术措施；</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3）.审查专项施工方案；</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4）.参与工程安全事故的调查；</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5）.组织编写并签发安全监理工作阶段报告，专题报告和项目安全监理工作的总结；</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6）.组织监理人员定期对工程项目进行安全检查；</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7）.核查承包单位的施工机械、安全设施的验收手续；</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8）.发现存在安全事故隐患，应当要求施工单位限期整改；</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9）.发现存在情况严重的安全事故隐患，应要求施工单位暂停施工；并及时报告建设单位。</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10）.施工单位拒不整改或拒不停止施工，应及时向政府有关部门报告。</w:t>
      </w:r>
    </w:p>
    <w:p>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B、安全监理组负责人职责：</w:t>
      </w:r>
    </w:p>
    <w:p>
      <w:pPr>
        <w:spacing w:line="360" w:lineRule="auto"/>
        <w:rPr>
          <w:rFonts w:ascii="宋体" w:hAnsi="宋体"/>
          <w:sz w:val="24"/>
          <w:szCs w:val="24"/>
        </w:rPr>
      </w:pPr>
      <w:r>
        <w:rPr>
          <w:rFonts w:ascii="宋体" w:hAnsi="宋体" w:cs="宋体"/>
          <w:bCs/>
          <w:kern w:val="0"/>
          <w:sz w:val="24"/>
          <w:szCs w:val="24"/>
        </w:rPr>
        <w:t>施工准备阶段</w:t>
      </w:r>
      <w:r>
        <w:rPr>
          <w:rFonts w:hint="eastAsia" w:ascii="宋体" w:hAnsi="宋体" w:cs="宋体"/>
          <w:bCs/>
          <w:kern w:val="0"/>
          <w:sz w:val="24"/>
          <w:szCs w:val="24"/>
        </w:rPr>
        <w:t>：</w:t>
      </w:r>
    </w:p>
    <w:p>
      <w:pPr>
        <w:spacing w:line="360" w:lineRule="auto"/>
        <w:ind w:firstLine="480" w:firstLineChars="200"/>
        <w:rPr>
          <w:rFonts w:ascii="宋体" w:hAnsi="宋体"/>
          <w:sz w:val="24"/>
          <w:szCs w:val="24"/>
        </w:rPr>
      </w:pPr>
      <w:r>
        <w:rPr>
          <w:rStyle w:val="25"/>
          <w:rFonts w:ascii="宋体" w:hAnsi="宋体"/>
          <w:sz w:val="24"/>
          <w:szCs w:val="24"/>
        </w:rPr>
        <w:t>1</w:t>
      </w:r>
      <w:r>
        <w:rPr>
          <w:rStyle w:val="25"/>
          <w:rFonts w:hint="eastAsia" w:ascii="宋体" w:hAnsi="宋体"/>
          <w:sz w:val="24"/>
          <w:szCs w:val="24"/>
        </w:rPr>
        <w:t>）</w:t>
      </w:r>
      <w:r>
        <w:rPr>
          <w:rStyle w:val="25"/>
          <w:rFonts w:ascii="宋体" w:hAnsi="宋体"/>
          <w:sz w:val="24"/>
          <w:szCs w:val="24"/>
        </w:rPr>
        <w:t>.制定安全监理文件，审查施工专业承包单位和劳务分包单位的安全资质；</w:t>
      </w:r>
    </w:p>
    <w:p>
      <w:pPr>
        <w:spacing w:line="360" w:lineRule="auto"/>
        <w:ind w:firstLine="480" w:firstLineChars="200"/>
        <w:rPr>
          <w:rFonts w:ascii="宋体" w:hAnsi="宋体"/>
          <w:sz w:val="24"/>
          <w:szCs w:val="24"/>
        </w:rPr>
      </w:pPr>
      <w:r>
        <w:rPr>
          <w:rStyle w:val="25"/>
          <w:rFonts w:ascii="宋体" w:hAnsi="宋体"/>
          <w:sz w:val="24"/>
          <w:szCs w:val="24"/>
        </w:rPr>
        <w:t>2</w:t>
      </w:r>
      <w:r>
        <w:rPr>
          <w:rStyle w:val="25"/>
          <w:rFonts w:hint="eastAsia" w:ascii="宋体" w:hAnsi="宋体"/>
          <w:sz w:val="24"/>
          <w:szCs w:val="24"/>
        </w:rPr>
        <w:t>）</w:t>
      </w:r>
      <w:r>
        <w:rPr>
          <w:rStyle w:val="25"/>
          <w:rFonts w:ascii="宋体" w:hAnsi="宋体"/>
          <w:sz w:val="24"/>
          <w:szCs w:val="24"/>
        </w:rPr>
        <w:t>.审查施工单位特种作业人员的和管理人员的资格证书；</w:t>
      </w:r>
    </w:p>
    <w:p>
      <w:pPr>
        <w:spacing w:line="360" w:lineRule="auto"/>
        <w:ind w:firstLine="480" w:firstLineChars="200"/>
        <w:rPr>
          <w:rFonts w:ascii="宋体" w:hAnsi="宋体"/>
          <w:sz w:val="24"/>
          <w:szCs w:val="24"/>
        </w:rPr>
      </w:pPr>
      <w:r>
        <w:rPr>
          <w:rStyle w:val="25"/>
          <w:rFonts w:ascii="宋体" w:hAnsi="宋体"/>
          <w:sz w:val="24"/>
          <w:szCs w:val="24"/>
        </w:rPr>
        <w:t>3</w:t>
      </w:r>
      <w:r>
        <w:rPr>
          <w:rStyle w:val="25"/>
          <w:rFonts w:hint="eastAsia" w:ascii="宋体" w:hAnsi="宋体"/>
          <w:sz w:val="24"/>
          <w:szCs w:val="24"/>
        </w:rPr>
        <w:t>）</w:t>
      </w:r>
      <w:r>
        <w:rPr>
          <w:rStyle w:val="25"/>
          <w:rFonts w:ascii="宋体" w:hAnsi="宋体"/>
          <w:sz w:val="24"/>
          <w:szCs w:val="24"/>
        </w:rPr>
        <w:t>.监督施工单位建立健全施工现场的安全保证体系；</w:t>
      </w:r>
    </w:p>
    <w:p>
      <w:pPr>
        <w:spacing w:line="360" w:lineRule="auto"/>
        <w:ind w:firstLine="480" w:firstLineChars="200"/>
        <w:rPr>
          <w:rFonts w:ascii="宋体" w:hAnsi="宋体"/>
          <w:sz w:val="24"/>
          <w:szCs w:val="24"/>
        </w:rPr>
      </w:pPr>
      <w:r>
        <w:rPr>
          <w:rStyle w:val="25"/>
          <w:rFonts w:ascii="宋体" w:hAnsi="宋体"/>
          <w:sz w:val="24"/>
          <w:szCs w:val="24"/>
        </w:rPr>
        <w:t>4</w:t>
      </w:r>
      <w:r>
        <w:rPr>
          <w:rStyle w:val="25"/>
          <w:rFonts w:hint="eastAsia" w:ascii="宋体" w:hAnsi="宋体"/>
          <w:sz w:val="24"/>
          <w:szCs w:val="24"/>
        </w:rPr>
        <w:t>）</w:t>
      </w:r>
      <w:r>
        <w:rPr>
          <w:rStyle w:val="25"/>
          <w:rFonts w:ascii="宋体" w:hAnsi="宋体"/>
          <w:sz w:val="24"/>
          <w:szCs w:val="24"/>
        </w:rPr>
        <w:t>.审查施工单位的施工方案等安全技术措施和安全应急预案；</w:t>
      </w:r>
      <w:r>
        <w:rPr>
          <w:rFonts w:hint="eastAsia" w:ascii="宋体" w:hAnsi="宋体" w:cs="宋体"/>
          <w:bCs/>
          <w:kern w:val="0"/>
          <w:sz w:val="24"/>
          <w:szCs w:val="24"/>
        </w:rPr>
        <w:t>审查专项施工方案；审查施工组织设计中的安全技术措施；</w:t>
      </w:r>
    </w:p>
    <w:p>
      <w:pPr>
        <w:spacing w:line="360" w:lineRule="auto"/>
        <w:rPr>
          <w:rFonts w:ascii="宋体" w:hAnsi="宋体"/>
          <w:sz w:val="24"/>
          <w:szCs w:val="24"/>
        </w:rPr>
      </w:pPr>
      <w:r>
        <w:rPr>
          <w:rFonts w:ascii="宋体" w:hAnsi="宋体" w:cs="宋体"/>
          <w:bCs/>
          <w:kern w:val="0"/>
          <w:sz w:val="24"/>
          <w:szCs w:val="24"/>
        </w:rPr>
        <w:t>施工</w:t>
      </w:r>
      <w:r>
        <w:rPr>
          <w:rFonts w:hint="eastAsia" w:ascii="宋体" w:hAnsi="宋体" w:cs="宋体"/>
          <w:bCs/>
          <w:kern w:val="0"/>
          <w:sz w:val="24"/>
          <w:szCs w:val="24"/>
        </w:rPr>
        <w:t>阶段：</w:t>
      </w:r>
    </w:p>
    <w:p>
      <w:pPr>
        <w:spacing w:line="360" w:lineRule="auto"/>
        <w:ind w:firstLine="480" w:firstLineChars="200"/>
        <w:rPr>
          <w:rFonts w:ascii="宋体" w:hAnsi="宋体"/>
          <w:sz w:val="24"/>
          <w:szCs w:val="24"/>
        </w:rPr>
      </w:pPr>
      <w:r>
        <w:rPr>
          <w:rStyle w:val="25"/>
          <w:rFonts w:ascii="宋体" w:hAnsi="宋体"/>
          <w:sz w:val="24"/>
          <w:szCs w:val="24"/>
        </w:rPr>
        <w:t>1</w:t>
      </w:r>
      <w:r>
        <w:rPr>
          <w:rStyle w:val="25"/>
          <w:rFonts w:hint="eastAsia" w:ascii="宋体" w:hAnsi="宋体"/>
          <w:sz w:val="24"/>
          <w:szCs w:val="24"/>
        </w:rPr>
        <w:t>）</w:t>
      </w:r>
      <w:r>
        <w:rPr>
          <w:rStyle w:val="25"/>
          <w:rFonts w:ascii="宋体" w:hAnsi="宋体"/>
          <w:sz w:val="24"/>
          <w:szCs w:val="24"/>
        </w:rPr>
        <w:t>.监督施工单位按工程建设强制性标准、施工组织设计、专项安全方案组织施工，制止违章指挥和违章作业；</w:t>
      </w:r>
    </w:p>
    <w:p>
      <w:pPr>
        <w:spacing w:line="360" w:lineRule="auto"/>
        <w:ind w:firstLine="480" w:firstLineChars="200"/>
        <w:rPr>
          <w:rFonts w:ascii="宋体" w:hAnsi="宋体"/>
          <w:sz w:val="24"/>
          <w:szCs w:val="24"/>
        </w:rPr>
      </w:pPr>
      <w:r>
        <w:rPr>
          <w:rStyle w:val="25"/>
          <w:rFonts w:ascii="宋体" w:hAnsi="宋体"/>
          <w:sz w:val="24"/>
          <w:szCs w:val="24"/>
        </w:rPr>
        <w:t>2</w:t>
      </w:r>
      <w:r>
        <w:rPr>
          <w:rStyle w:val="25"/>
          <w:rFonts w:hint="eastAsia" w:ascii="宋体" w:hAnsi="宋体"/>
          <w:sz w:val="24"/>
          <w:szCs w:val="24"/>
        </w:rPr>
        <w:t>）</w:t>
      </w:r>
      <w:r>
        <w:rPr>
          <w:rStyle w:val="25"/>
          <w:rFonts w:ascii="宋体" w:hAnsi="宋体"/>
          <w:sz w:val="24"/>
          <w:szCs w:val="24"/>
        </w:rPr>
        <w:t>.</w:t>
      </w:r>
      <w:r>
        <w:rPr>
          <w:rStyle w:val="25"/>
          <w:rFonts w:hint="eastAsia" w:ascii="宋体" w:hAnsi="宋体"/>
          <w:sz w:val="24"/>
          <w:szCs w:val="24"/>
        </w:rPr>
        <w:t>督促区域安全监理</w:t>
      </w:r>
      <w:r>
        <w:rPr>
          <w:rStyle w:val="25"/>
          <w:rFonts w:ascii="宋体" w:hAnsi="宋体"/>
          <w:sz w:val="24"/>
          <w:szCs w:val="24"/>
        </w:rPr>
        <w:t>对施工现场的高危险作业、文明施工进行巡查，对易发生重大安全事故的工序部位进行跟踪监督，发现违规施工和安全隐患的，应要求整改，并检查整改结果，签署意见，情况严重的由总监下达停工令，并报建设单位，必要时报建设行政主管部门；</w:t>
      </w:r>
    </w:p>
    <w:p>
      <w:pPr>
        <w:spacing w:line="360" w:lineRule="auto"/>
        <w:ind w:firstLine="480" w:firstLineChars="200"/>
        <w:rPr>
          <w:rFonts w:ascii="宋体" w:hAnsi="宋体"/>
          <w:sz w:val="24"/>
          <w:szCs w:val="24"/>
        </w:rPr>
      </w:pPr>
      <w:r>
        <w:rPr>
          <w:rStyle w:val="25"/>
          <w:rFonts w:ascii="宋体" w:hAnsi="宋体"/>
          <w:sz w:val="24"/>
          <w:szCs w:val="24"/>
        </w:rPr>
        <w:t>3</w:t>
      </w:r>
      <w:r>
        <w:rPr>
          <w:rStyle w:val="25"/>
          <w:rFonts w:hint="eastAsia" w:ascii="宋体" w:hAnsi="宋体"/>
          <w:sz w:val="24"/>
          <w:szCs w:val="24"/>
        </w:rPr>
        <w:t>）</w:t>
      </w:r>
      <w:r>
        <w:rPr>
          <w:rStyle w:val="25"/>
          <w:rFonts w:ascii="宋体" w:hAnsi="宋体"/>
          <w:sz w:val="24"/>
          <w:szCs w:val="24"/>
        </w:rPr>
        <w:t>.督促施工单位进行安全自检，并参加安全检查；</w:t>
      </w:r>
    </w:p>
    <w:p>
      <w:pPr>
        <w:spacing w:line="360" w:lineRule="auto"/>
        <w:ind w:firstLine="480" w:firstLineChars="200"/>
        <w:rPr>
          <w:rStyle w:val="25"/>
          <w:rFonts w:ascii="宋体" w:hAnsi="宋体"/>
          <w:sz w:val="24"/>
          <w:szCs w:val="24"/>
        </w:rPr>
      </w:pPr>
      <w:r>
        <w:rPr>
          <w:rStyle w:val="25"/>
          <w:rFonts w:ascii="宋体" w:hAnsi="宋体"/>
          <w:sz w:val="24"/>
          <w:szCs w:val="24"/>
        </w:rPr>
        <w:t>4</w:t>
      </w:r>
      <w:r>
        <w:rPr>
          <w:rStyle w:val="25"/>
          <w:rFonts w:hint="eastAsia" w:ascii="宋体" w:hAnsi="宋体"/>
          <w:sz w:val="24"/>
          <w:szCs w:val="24"/>
        </w:rPr>
        <w:t>）</w:t>
      </w:r>
      <w:r>
        <w:rPr>
          <w:rStyle w:val="25"/>
          <w:rFonts w:ascii="宋体" w:hAnsi="宋体"/>
          <w:sz w:val="24"/>
          <w:szCs w:val="24"/>
        </w:rPr>
        <w:t>.</w:t>
      </w:r>
      <w:r>
        <w:rPr>
          <w:rStyle w:val="25"/>
          <w:rFonts w:hint="eastAsia" w:ascii="宋体" w:hAnsi="宋体"/>
          <w:sz w:val="24"/>
          <w:szCs w:val="24"/>
        </w:rPr>
        <w:t>督促分管大型机械安全监理</w:t>
      </w:r>
      <w:r>
        <w:rPr>
          <w:rStyle w:val="25"/>
          <w:rFonts w:ascii="宋体" w:hAnsi="宋体"/>
          <w:sz w:val="24"/>
          <w:szCs w:val="24"/>
        </w:rPr>
        <w:t>复验施工单位的施工机械、安全设施的验收手续，并签署意见，未经安全复验的，不得投入使用</w:t>
      </w:r>
      <w:r>
        <w:rPr>
          <w:rStyle w:val="25"/>
          <w:rFonts w:hint="eastAsia" w:ascii="宋体" w:hAnsi="宋体"/>
          <w:sz w:val="24"/>
          <w:szCs w:val="24"/>
        </w:rPr>
        <w:t>。</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5）.</w:t>
      </w:r>
      <w:r>
        <w:rPr>
          <w:rFonts w:ascii="宋体" w:hAnsi="宋体" w:cs="宋体"/>
          <w:bCs/>
          <w:kern w:val="0"/>
          <w:sz w:val="24"/>
          <w:szCs w:val="24"/>
        </w:rPr>
        <w:t>审查施工单位申报的施工组织设计及施工方案中的安全技术措施</w:t>
      </w:r>
      <w:r>
        <w:rPr>
          <w:rFonts w:hint="eastAsia" w:ascii="宋体" w:hAnsi="宋体" w:cs="宋体"/>
          <w:bCs/>
          <w:kern w:val="0"/>
          <w:sz w:val="24"/>
          <w:szCs w:val="24"/>
        </w:rPr>
        <w:t>。</w:t>
      </w:r>
    </w:p>
    <w:p>
      <w:pPr>
        <w:spacing w:line="360" w:lineRule="auto"/>
        <w:ind w:firstLine="480" w:firstLineChars="200"/>
        <w:rPr>
          <w:rFonts w:ascii="宋体" w:hAnsi="宋体"/>
          <w:sz w:val="24"/>
          <w:szCs w:val="24"/>
        </w:rPr>
      </w:pPr>
      <w:r>
        <w:rPr>
          <w:rFonts w:hint="eastAsia" w:ascii="宋体" w:hAnsi="宋体" w:cs="宋体"/>
          <w:bCs/>
          <w:kern w:val="0"/>
          <w:sz w:val="24"/>
          <w:szCs w:val="24"/>
        </w:rPr>
        <w:t>6）.</w:t>
      </w:r>
      <w:r>
        <w:rPr>
          <w:rFonts w:ascii="宋体" w:hAnsi="宋体" w:cs="宋体"/>
          <w:bCs/>
          <w:kern w:val="0"/>
          <w:sz w:val="24"/>
          <w:szCs w:val="24"/>
        </w:rPr>
        <w:t xml:space="preserve">针对工程特点制定具有指导性的安全监理细则，并在施工中严格执行。 </w:t>
      </w:r>
    </w:p>
    <w:p>
      <w:pPr>
        <w:spacing w:line="360" w:lineRule="auto"/>
        <w:ind w:firstLine="480" w:firstLineChars="200"/>
        <w:rPr>
          <w:rFonts w:ascii="宋体" w:hAnsi="宋体"/>
          <w:sz w:val="24"/>
          <w:szCs w:val="24"/>
        </w:rPr>
      </w:pPr>
      <w:r>
        <w:rPr>
          <w:rFonts w:hint="eastAsia" w:ascii="宋体" w:hAnsi="宋体" w:cs="宋体"/>
          <w:bCs/>
          <w:kern w:val="0"/>
          <w:sz w:val="24"/>
          <w:szCs w:val="24"/>
        </w:rPr>
        <w:t>7）.</w:t>
      </w:r>
      <w:r>
        <w:rPr>
          <w:rFonts w:ascii="宋体" w:hAnsi="宋体" w:cs="宋体"/>
          <w:bCs/>
          <w:kern w:val="0"/>
          <w:sz w:val="24"/>
          <w:szCs w:val="24"/>
        </w:rPr>
        <w:t xml:space="preserve">督促施工单位落实安全生产的组织保证体系，建立健全安全生产责任制。 </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8）.</w:t>
      </w:r>
      <w:r>
        <w:rPr>
          <w:rFonts w:ascii="宋体" w:hAnsi="宋体" w:cs="宋体"/>
          <w:bCs/>
          <w:kern w:val="0"/>
          <w:sz w:val="24"/>
          <w:szCs w:val="24"/>
        </w:rPr>
        <w:t>督促施工单位对工人进行安全生产教育及分部分项工程的安全技术交底</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9）.</w:t>
      </w:r>
      <w:r>
        <w:rPr>
          <w:rFonts w:ascii="宋体" w:hAnsi="宋体" w:cs="宋体"/>
          <w:bCs/>
          <w:kern w:val="0"/>
          <w:sz w:val="24"/>
          <w:szCs w:val="24"/>
        </w:rPr>
        <w:t>检查并督促施工单位，按照</w:t>
      </w:r>
      <w:r>
        <w:rPr>
          <w:rFonts w:hint="eastAsia" w:ascii="宋体" w:hAnsi="宋体" w:cs="宋体"/>
          <w:bCs/>
          <w:kern w:val="0"/>
          <w:sz w:val="24"/>
          <w:szCs w:val="24"/>
        </w:rPr>
        <w:t>电力建设</w:t>
      </w:r>
      <w:r>
        <w:rPr>
          <w:rFonts w:ascii="宋体" w:hAnsi="宋体" w:cs="宋体"/>
          <w:bCs/>
          <w:kern w:val="0"/>
          <w:sz w:val="24"/>
          <w:szCs w:val="24"/>
        </w:rPr>
        <w:t>安全技术标准和规范要求，落实分部、分项工程或各工序、关键部位的安全防护措施。</w:t>
      </w:r>
    </w:p>
    <w:p>
      <w:pPr>
        <w:widowControl/>
        <w:spacing w:before="100" w:beforeAutospacing="1" w:after="100" w:afterAutospacing="1"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10）.</w:t>
      </w:r>
      <w:r>
        <w:rPr>
          <w:rFonts w:ascii="宋体" w:hAnsi="宋体" w:cs="宋体"/>
          <w:bCs/>
          <w:kern w:val="0"/>
          <w:sz w:val="24"/>
          <w:szCs w:val="24"/>
        </w:rPr>
        <w:t xml:space="preserve">发现违章冒险作业的要责令其停止施工，发现安全隐患的要责令停工整改。 </w:t>
      </w:r>
    </w:p>
    <w:p>
      <w:pPr>
        <w:adjustRightInd w:val="0"/>
        <w:snapToGrid w:val="0"/>
        <w:spacing w:after="120" w:line="360" w:lineRule="auto"/>
        <w:ind w:firstLine="480" w:firstLineChars="200"/>
        <w:outlineLvl w:val="1"/>
        <w:rPr>
          <w:rFonts w:ascii="宋体" w:hAnsi="宋体"/>
          <w:sz w:val="24"/>
          <w:szCs w:val="24"/>
        </w:rPr>
      </w:pPr>
      <w:bookmarkStart w:id="44" w:name="_Toc30818"/>
      <w:bookmarkStart w:id="45" w:name="_Toc30043"/>
      <w:bookmarkStart w:id="46" w:name="_Toc18578"/>
      <w:r>
        <w:rPr>
          <w:rFonts w:hint="eastAsia" w:ascii="宋体" w:hAnsi="宋体"/>
          <w:sz w:val="24"/>
          <w:szCs w:val="24"/>
        </w:rPr>
        <w:t>11）.定期组织安全大检查，结合现场实际组织进行专项（机械、施工用电、高处作业、脚手架、安全防护设施等项）、季节性、节假日等项检查，做到整改到位、措施到位，并与考核挂钩。同时对施工单位实施问题首问负责制，即对于业主或监理通知的问题谁接到的就由谁负责按期答复，确保问题的整改闭环，对于超期的实施责任考核。</w:t>
      </w:r>
      <w:bookmarkEnd w:id="44"/>
      <w:bookmarkEnd w:id="45"/>
      <w:bookmarkEnd w:id="46"/>
    </w:p>
    <w:p>
      <w:pPr>
        <w:spacing w:line="360" w:lineRule="auto"/>
        <w:ind w:firstLine="480" w:firstLineChars="200"/>
        <w:rPr>
          <w:rFonts w:ascii="宋体" w:hAnsi="宋体"/>
          <w:sz w:val="24"/>
          <w:szCs w:val="24"/>
        </w:rPr>
      </w:pPr>
      <w:r>
        <w:rPr>
          <w:rStyle w:val="25"/>
          <w:rFonts w:hint="eastAsia" w:ascii="宋体" w:hAnsi="宋体"/>
          <w:sz w:val="24"/>
          <w:szCs w:val="24"/>
        </w:rPr>
        <w:t>12）负责</w:t>
      </w:r>
      <w:r>
        <w:rPr>
          <w:rFonts w:hint="eastAsia" w:ascii="宋体" w:hAnsi="宋体"/>
          <w:sz w:val="24"/>
          <w:szCs w:val="24"/>
        </w:rPr>
        <w:t>安全监理对日常检查及整改监督情况进行每周汇总，报监理部，作为周安健环状态评价依据。</w:t>
      </w:r>
    </w:p>
    <w:p>
      <w:pPr>
        <w:spacing w:line="360" w:lineRule="auto"/>
        <w:ind w:firstLine="480" w:firstLineChars="200"/>
        <w:rPr>
          <w:rFonts w:ascii="宋体" w:hAnsi="宋体"/>
          <w:sz w:val="24"/>
          <w:szCs w:val="24"/>
        </w:rPr>
      </w:pPr>
      <w:r>
        <w:rPr>
          <w:rFonts w:hint="eastAsia" w:ascii="宋体" w:hAnsi="宋体"/>
          <w:sz w:val="24"/>
          <w:szCs w:val="24"/>
        </w:rPr>
        <w:t>13）.负责安全监理对日常检查、周检查及整改监督情况每月进行汇总，报监理部，作为月安健环状态评价依据。（内容包括监理每周计划及每周协调问题完成情况的统计。）</w:t>
      </w:r>
    </w:p>
    <w:p>
      <w:pPr>
        <w:pStyle w:val="11"/>
        <w:spacing w:line="360" w:lineRule="auto"/>
        <w:ind w:firstLine="472" w:firstLineChars="196"/>
        <w:rPr>
          <w:rFonts w:ascii="宋体" w:hAnsi="宋体"/>
          <w:b/>
          <w:szCs w:val="24"/>
        </w:rPr>
      </w:pPr>
      <w:r>
        <w:rPr>
          <w:rFonts w:hint="eastAsia" w:ascii="宋体" w:hAnsi="宋体"/>
          <w:b/>
          <w:szCs w:val="24"/>
        </w:rPr>
        <w:t>C、专业安全工程师安全岗位职责：</w:t>
      </w:r>
    </w:p>
    <w:p>
      <w:pPr>
        <w:spacing w:line="360" w:lineRule="auto"/>
        <w:ind w:firstLine="480" w:firstLineChars="200"/>
        <w:rPr>
          <w:rFonts w:ascii="宋体" w:hAnsi="宋体"/>
          <w:sz w:val="24"/>
          <w:szCs w:val="24"/>
        </w:rPr>
      </w:pPr>
      <w:r>
        <w:rPr>
          <w:rFonts w:hint="eastAsia" w:ascii="宋体" w:hAnsi="宋体"/>
          <w:sz w:val="24"/>
          <w:szCs w:val="24"/>
        </w:rPr>
        <w:t>本岗位应符合专业监理师非专业方面的岗位职责，同时执行以下各项岗位职责。</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1）根据公司《质量、环境、职业健康安全管理手册》和程序文件的要求，参加编制“安健环”监理规划，参与管理制度的建立；按有关规定、制度和工作程序要求，督促各承包商建立职业健康安全和环境管理制度；</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（2）负责编写项目“安健环”监理实施细则，明确控制要点；协助各专业监理组审查承包商施工方案中的职业健康安全和环境措施；</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（3）编制有关工程建设安健环的管理制度、奖惩制度、应急预案等，并严格实施；</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4）定期、不定期检查承包单位的现场管理制度、安全责任制、奖惩制度、施工组织设计（施工方案）的建立及审批、实施情况，检查现场安全文明施工及工作环境情况、安全技术交底情况、施工标志设置等；负责对危险品（易燃、易爆、放射源等）管理的监督和定期检查；</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（5）每天必须巡视施工现场，对重大的或危险的作业进行旁站管理，参加或主持工伤事故、质量安全事故处理。参加人身重伤以上事故和重大机械、火灾事故以及重大厂内交通事故的调查处理工作；</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6）督促责任单位对安全事故进行分析、统计和报告；发现重大安全隐患、事件或安全事故时，可征求业主同意，发出《工程暂停令》，落实整改措施；对违反环境保护的法律、法规和措施，以致造成环境破坏或污染事故的单位和个人，应组织有关部门人员对事故进行调查处理，追究事故责任；</w:t>
      </w:r>
    </w:p>
    <w:p>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（7）主持召开专题会，协调有关问题，向业主报告工作情况；</w:t>
      </w:r>
    </w:p>
    <w:p>
      <w:pPr>
        <w:pStyle w:val="7"/>
        <w:keepNext w:val="0"/>
        <w:keepLines w:val="0"/>
        <w:pageBreakBefore w:val="0"/>
        <w:widowControl w:val="0"/>
        <w:kinsoku/>
        <w:wordWrap/>
        <w:overflowPunct/>
        <w:topLinePunct w:val="0"/>
        <w:autoSpaceDE/>
        <w:autoSpaceDN/>
        <w:bidi w:val="0"/>
        <w:adjustRightInd/>
        <w:snapToGrid/>
        <w:spacing w:line="240" w:lineRule="auto"/>
        <w:ind w:left="0" w:right="0" w:firstLine="3164" w:firstLineChars="1400"/>
        <w:jc w:val="left"/>
        <w:textAlignment w:val="auto"/>
        <w:rPr>
          <w:rFonts w:hint="eastAsia" w:cs="宋体"/>
          <w:b w:val="0"/>
          <w:bCs w:val="0"/>
          <w:snapToGrid/>
          <w:color w:val="000000"/>
          <w:spacing w:val="-12"/>
          <w:kern w:val="2"/>
          <w:sz w:val="25"/>
          <w:szCs w:val="25"/>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240" w:lineRule="auto"/>
        <w:ind w:left="0" w:right="0" w:firstLine="3164" w:firstLineChars="1400"/>
        <w:jc w:val="left"/>
        <w:textAlignment w:val="auto"/>
        <w:rPr>
          <w:rFonts w:hint="default" w:ascii="宋体" w:hAnsi="宋体" w:eastAsia="宋体" w:cs="宋体"/>
          <w:b w:val="0"/>
          <w:bCs w:val="0"/>
          <w:snapToGrid/>
          <w:color w:val="000000"/>
          <w:spacing w:val="-12"/>
          <w:kern w:val="2"/>
          <w:sz w:val="25"/>
          <w:szCs w:val="25"/>
          <w:lang w:val="en-US" w:eastAsia="zh-CN" w:bidi="ar-SA"/>
        </w:rPr>
      </w:pPr>
      <w:r>
        <w:rPr>
          <w:rFonts w:hint="eastAsia" w:cs="宋体"/>
          <w:b w:val="0"/>
          <w:bCs w:val="0"/>
          <w:snapToGrid/>
          <w:color w:val="000000"/>
          <w:spacing w:val="-12"/>
          <w:kern w:val="2"/>
          <w:sz w:val="25"/>
          <w:szCs w:val="25"/>
          <w:lang w:val="en-US" w:eastAsia="zh-CN" w:bidi="ar-SA"/>
        </w:rPr>
        <w:t>（完）</w:t>
      </w: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1" w:line="187" w:lineRule="auto"/>
      <w:ind w:left="5340"/>
      <w:rPr>
        <w:sz w:val="13"/>
        <w:szCs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34"/>
    <w:multiLevelType w:val="multilevel"/>
    <w:tmpl w:val="00000034"/>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2">
    <w:nsid w:val="0000003A"/>
    <w:multiLevelType w:val="multilevel"/>
    <w:tmpl w:val="0000003A"/>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3">
    <w:nsid w:val="0000006F"/>
    <w:multiLevelType w:val="multilevel"/>
    <w:tmpl w:val="0000006F"/>
    <w:lvl w:ilvl="0" w:tentative="0">
      <w:start w:val="1"/>
      <w:numFmt w:val="decimal"/>
      <w:lvlText w:val="(%1)"/>
      <w:lvlJc w:val="left"/>
      <w:pPr>
        <w:tabs>
          <w:tab w:val="left" w:pos="360"/>
        </w:tabs>
        <w:ind w:left="0" w:firstLine="0"/>
      </w:pPr>
      <w:rPr>
        <w:rFonts w:hint="eastAsia"/>
        <w:caps w:val="0"/>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360"/>
        </w:tabs>
        <w:ind w:left="0" w:firstLine="0"/>
      </w:pPr>
      <w:rPr>
        <w:rFonts w:hint="eastAsia"/>
        <w:caps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7F"/>
    <w:multiLevelType w:val="multilevel"/>
    <w:tmpl w:val="0000007F"/>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85"/>
    <w:multiLevelType w:val="multilevel"/>
    <w:tmpl w:val="00000085"/>
    <w:lvl w:ilvl="0" w:tentative="0">
      <w:start w:val="1"/>
      <w:numFmt w:val="decimal"/>
      <w:lvlText w:val="(%1)"/>
      <w:lvlJc w:val="left"/>
      <w:pPr>
        <w:tabs>
          <w:tab w:val="left" w:pos="360"/>
        </w:tabs>
        <w:ind w:left="0" w:firstLine="0"/>
      </w:pPr>
      <w:rPr>
        <w:rFonts w:hint="eastAsia"/>
        <w:caps w:val="0"/>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6">
    <w:nsid w:val="0000008D"/>
    <w:multiLevelType w:val="multilevel"/>
    <w:tmpl w:val="0000008D"/>
    <w:lvl w:ilvl="0" w:tentative="0">
      <w:start w:val="1"/>
      <w:numFmt w:val="decimal"/>
      <w:lvlText w:val="(%1)"/>
      <w:lvlJc w:val="left"/>
      <w:pPr>
        <w:tabs>
          <w:tab w:val="left" w:pos="360"/>
        </w:tabs>
        <w:ind w:left="0" w:firstLine="0"/>
      </w:pPr>
      <w:rPr>
        <w:rFonts w:hint="eastAsia"/>
        <w:cap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435743B"/>
    <w:multiLevelType w:val="multilevel"/>
    <w:tmpl w:val="7435743B"/>
    <w:lvl w:ilvl="0" w:tentative="0">
      <w:start w:val="6"/>
      <w:numFmt w:val="decimal"/>
      <w:lvlText w:val="%1"/>
      <w:lvlJc w:val="left"/>
      <w:pPr>
        <w:tabs>
          <w:tab w:val="left" w:pos="360"/>
        </w:tabs>
        <w:ind w:left="360" w:hanging="360"/>
      </w:pPr>
      <w:rPr>
        <w:rFonts w:hint="default"/>
      </w:rPr>
    </w:lvl>
    <w:lvl w:ilvl="1" w:tentative="0">
      <w:start w:val="2"/>
      <w:numFmt w:val="decimal"/>
      <w:pStyle w:val="24"/>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7"/>
  </w:num>
  <w:num w:numId="2">
    <w:abstractNumId w:val="3"/>
  </w:num>
  <w:num w:numId="3">
    <w:abstractNumId w:val="6"/>
  </w:num>
  <w:num w:numId="4">
    <w:abstractNumId w:val="2"/>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jJmMDc0MjkyZjZmZmU5YTI2MzkyYzg1NzUwMWIifQ=="/>
  </w:docVars>
  <w:rsids>
    <w:rsidRoot w:val="557A05DE"/>
    <w:rsid w:val="0E521769"/>
    <w:rsid w:val="11A56FA2"/>
    <w:rsid w:val="1B941C13"/>
    <w:rsid w:val="1CD6462F"/>
    <w:rsid w:val="24562349"/>
    <w:rsid w:val="54473E7F"/>
    <w:rsid w:val="557A05DE"/>
    <w:rsid w:val="57C45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qFormat/>
    <w:uiPriority w:val="9"/>
    <w:pPr>
      <w:widowControl/>
      <w:spacing w:before="100" w:beforeAutospacing="1" w:after="100" w:afterAutospacing="1"/>
      <w:jc w:val="left"/>
      <w:outlineLvl w:val="0"/>
    </w:pPr>
    <w:rPr>
      <w:rFonts w:ascii="宋体" w:hAnsi="宋体"/>
      <w:snapToGrid/>
      <w:kern w:val="36"/>
      <w:sz w:val="48"/>
      <w:szCs w:val="48"/>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pPr>
    <w:rPr>
      <w:rFonts w:ascii="黑体" w:hAnsi="Calibri" w:eastAsia="黑体" w:cs="黑体"/>
      <w:color w:val="000000"/>
      <w:sz w:val="24"/>
    </w:rPr>
  </w:style>
  <w:style w:type="paragraph" w:styleId="5">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6">
    <w:name w:val="toa heading"/>
    <w:basedOn w:val="1"/>
    <w:next w:val="1"/>
    <w:qFormat/>
    <w:uiPriority w:val="99"/>
    <w:pPr>
      <w:spacing w:before="120"/>
    </w:pPr>
    <w:rPr>
      <w:rFonts w:ascii="Arial" w:hAnsi="Arial" w:cs="Arial"/>
    </w:rPr>
  </w:style>
  <w:style w:type="paragraph" w:styleId="7">
    <w:name w:val="Body Text"/>
    <w:basedOn w:val="1"/>
    <w:semiHidden/>
    <w:qFormat/>
    <w:uiPriority w:val="0"/>
    <w:rPr>
      <w:rFonts w:ascii="宋体" w:hAnsi="宋体" w:eastAsia="宋体" w:cs="宋体"/>
      <w:sz w:val="34"/>
      <w:szCs w:val="34"/>
      <w:lang w:val="en-US" w:eastAsia="en-US" w:bidi="ar-SA"/>
    </w:rPr>
  </w:style>
  <w:style w:type="paragraph" w:styleId="8">
    <w:name w:val="Body Text Indent"/>
    <w:basedOn w:val="1"/>
    <w:unhideWhenUsed/>
    <w:qFormat/>
    <w:uiPriority w:val="0"/>
    <w:pPr>
      <w:spacing w:after="120"/>
      <w:ind w:left="420" w:leftChars="200"/>
    </w:pPr>
  </w:style>
  <w:style w:type="paragraph" w:styleId="9">
    <w:name w:val="toc 3"/>
    <w:basedOn w:val="1"/>
    <w:next w:val="1"/>
    <w:uiPriority w:val="0"/>
    <w:pPr>
      <w:ind w:left="840" w:leftChars="400"/>
    </w:pPr>
  </w:style>
  <w:style w:type="paragraph" w:styleId="10">
    <w:name w:val="Plain Text"/>
    <w:basedOn w:val="1"/>
    <w:qFormat/>
    <w:uiPriority w:val="0"/>
    <w:rPr>
      <w:rFonts w:ascii="宋体" w:hAnsi="Courier New"/>
      <w:snapToGrid/>
      <w:sz w:val="21"/>
      <w:szCs w:val="20"/>
    </w:rPr>
  </w:style>
  <w:style w:type="paragraph" w:styleId="11">
    <w:name w:val="Date"/>
    <w:basedOn w:val="1"/>
    <w:next w:val="1"/>
    <w:qFormat/>
    <w:uiPriority w:val="0"/>
    <w:rPr>
      <w:rFonts w:ascii="Times New Roman" w:hAnsi="Times New Roman" w:eastAsia="宋体" w:cs="Times New Roman"/>
      <w:sz w:val="24"/>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Body Text First Indent 2"/>
    <w:basedOn w:val="8"/>
    <w:qFormat/>
    <w:uiPriority w:val="0"/>
    <w:pPr>
      <w:adjustRightInd w:val="0"/>
      <w:spacing w:line="312" w:lineRule="atLeast"/>
      <w:ind w:left="0" w:leftChars="0" w:firstLine="420"/>
      <w:textAlignment w:val="baseline"/>
    </w:p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1"/>
      <w:szCs w:val="21"/>
      <w:lang w:val="en-US" w:eastAsia="en-US" w:bidi="ar-SA"/>
    </w:rPr>
  </w:style>
  <w:style w:type="paragraph" w:customStyle="1" w:styleId="21">
    <w:name w:val="WPSOffice手动目录 1"/>
    <w:qFormat/>
    <w:uiPriority w:val="0"/>
    <w:pPr>
      <w:ind w:leftChars="0"/>
    </w:pPr>
    <w:rPr>
      <w:rFonts w:ascii="Calibri" w:hAnsi="Calibri" w:eastAsia="宋体" w:cs="Times New Roman"/>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paragraph" w:customStyle="1" w:styleId="23">
    <w:name w:val="WPSOffice手动目录 3"/>
    <w:qFormat/>
    <w:uiPriority w:val="0"/>
    <w:pPr>
      <w:ind w:leftChars="400"/>
    </w:pPr>
    <w:rPr>
      <w:rFonts w:asciiTheme="minorHAnsi" w:hAnsiTheme="minorHAnsi" w:eastAsiaTheme="minorEastAsia" w:cstheme="minorBidi"/>
      <w:sz w:val="20"/>
      <w:szCs w:val="20"/>
    </w:rPr>
  </w:style>
  <w:style w:type="paragraph" w:customStyle="1" w:styleId="24">
    <w:name w:val="投标须知6"/>
    <w:basedOn w:val="1"/>
    <w:qFormat/>
    <w:uiPriority w:val="0"/>
    <w:pPr>
      <w:numPr>
        <w:ilvl w:val="1"/>
        <w:numId w:val="1"/>
      </w:numPr>
      <w:spacing w:line="360" w:lineRule="auto"/>
    </w:pPr>
    <w:rPr>
      <w:rFonts w:ascii="宋体" w:hAnsi="宋体" w:eastAsia="宋体" w:cs="Times New Roman"/>
      <w:color w:val="000000"/>
      <w:sz w:val="24"/>
      <w:szCs w:val="20"/>
    </w:rPr>
  </w:style>
  <w:style w:type="character" w:customStyle="1" w:styleId="25">
    <w:name w:val="tpc_content1"/>
    <w:basedOn w:val="18"/>
    <w:qFormat/>
    <w:uiPriority w:val="0"/>
    <w:rPr>
      <w:sz w:val="20"/>
      <w:szCs w:val="20"/>
    </w:rPr>
  </w:style>
  <w:style w:type="paragraph" w:customStyle="1" w:styleId="26">
    <w:name w:val="样式4"/>
    <w:basedOn w:val="1"/>
    <w:qFormat/>
    <w:uiPriority w:val="0"/>
    <w:pPr>
      <w:tabs>
        <w:tab w:val="left" w:pos="366"/>
        <w:tab w:val="left" w:pos="720"/>
      </w:tabs>
      <w:topLinePunct/>
      <w:ind w:firstLine="425"/>
    </w:pPr>
    <w:rPr>
      <w:rFonts w:eastAsia="黑体"/>
      <w:bCs/>
      <w:caps/>
      <w:kern w:val="21"/>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13316</Words>
  <Characters>13585</Characters>
  <Lines>0</Lines>
  <Paragraphs>0</Paragraphs>
  <TotalTime>22</TotalTime>
  <ScaleCrop>false</ScaleCrop>
  <LinksUpToDate>false</LinksUpToDate>
  <CharactersWithSpaces>13891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2024-12-13T00:44:00Z</dcterms:created>
  <dc:creator>孟祥浩</dc:creator>
  <cp:lastModifiedBy>秦邦学</cp:lastModifiedBy>
  <cp:lastPrinted>2024-12-19T07:05:00Z</cp:lastPrinted>
  <dcterms:modified xsi:type="dcterms:W3CDTF">2025-01-19T15:04:20Z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FAA0C7F907D54E528CA4DB810A3F4548_13</vt:lpwstr>
  </property>
  <property fmtid="{D5CDD505-2E9C-101B-9397-08002B2CF9AE}" pid="4" name="KSOTemplateDocerSaveRecord">
    <vt:lpwstr>eyJoZGlkIjoiMzUyYWM0MjVkN2UyMTA1NDYzODE2ZGU3OThmN2NiOGMiLCJ1c2VySWQiOiIyNDM2OTYxNDYifQ==</vt:lpwstr>
  </property>
</Properties>
</file>