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0414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南京国际博览中心1-3展馆5.344MW</w:t>
      </w:r>
    </w:p>
    <w:p w14:paraId="1CB0D957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分布式光伏项目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04E705B6">
      <w:pPr>
        <w:widowControl/>
        <w:spacing w:line="360" w:lineRule="auto"/>
        <w:ind w:left="0" w:leftChars="0" w:firstLine="0" w:firstLineChars="0"/>
        <w:jc w:val="center"/>
        <w:rPr>
          <w:rFonts w:hint="default" w:eastAsia="宋体" w:cs="新宋体"/>
          <w:b/>
          <w:sz w:val="44"/>
          <w:szCs w:val="44"/>
          <w:lang w:val="en-US" w:eastAsia="zh-CN"/>
        </w:rPr>
      </w:pPr>
      <w:r>
        <w:rPr>
          <w:rFonts w:hint="eastAsia" w:cs="新宋体"/>
          <w:b/>
          <w:sz w:val="44"/>
          <w:szCs w:val="44"/>
          <w:lang w:val="en-US" w:eastAsia="zh-CN"/>
        </w:rPr>
        <w:t>安全旁站监理实施细则</w:t>
      </w:r>
    </w:p>
    <w:p w14:paraId="45032E56">
      <w:pPr>
        <w:spacing w:line="500" w:lineRule="exact"/>
        <w:rPr>
          <w:sz w:val="28"/>
          <w:szCs w:val="28"/>
        </w:rPr>
      </w:pPr>
    </w:p>
    <w:p w14:paraId="5D4E9DC1">
      <w:pPr>
        <w:spacing w:line="500" w:lineRule="exact"/>
        <w:rPr>
          <w:sz w:val="28"/>
          <w:szCs w:val="28"/>
        </w:rPr>
      </w:pPr>
    </w:p>
    <w:p w14:paraId="26FFCE8F">
      <w:pPr>
        <w:spacing w:line="500" w:lineRule="exact"/>
        <w:rPr>
          <w:sz w:val="28"/>
          <w:szCs w:val="28"/>
        </w:rPr>
      </w:pPr>
    </w:p>
    <w:p w14:paraId="22E4F23D">
      <w:pPr>
        <w:spacing w:line="500" w:lineRule="exact"/>
        <w:rPr>
          <w:sz w:val="28"/>
          <w:szCs w:val="28"/>
        </w:rPr>
      </w:pPr>
    </w:p>
    <w:p w14:paraId="5B407D55">
      <w:pPr>
        <w:spacing w:line="500" w:lineRule="exact"/>
        <w:rPr>
          <w:sz w:val="28"/>
          <w:szCs w:val="28"/>
        </w:rPr>
      </w:pPr>
      <w:bookmarkStart w:id="17" w:name="_GoBack"/>
      <w:bookmarkEnd w:id="17"/>
    </w:p>
    <w:p w14:paraId="06421008">
      <w:pPr>
        <w:spacing w:line="500" w:lineRule="exact"/>
        <w:rPr>
          <w:sz w:val="28"/>
          <w:szCs w:val="28"/>
        </w:rPr>
      </w:pPr>
    </w:p>
    <w:p w14:paraId="5312C4D4">
      <w:pPr>
        <w:topLinePunct/>
      </w:pPr>
    </w:p>
    <w:p w14:paraId="0599D36E">
      <w:pPr>
        <w:pStyle w:val="2"/>
        <w:tabs>
          <w:tab w:val="left" w:pos="1350"/>
        </w:tabs>
        <w:outlineLvl w:val="9"/>
        <w:rPr>
          <w:rFonts w:hint="eastAsia" w:ascii="宋体" w:hAnsi="宋体" w:eastAsia="宋体" w:cs="宋体"/>
        </w:rPr>
      </w:pPr>
    </w:p>
    <w:p w14:paraId="571268F0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编制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</w:p>
    <w:p w14:paraId="4F49EA60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7A351120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 w14:paraId="355E52D8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批准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1E83B1BB">
      <w:pPr>
        <w:pStyle w:val="2"/>
        <w:tabs>
          <w:tab w:val="left" w:pos="1350"/>
        </w:tabs>
        <w:outlineLvl w:val="9"/>
      </w:pPr>
    </w:p>
    <w:p w14:paraId="3B888B84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39482DEB">
      <w:pPr>
        <w:spacing w:line="500" w:lineRule="exact"/>
        <w:jc w:val="center"/>
        <w:rPr>
          <w:sz w:val="28"/>
          <w:szCs w:val="28"/>
        </w:rPr>
      </w:pPr>
    </w:p>
    <w:p w14:paraId="10963DB1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680196FE">
      <w:pPr>
        <w:spacing w:line="500" w:lineRule="exact"/>
        <w:jc w:val="both"/>
        <w:rPr>
          <w:sz w:val="28"/>
          <w:szCs w:val="28"/>
        </w:rPr>
      </w:pPr>
    </w:p>
    <w:p w14:paraId="281B1677">
      <w:pPr>
        <w:adjustRightInd w:val="0"/>
        <w:snapToGrid w:val="0"/>
        <w:spacing w:before="156" w:beforeLines="5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常州正衡电力工程监理有限公司</w:t>
      </w:r>
    </w:p>
    <w:p w14:paraId="61DA46CF">
      <w:pPr>
        <w:pStyle w:val="2"/>
        <w:rPr>
          <w:rFonts w:hint="eastAsia"/>
          <w:lang w:eastAsia="zh-CN"/>
        </w:rPr>
      </w:pPr>
    </w:p>
    <w:p w14:paraId="751E2725">
      <w:pPr>
        <w:pStyle w:val="2"/>
        <w:tabs>
          <w:tab w:val="left" w:pos="1350"/>
        </w:tabs>
        <w:outlineLvl w:val="9"/>
      </w:pPr>
    </w:p>
    <w:p w14:paraId="777C630A">
      <w:pPr>
        <w:spacing w:line="360" w:lineRule="auto"/>
        <w:jc w:val="center"/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月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日</w:t>
      </w:r>
    </w:p>
    <w:p w14:paraId="7F009830">
      <w:pPr>
        <w:widowControl/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  <w:sectPr>
          <w:footerReference r:id="rId5" w:type="default"/>
          <w:pgSz w:w="11906" w:h="16838"/>
          <w:pgMar w:top="850" w:right="850" w:bottom="850" w:left="1417" w:header="850" w:footer="992" w:gutter="0"/>
          <w:pgNumType w:start="1"/>
          <w:cols w:space="0" w:num="1"/>
          <w:rtlGutter w:val="0"/>
          <w:docGrid w:linePitch="312" w:charSpace="0"/>
        </w:sectPr>
      </w:pPr>
    </w:p>
    <w:p w14:paraId="209E50C9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5303442A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13254915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7059B39E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sdt>
      <w:sdt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en-US" w:bidi="ar-SA"/>
        </w:rPr>
        <w:id w:val="147482957"/>
        <w:docPartObj>
          <w:docPartGallery w:val="Table of Contents"/>
          <w:docPartUnique/>
        </w:docPartObj>
      </w:sdtPr>
      <w:sdtEndPr>
        <w:rPr>
          <w:rFonts w:hint="eastAsia" w:asciiTheme="majorEastAsia" w:hAnsiTheme="majorEastAsia" w:eastAsiaTheme="majorEastAsia" w:cstheme="majorEastAsia"/>
          <w:sz w:val="20"/>
          <w:szCs w:val="20"/>
          <w:lang w:val="en-US" w:eastAsia="en-US" w:bidi="ar-SA"/>
        </w:rPr>
      </w:sdtEndPr>
      <w:sdtContent>
        <w:p w14:paraId="5C4A1E40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bookmarkStart w:id="0" w:name="_Toc17936_WPSOffice_Type1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目录</w:t>
          </w:r>
        </w:p>
        <w:p w14:paraId="280E2439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_Toc25189_WPSOffice_Level1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80320"/>
              <w:placeholder>
                <w:docPart w:val="{106261a6-3543-49d2-8203-0133aee66b78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1. 安全监理目标与原则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1" w:name="_Toc25189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bookmarkEnd w:id="1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75333CBE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_Toc17936_WPSOffice_Level1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68523"/>
              <w:placeholder>
                <w:docPart w:val="{bb0c47b0-7b48-47e1-96c8-d1e27113bb38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2. 光伏项目各阶段安全检查要点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2" w:name="_Toc17936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bookmarkEnd w:id="2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014E38EC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_Toc16351_WPSOffice_Level1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83326"/>
              <w:placeholder>
                <w:docPart w:val="{798797e7-5d04-4e86-b032-c996679b5837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3. 安全旁站监理人员资质与职责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3" w:name="_Toc16351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bookmarkEnd w:id="3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104F1A4C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_Toc9436_WPSOffice_Level1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67430"/>
              <w:placeholder>
                <w:docPart w:val="{7e2ef720-1f35-4a83-8065-c183ca59a920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4. 监督流程及方法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4" w:name="_Toc9436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bookmarkEnd w:id="4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55B6B20F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_Toc31316_WPSOffice_Level1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79769"/>
              <w:placeholder>
                <w:docPart w:val="{cec534bf-c15f-499d-bcd3-8314551b5076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5. 风险评估与控制措施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5" w:name="_Toc31316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bookmarkEnd w:id="5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55DB168A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_Toc14737_WPSOffice_Level1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80144"/>
              <w:placeholder>
                <w:docPart w:val="{3c613e45-b0ee-4d12-9ffa-fd560d1483ba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6. 施工现场安全管理制度及措施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6" w:name="_Toc14737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bookmarkEnd w:id="6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462D0121">
          <w:pPr>
            <w:pStyle w:val="2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_Toc5659_WPSOffice_Level1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58122"/>
              <w:placeholder>
                <w:docPart w:val="{ead4f5ee-db6e-404d-9b8f-4119f21a5861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7. 质量把控和验收标准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7" w:name="_Toc5659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bookmarkEnd w:id="7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</w:p>
        <w:p w14:paraId="6848A4E5">
          <w:pPr>
            <w:pStyle w:val="24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HYPERLINK \l _Toc26151_WPSOffice_Level1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  <w:id w:val="147460490"/>
              <w:placeholder>
                <w:docPart w:val="{08033b47-1a60-48b6-81fb-eba4c0b9da05}"/>
              </w:placeholder>
            </w:sdtPr>
            <w:sdtEnd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en-US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sz w:val="24"/>
                  <w:szCs w:val="24"/>
                </w:rPr>
                <w:t>8. 应急预案和事故处理机制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bookmarkStart w:id="8" w:name="_Toc26151_WPSOffice_Level1Page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</w:t>
          </w:r>
          <w:bookmarkEnd w:id="8"/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bookmarkEnd w:id="0"/>
        </w:p>
      </w:sdtContent>
    </w:sdt>
    <w:p w14:paraId="37B0E5B9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36A90EA5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44199A45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0670749D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0C2F9671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50CFDC88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7ACBBE98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6E0C5348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4E42BA6B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000BA91D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44B692DB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697FFEB6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0338A7CD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7F47BE89">
      <w:pPr>
        <w:rPr>
          <w:rFonts w:hint="eastAsia" w:ascii="&quot;Microsoft Yahei&quot;" w:hAnsi="&quot;Microsoft Yahei&quot;" w:eastAsia="&quot;Microsoft Yahei&quot;"/>
          <w:b/>
          <w:sz w:val="36"/>
        </w:rPr>
      </w:pPr>
    </w:p>
    <w:p w14:paraId="53ECB97F">
      <w:pPr>
        <w:rPr>
          <w:rFonts w:hint="eastAsia" w:ascii="&quot;Microsoft Yahei&quot;" w:hAnsi="&quot;Microsoft Yahei&quot;" w:eastAsia="&quot;Microsoft Yahei&quot;"/>
          <w:b/>
          <w:sz w:val="36"/>
          <w:lang w:eastAsia="zh-CN"/>
        </w:rPr>
      </w:pPr>
    </w:p>
    <w:p w14:paraId="7B6CB240">
      <w:pPr>
        <w:rPr>
          <w:rFonts w:hint="eastAsia"/>
          <w:lang w:eastAsia="zh-CN"/>
        </w:rPr>
      </w:pPr>
    </w:p>
    <w:p w14:paraId="140111FA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9" w:name="_Toc25189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1. 安全监理目标与原则</w:t>
      </w:r>
      <w:bookmarkEnd w:id="9"/>
    </w:p>
    <w:p w14:paraId="7D89DA83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</w:t>
      </w:r>
    </w:p>
    <w:p w14:paraId="47B17539">
      <w:pPr>
        <w:numPr>
          <w:ilvl w:val="0"/>
          <w:numId w:val="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确保光伏项目施工全过程安全、有序、高效。</w:t>
      </w:r>
    </w:p>
    <w:p w14:paraId="1A9FD4AD">
      <w:pPr>
        <w:numPr>
          <w:ilvl w:val="0"/>
          <w:numId w:val="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降低事故发生率，保障施工人员和设备安全。</w:t>
      </w:r>
    </w:p>
    <w:p w14:paraId="1727F099">
      <w:pPr>
        <w:numPr>
          <w:ilvl w:val="0"/>
          <w:numId w:val="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遵守国家法律法规和行业标准，确保项目质量。</w:t>
      </w:r>
    </w:p>
    <w:p w14:paraId="17C36A7B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原则</w:t>
      </w:r>
    </w:p>
    <w:p w14:paraId="623FE6FF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预防为主，综合治理。</w:t>
      </w:r>
    </w:p>
    <w:p w14:paraId="22771183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安全第一，质量为本。</w:t>
      </w:r>
    </w:p>
    <w:p w14:paraId="6459CD3F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全员参与，责任到人。</w:t>
      </w:r>
    </w:p>
    <w:p w14:paraId="2AED3FED">
      <w:pPr>
        <w:numPr>
          <w:ilvl w:val="0"/>
          <w:numId w:val="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持续改进，追求卓越。</w:t>
      </w:r>
    </w:p>
    <w:p w14:paraId="2EAA4952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17936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 光伏项目各阶段安全检查要点</w:t>
      </w:r>
      <w:bookmarkEnd w:id="10"/>
    </w:p>
    <w:p w14:paraId="78DF2DB0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前期准备阶段</w:t>
      </w:r>
    </w:p>
    <w:p w14:paraId="75F8F4AC">
      <w:pPr>
        <w:numPr>
          <w:ilvl w:val="0"/>
          <w:numId w:val="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检查施工图纸、施工方案、安全预案等文件是否齐全。</w:t>
      </w:r>
    </w:p>
    <w:p w14:paraId="11AA42F6">
      <w:pPr>
        <w:numPr>
          <w:ilvl w:val="0"/>
          <w:numId w:val="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审核施工单位资质、安全管理体系是否健全。</w:t>
      </w:r>
    </w:p>
    <w:p w14:paraId="11641AFE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施工阶段</w:t>
      </w:r>
    </w:p>
    <w:p w14:paraId="35AD182A">
      <w:pPr>
        <w:numPr>
          <w:ilvl w:val="0"/>
          <w:numId w:val="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定期对施工现场进行安全巡查，重点检查高空作业、电气作业、吊装作业等高风险作业。</w:t>
      </w:r>
    </w:p>
    <w:p w14:paraId="7AABA314">
      <w:pPr>
        <w:numPr>
          <w:ilvl w:val="0"/>
          <w:numId w:val="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监督施工单位落实安全技术措施，确保作业人员佩戴安全防护用品。</w:t>
      </w:r>
    </w:p>
    <w:p w14:paraId="0749E15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竣工验收阶段</w:t>
      </w:r>
    </w:p>
    <w:p w14:paraId="04E006B8">
      <w:pPr>
        <w:numPr>
          <w:ilvl w:val="0"/>
          <w:numId w:val="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审核施工单位提交的安全资料，确保符合相关要求。</w:t>
      </w:r>
    </w:p>
    <w:p w14:paraId="0EDC40F1">
      <w:pPr>
        <w:numPr>
          <w:ilvl w:val="0"/>
          <w:numId w:val="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对项目整体安全状况进行评估，提出改进建议。</w:t>
      </w:r>
    </w:p>
    <w:p w14:paraId="5A737195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1" w:name="_Toc16351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3. 安全旁站监理人员资质与职责</w:t>
      </w:r>
      <w:bookmarkEnd w:id="11"/>
    </w:p>
    <w:p w14:paraId="0799BA65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资质</w:t>
      </w:r>
    </w:p>
    <w:p w14:paraId="224D5CB6">
      <w:pPr>
        <w:numPr>
          <w:ilvl w:val="0"/>
          <w:numId w:val="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具备相应的工程技术和安全管理知识。</w:t>
      </w:r>
    </w:p>
    <w:p w14:paraId="61DAF936">
      <w:pPr>
        <w:numPr>
          <w:ilvl w:val="0"/>
          <w:numId w:val="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取得国家注册监理工程师或相关职业资格证书。</w:t>
      </w:r>
    </w:p>
    <w:p w14:paraId="603AA3EA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职责</w:t>
      </w:r>
    </w:p>
    <w:p w14:paraId="265B1EEF">
      <w:pPr>
        <w:numPr>
          <w:ilvl w:val="0"/>
          <w:numId w:val="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负责对光伏项目施工过程进行安全旁站监理。</w:t>
      </w:r>
    </w:p>
    <w:p w14:paraId="51D9C130">
      <w:pPr>
        <w:numPr>
          <w:ilvl w:val="0"/>
          <w:numId w:val="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监督施工单位落实安全管理制度和技术措施。</w:t>
      </w:r>
    </w:p>
    <w:p w14:paraId="1AD5AE5E">
      <w:pPr>
        <w:numPr>
          <w:ilvl w:val="0"/>
          <w:numId w:val="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及时发现并处理安全隐患，确保施工安全。</w:t>
      </w:r>
    </w:p>
    <w:p w14:paraId="49F21E29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2" w:name="_Toc9436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4. 监督流程及方法</w:t>
      </w:r>
      <w:bookmarkEnd w:id="12"/>
    </w:p>
    <w:p w14:paraId="690F5C39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流程</w:t>
      </w:r>
    </w:p>
    <w:p w14:paraId="65397A8F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前期审查：审查施工方案、安全预案等文件。</w:t>
      </w:r>
    </w:p>
    <w:p w14:paraId="31517BB6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过程监督：对施工现场进行定期巡查和随机抽查。</w:t>
      </w:r>
    </w:p>
    <w:p w14:paraId="2D32B5F8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发现问题：记录安全隐患，并督促施工单位整改。</w:t>
      </w:r>
    </w:p>
    <w:p w14:paraId="79EB1DDC">
      <w:pPr>
        <w:numPr>
          <w:ilvl w:val="0"/>
          <w:numId w:val="8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整改复查：对整改情况进行复查，确保隐患得到消除。</w:t>
      </w:r>
    </w:p>
    <w:p w14:paraId="2A172B95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方法</w:t>
      </w:r>
    </w:p>
    <w:p w14:paraId="51D41653">
      <w:pPr>
        <w:numPr>
          <w:ilvl w:val="0"/>
          <w:numId w:val="9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现场观察：通过直接观察施工现场情况，发现安全隐患。</w:t>
      </w:r>
    </w:p>
    <w:p w14:paraId="2DC43C4B">
      <w:pPr>
        <w:numPr>
          <w:ilvl w:val="0"/>
          <w:numId w:val="9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文件审查：审查施工单位提交的安全资料，确保符合要求。</w:t>
      </w:r>
    </w:p>
    <w:p w14:paraId="4C1A6B64">
      <w:pPr>
        <w:numPr>
          <w:ilvl w:val="0"/>
          <w:numId w:val="9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数据分析：对安全数据进行统计分析，找出潜在风险点。</w:t>
      </w:r>
    </w:p>
    <w:p w14:paraId="7D9ACFBA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3" w:name="_Toc31316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5. 风险评估与控制措施</w:t>
      </w:r>
      <w:bookmarkEnd w:id="13"/>
    </w:p>
    <w:p w14:paraId="205E654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风险评估</w:t>
      </w:r>
    </w:p>
    <w:p w14:paraId="7CE89989">
      <w:pPr>
        <w:numPr>
          <w:ilvl w:val="0"/>
          <w:numId w:val="10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对光伏项目进行全面风险评估，识别潜在风险点。</w:t>
      </w:r>
    </w:p>
    <w:p w14:paraId="281A0872">
      <w:pPr>
        <w:numPr>
          <w:ilvl w:val="0"/>
          <w:numId w:val="10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根据风险等级制定相应的风险控制措施。</w:t>
      </w:r>
    </w:p>
    <w:p w14:paraId="174F880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控制措施</w:t>
      </w:r>
    </w:p>
    <w:p w14:paraId="38154F42">
      <w:pPr>
        <w:numPr>
          <w:ilvl w:val="0"/>
          <w:numId w:val="1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建立健全安全管理制度，确保各项安全措施得到有效执行。</w:t>
      </w:r>
    </w:p>
    <w:p w14:paraId="66D72A84">
      <w:pPr>
        <w:numPr>
          <w:ilvl w:val="0"/>
          <w:numId w:val="1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加强对高风险作业区域的监管，提高安全防范意识。</w:t>
      </w:r>
    </w:p>
    <w:p w14:paraId="5F8578A9">
      <w:pPr>
        <w:numPr>
          <w:ilvl w:val="0"/>
          <w:numId w:val="11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定期对施工人员进行安全教育和培训，提高安全素质。</w:t>
      </w:r>
    </w:p>
    <w:p w14:paraId="369B8CA2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4" w:name="_Toc14737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6. 施工现场安全管理制度及措施</w:t>
      </w:r>
      <w:bookmarkEnd w:id="14"/>
    </w:p>
    <w:p w14:paraId="4FAF55ED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制度</w:t>
      </w:r>
    </w:p>
    <w:p w14:paraId="4648BE94">
      <w:pPr>
        <w:numPr>
          <w:ilvl w:val="0"/>
          <w:numId w:val="1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制定详细的施工现场安全管理制度和操作规程。</w:t>
      </w:r>
    </w:p>
    <w:p w14:paraId="5F01F583">
      <w:pPr>
        <w:numPr>
          <w:ilvl w:val="0"/>
          <w:numId w:val="12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明确各级安全责任人的职责和权利。</w:t>
      </w:r>
    </w:p>
    <w:p w14:paraId="2D919A0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措施</w:t>
      </w:r>
    </w:p>
    <w:p w14:paraId="2337C01F">
      <w:pPr>
        <w:numPr>
          <w:ilvl w:val="0"/>
          <w:numId w:val="1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设立安全警示标志和防护设施，确保施工现场安全。</w:t>
      </w:r>
    </w:p>
    <w:p w14:paraId="0FBDD553">
      <w:pPr>
        <w:numPr>
          <w:ilvl w:val="0"/>
          <w:numId w:val="1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定期对施工现场进行清理和整顿，保持整洁有序。</w:t>
      </w:r>
    </w:p>
    <w:p w14:paraId="0063E22B">
      <w:pPr>
        <w:numPr>
          <w:ilvl w:val="0"/>
          <w:numId w:val="13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加强夜间施工的安全管理，确保夜间作业安全。</w:t>
      </w:r>
    </w:p>
    <w:p w14:paraId="1F134854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5" w:name="_Toc5659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7. 质量把控和验收标准</w:t>
      </w:r>
      <w:bookmarkEnd w:id="15"/>
    </w:p>
    <w:p w14:paraId="66137F7E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质量把控</w:t>
      </w:r>
    </w:p>
    <w:p w14:paraId="751308D0">
      <w:pPr>
        <w:numPr>
          <w:ilvl w:val="0"/>
          <w:numId w:val="1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对施工过程中使用的材料和设备进行严格把控，确保符合质量要求。</w:t>
      </w:r>
    </w:p>
    <w:p w14:paraId="18E1E858">
      <w:pPr>
        <w:numPr>
          <w:ilvl w:val="0"/>
          <w:numId w:val="14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监督施工单位按照施工图纸和施工方案进行施工。</w:t>
      </w:r>
    </w:p>
    <w:p w14:paraId="72299D12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验收标准</w:t>
      </w:r>
    </w:p>
    <w:p w14:paraId="17A82B3C">
      <w:pPr>
        <w:numPr>
          <w:ilvl w:val="0"/>
          <w:numId w:val="1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制定详细的验收标准，明确各项指标和合格要求。</w:t>
      </w:r>
    </w:p>
    <w:p w14:paraId="4E6F2F26">
      <w:pPr>
        <w:numPr>
          <w:ilvl w:val="0"/>
          <w:numId w:val="15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对项目整体质量进行评估，确保符合相关标准和要求。</w:t>
      </w:r>
    </w:p>
    <w:p w14:paraId="17D3B689">
      <w:pPr>
        <w:pStyle w:val="2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6" w:name="_Toc26151_WPSOffice_Level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8. 应急预案和事故处理机制</w:t>
      </w:r>
      <w:bookmarkEnd w:id="16"/>
    </w:p>
    <w:p w14:paraId="733DB1F0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应急预案</w:t>
      </w:r>
    </w:p>
    <w:p w14:paraId="1E98D053">
      <w:pPr>
        <w:numPr>
          <w:ilvl w:val="0"/>
          <w:numId w:val="1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制定详细的安全应急预案，包括火灾、电气事故等突发事件的应对措施。</w:t>
      </w:r>
    </w:p>
    <w:p w14:paraId="53CCD30E">
      <w:pPr>
        <w:numPr>
          <w:ilvl w:val="0"/>
          <w:numId w:val="16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定期组织应急演练，提高应对突发事件的能力。</w:t>
      </w:r>
    </w:p>
    <w:p w14:paraId="182545DF">
      <w:pPr>
        <w:pStyle w:val="4"/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事故处理机制</w:t>
      </w:r>
    </w:p>
    <w:p w14:paraId="75018D56">
      <w:pPr>
        <w:numPr>
          <w:ilvl w:val="0"/>
          <w:numId w:val="1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一旦发生安全事故，立即启动应急预案，迅速组织救援。</w:t>
      </w:r>
    </w:p>
    <w:p w14:paraId="081631FA">
      <w:pPr>
        <w:numPr>
          <w:ilvl w:val="0"/>
          <w:numId w:val="17"/>
        </w:numPr>
        <w:spacing w:line="288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对事故原因进行调查分析，提出改进措施，防止类似事故再次发生。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458C">
    <w:pPr>
      <w:pStyle w:val="8"/>
      <w:tabs>
        <w:tab w:val="center" w:pos="4818"/>
        <w:tab w:val="left" w:pos="62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B83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50111">
                          <w:pPr>
                            <w:pStyle w:val="8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50111">
                    <w:pPr>
                      <w:pStyle w:val="8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D7F9FE59"/>
    <w:multiLevelType w:val="multilevel"/>
    <w:tmpl w:val="D7F9FE5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DCBA6B53"/>
    <w:multiLevelType w:val="multilevel"/>
    <w:tmpl w:val="DCBA6B5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5">
    <w:nsid w:val="5A241D34"/>
    <w:multiLevelType w:val="multilevel"/>
    <w:tmpl w:val="5A241D3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6"/>
  </w:num>
  <w:num w:numId="7">
    <w:abstractNumId w:val="8"/>
  </w:num>
  <w:num w:numId="8">
    <w:abstractNumId w:val="0"/>
  </w:num>
  <w:num w:numId="9">
    <w:abstractNumId w:val="12"/>
  </w:num>
  <w:num w:numId="10">
    <w:abstractNumId w:val="15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Dg4N2FkY2E2ZTRiZWIyMDAwNDc4ZWY3OTA3OTkwOWQifQ=="/>
  </w:docVars>
  <w:rsids>
    <w:rsidRoot w:val="00000000"/>
    <w:rsid w:val="114B0CAE"/>
    <w:rsid w:val="15AE0DDD"/>
    <w:rsid w:val="21A611A2"/>
    <w:rsid w:val="3E155A10"/>
    <w:rsid w:val="54104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HAnsi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06261a6-3543-49d2-8203-0133aee66b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6261a6-3543-49d2-8203-0133aee66b78}"/>
      </w:docPartPr>
      <w:docPartBody>
        <w:p w14:paraId="64BB97A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0c47b0-7b48-47e1-96c8-d1e27113bb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0c47b0-7b48-47e1-96c8-d1e27113bb38}"/>
      </w:docPartPr>
      <w:docPartBody>
        <w:p w14:paraId="540CA77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8797e7-5d04-4e86-b032-c996679b58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8797e7-5d04-4e86-b032-c996679b5837}"/>
      </w:docPartPr>
      <w:docPartBody>
        <w:p w14:paraId="275C479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2ef720-1f35-4a83-8065-c183ca59a9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2ef720-1f35-4a83-8065-c183ca59a920}"/>
      </w:docPartPr>
      <w:docPartBody>
        <w:p w14:paraId="7DD9B62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c534bf-c15f-499d-bcd3-8314551b50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c534bf-c15f-499d-bcd3-8314551b5076}"/>
      </w:docPartPr>
      <w:docPartBody>
        <w:p w14:paraId="32ADB77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613e45-b0ee-4d12-9ffa-fd560d1483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613e45-b0ee-4d12-9ffa-fd560d1483ba}"/>
      </w:docPartPr>
      <w:docPartBody>
        <w:p w14:paraId="20C5A4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d4f5ee-db6e-404d-9b8f-4119f21a58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d4f5ee-db6e-404d-9b8f-4119f21a5861}"/>
      </w:docPartPr>
      <w:docPartBody>
        <w:p w14:paraId="00E08CC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033b47-1a60-48b6-81fb-eba4c0b9da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033b47-1a60-48b6-81fb-eba4c0b9da05}"/>
      </w:docPartPr>
      <w:docPartBody>
        <w:p w14:paraId="4D38D40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6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1245</Words>
  <Characters>1261</Characters>
  <TotalTime>0</TotalTime>
  <ScaleCrop>false</ScaleCrop>
  <LinksUpToDate>false</LinksUpToDate>
  <CharactersWithSpaces>1510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2024-06-30T09:51:00Z</dcterms:created>
  <dc:creator>继续努力。。。</dc:creator>
  <cp:lastModifiedBy>飞</cp:lastModifiedBy>
  <cp:lastPrinted>2024-11-02T05:08:00Z</cp:lastPrinted>
  <dcterms:modified xsi:type="dcterms:W3CDTF">2024-11-06T04:56:40Z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E66378CF16AC4500A0ECF4DA72AC5229_13</vt:lpwstr>
  </property>
</Properties>
</file>