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823BA">
      <w:pPr>
        <w:jc w:val="center"/>
        <w:rPr>
          <w:rFonts w:hint="eastAsia" w:ascii="宋体" w:hAnsi="宋体"/>
          <w:b/>
          <w:bCs/>
          <w:sz w:val="40"/>
          <w:szCs w:val="40"/>
          <w:lang w:val="zh-CN"/>
        </w:rPr>
      </w:pPr>
    </w:p>
    <w:p w14:paraId="4E745585">
      <w:pPr>
        <w:spacing w:line="360" w:lineRule="auto"/>
        <w:jc w:val="center"/>
        <w:rPr>
          <w:rFonts w:ascii="Times New Roman" w:hAnsi="Times New Roman" w:eastAsia="宋体" w:cs="Times New Roman"/>
          <w:b/>
          <w:bCs w:val="0"/>
          <w:sz w:val="40"/>
          <w:szCs w:val="40"/>
        </w:rPr>
      </w:pPr>
      <w:r>
        <w:rPr>
          <w:rFonts w:hint="eastAsia" w:ascii="Times New Roman" w:hAnsi="Times New Roman" w:eastAsia="宋体" w:cs="Times New Roman"/>
          <w:b/>
          <w:bCs w:val="0"/>
          <w:sz w:val="36"/>
          <w:szCs w:val="36"/>
          <w:lang w:val="en-US" w:eastAsia="zh-CN"/>
        </w:rPr>
        <w:t>双发新能源友发管道科技分布式光伏项目</w:t>
      </w:r>
    </w:p>
    <w:p w14:paraId="18942ED2">
      <w:pPr>
        <w:jc w:val="center"/>
        <w:rPr>
          <w:rFonts w:ascii="Times New Roman" w:hAnsi="Times New Roman" w:eastAsia="宋体" w:cs="Times New Roman"/>
          <w:b w:val="0"/>
          <w:bCs/>
          <w:sz w:val="40"/>
          <w:szCs w:val="44"/>
        </w:rPr>
      </w:pPr>
    </w:p>
    <w:p w14:paraId="10801199">
      <w:pPr>
        <w:jc w:val="center"/>
        <w:rPr>
          <w:rFonts w:hint="eastAsia" w:ascii="宋体" w:hAnsi="宋体" w:cs="Times New Roman"/>
          <w:b w:val="0"/>
          <w:bCs/>
          <w:sz w:val="40"/>
          <w:szCs w:val="40"/>
        </w:rPr>
      </w:pPr>
    </w:p>
    <w:p w14:paraId="3CA8067E">
      <w:pPr>
        <w:jc w:val="center"/>
        <w:rPr>
          <w:rFonts w:hint="eastAsia" w:ascii="宋体" w:hAnsi="宋体" w:cs="Times New Roman"/>
          <w:b w:val="0"/>
          <w:bCs/>
          <w:sz w:val="40"/>
          <w:szCs w:val="40"/>
        </w:rPr>
      </w:pPr>
    </w:p>
    <w:p w14:paraId="36F8FC1A">
      <w:pPr>
        <w:spacing w:line="480" w:lineRule="auto"/>
        <w:jc w:val="center"/>
        <w:rPr>
          <w:rFonts w:hint="eastAsia" w:ascii="宋体" w:hAnsi="宋体" w:eastAsia="宋体" w:cs="宋体"/>
          <w:b/>
          <w:bCs w:val="0"/>
          <w:kern w:val="28"/>
          <w:sz w:val="48"/>
          <w:szCs w:val="48"/>
          <w:lang w:eastAsia="zh-CN"/>
        </w:rPr>
      </w:pPr>
      <w:r>
        <w:rPr>
          <w:rFonts w:hint="eastAsia" w:ascii="宋体" w:hAnsi="宋体" w:cs="Times New Roman"/>
          <w:b/>
          <w:bCs w:val="0"/>
          <w:sz w:val="48"/>
          <w:szCs w:val="48"/>
          <w:lang w:eastAsia="zh-CN"/>
        </w:rPr>
        <w:tab/>
      </w:r>
      <w:r>
        <w:rPr>
          <w:rFonts w:hint="eastAsia" w:ascii="宋体" w:hAnsi="宋体" w:eastAsia="宋体" w:cs="Times New Roman"/>
          <w:b/>
          <w:bCs w:val="0"/>
          <w:sz w:val="48"/>
          <w:szCs w:val="48"/>
          <w:lang w:val="en-US" w:eastAsia="zh-CN"/>
        </w:rPr>
        <w:t>安 全</w:t>
      </w:r>
      <w:r>
        <w:rPr>
          <w:rFonts w:hint="eastAsia" w:ascii="宋体" w:hAnsi="宋体" w:eastAsia="宋体" w:cs="Times New Roman"/>
          <w:b/>
          <w:bCs w:val="0"/>
          <w:sz w:val="48"/>
          <w:szCs w:val="48"/>
        </w:rPr>
        <w:t xml:space="preserve"> 细 则</w:t>
      </w:r>
      <w:r>
        <w:rPr>
          <w:rFonts w:hint="eastAsia" w:ascii="宋体" w:hAnsi="宋体" w:eastAsia="宋体" w:cs="宋体"/>
          <w:b/>
          <w:bCs w:val="0"/>
          <w:kern w:val="28"/>
          <w:sz w:val="48"/>
          <w:szCs w:val="48"/>
          <w:lang w:eastAsia="zh-CN"/>
        </w:rPr>
        <w:tab/>
      </w:r>
    </w:p>
    <w:p w14:paraId="4775D0BE">
      <w:pPr>
        <w:jc w:val="center"/>
        <w:rPr>
          <w:rFonts w:ascii="宋体" w:eastAsia="宋体" w:cs="Times New Roman"/>
          <w:b/>
          <w:bCs/>
          <w:sz w:val="36"/>
        </w:rPr>
      </w:pPr>
    </w:p>
    <w:p w14:paraId="4D970DB9">
      <w:pPr>
        <w:jc w:val="center"/>
        <w:rPr>
          <w:rFonts w:ascii="宋体" w:eastAsia="宋体" w:cs="Times New Roman"/>
          <w:b/>
          <w:bCs/>
          <w:sz w:val="36"/>
        </w:rPr>
      </w:pPr>
    </w:p>
    <w:p w14:paraId="57DD626F">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批准：</w:t>
      </w:r>
      <w:r>
        <w:rPr>
          <w:rFonts w:ascii="宋体" w:hAnsi="宋体" w:cs="Times New Roman"/>
          <w:b/>
          <w:sz w:val="36"/>
          <w:szCs w:val="36"/>
          <w:u w:val="single"/>
        </w:rPr>
        <w:t xml:space="preserve">                      </w:t>
      </w:r>
    </w:p>
    <w:p w14:paraId="4190D023">
      <w:pPr>
        <w:spacing w:after="240" w:line="720" w:lineRule="auto"/>
        <w:ind w:firstLine="2168" w:firstLineChars="600"/>
        <w:rPr>
          <w:rFonts w:ascii="宋体" w:hAnsi="宋体" w:cs="Times New Roman"/>
          <w:b/>
          <w:sz w:val="36"/>
          <w:szCs w:val="36"/>
          <w:u w:val="single"/>
        </w:rPr>
      </w:pPr>
      <w:r>
        <w:rPr>
          <w:rFonts w:hint="eastAsia" w:ascii="宋体" w:hAnsi="宋体" w:cs="Times New Roman"/>
          <w:b/>
          <w:sz w:val="36"/>
          <w:szCs w:val="36"/>
        </w:rPr>
        <w:t>审核：</w:t>
      </w:r>
      <w:r>
        <w:rPr>
          <w:rFonts w:ascii="宋体" w:hAnsi="宋体" w:cs="Times New Roman"/>
          <w:b/>
          <w:sz w:val="36"/>
          <w:szCs w:val="36"/>
          <w:u w:val="single"/>
        </w:rPr>
        <w:t xml:space="preserve">                      </w:t>
      </w:r>
    </w:p>
    <w:p w14:paraId="3F35C12C">
      <w:pPr>
        <w:ind w:firstLine="2168" w:firstLineChars="600"/>
        <w:jc w:val="both"/>
        <w:rPr>
          <w:rFonts w:ascii="宋体" w:eastAsia="宋体" w:cs="Times New Roman"/>
          <w:b/>
          <w:bCs/>
          <w:sz w:val="36"/>
        </w:rPr>
      </w:pPr>
      <w:r>
        <w:rPr>
          <w:rFonts w:hint="eastAsia" w:ascii="宋体" w:hAnsi="宋体" w:cs="Times New Roman"/>
          <w:b/>
          <w:sz w:val="36"/>
          <w:szCs w:val="36"/>
        </w:rPr>
        <w:t>编制：</w:t>
      </w:r>
      <w:r>
        <w:rPr>
          <w:rFonts w:ascii="宋体" w:hAnsi="宋体" w:cs="Times New Roman"/>
          <w:b/>
          <w:sz w:val="36"/>
          <w:szCs w:val="36"/>
          <w:u w:val="single"/>
        </w:rPr>
        <w:t xml:space="preserve">                      </w:t>
      </w:r>
    </w:p>
    <w:p w14:paraId="7A816436">
      <w:pPr>
        <w:jc w:val="center"/>
        <w:rPr>
          <w:rFonts w:ascii="宋体" w:eastAsia="宋体" w:cs="Times New Roman"/>
          <w:b/>
          <w:bCs/>
          <w:sz w:val="36"/>
        </w:rPr>
      </w:pPr>
    </w:p>
    <w:p w14:paraId="5F0D9766">
      <w:pPr>
        <w:jc w:val="center"/>
        <w:rPr>
          <w:rFonts w:ascii="宋体" w:eastAsia="宋体" w:cs="Times New Roman"/>
          <w:b/>
          <w:bCs/>
          <w:sz w:val="36"/>
        </w:rPr>
      </w:pPr>
    </w:p>
    <w:p w14:paraId="2B30EAC2">
      <w:pPr>
        <w:jc w:val="both"/>
        <w:rPr>
          <w:rFonts w:hint="eastAsia" w:ascii="宋体" w:hAnsi="宋体" w:cs="Times New Roman"/>
          <w:b/>
          <w:bCs/>
          <w:sz w:val="36"/>
        </w:rPr>
      </w:pPr>
    </w:p>
    <w:p w14:paraId="0463FBB6">
      <w:pPr>
        <w:jc w:val="center"/>
        <w:rPr>
          <w:rFonts w:hint="eastAsia" w:ascii="宋体" w:hAnsi="宋体" w:cs="Times New Roman"/>
          <w:b/>
          <w:bCs/>
          <w:sz w:val="36"/>
        </w:rPr>
      </w:pPr>
    </w:p>
    <w:p w14:paraId="13E08CBF">
      <w:pPr>
        <w:jc w:val="center"/>
        <w:rPr>
          <w:rFonts w:hint="eastAsia" w:ascii="宋体" w:hAnsi="宋体" w:cs="Times New Roman"/>
          <w:b/>
          <w:bCs/>
          <w:sz w:val="30"/>
          <w:szCs w:val="30"/>
        </w:rPr>
      </w:pPr>
      <w:r>
        <w:rPr>
          <w:rFonts w:hint="eastAsia" w:ascii="宋体" w:hAnsi="宋体" w:cs="Times New Roman"/>
          <w:b/>
          <w:bCs/>
          <w:sz w:val="30"/>
          <w:szCs w:val="30"/>
        </w:rPr>
        <w:t>常州正衡电力工程监理有限公司</w:t>
      </w:r>
    </w:p>
    <w:p w14:paraId="41F00C81">
      <w:pPr>
        <w:pStyle w:val="14"/>
        <w:ind w:firstLine="1506" w:firstLineChars="500"/>
        <w:rPr>
          <w:rFonts w:hint="default" w:ascii="宋体" w:hAnsi="宋体" w:cs="Times New Roman" w:eastAsiaTheme="minorEastAsia"/>
          <w:b/>
          <w:bCs/>
          <w:kern w:val="2"/>
          <w:sz w:val="30"/>
          <w:szCs w:val="30"/>
          <w:lang w:val="en-US" w:eastAsia="zh-CN" w:bidi="ar-SA"/>
        </w:rPr>
      </w:pPr>
      <w:r>
        <w:rPr>
          <w:rFonts w:hint="eastAsia" w:ascii="宋体" w:hAnsi="宋体" w:cs="Times New Roman" w:eastAsiaTheme="minorEastAsia"/>
          <w:b/>
          <w:bCs/>
          <w:kern w:val="2"/>
          <w:sz w:val="30"/>
          <w:szCs w:val="30"/>
          <w:lang w:val="en-US" w:eastAsia="zh-CN" w:bidi="ar-SA"/>
        </w:rPr>
        <w:t>双发新能源友发管道科技分布式光伏项目监理部</w:t>
      </w:r>
    </w:p>
    <w:p w14:paraId="7FE8D441">
      <w:pPr>
        <w:ind w:firstLine="3915" w:firstLineChars="1300"/>
        <w:rPr>
          <w:rFonts w:hint="default" w:ascii="宋体" w:eastAsia="宋体" w:cs="Times New Roman"/>
          <w:sz w:val="30"/>
          <w:szCs w:val="30"/>
          <w:lang w:val="en-US" w:eastAsia="zh-CN"/>
        </w:rPr>
        <w:sectPr>
          <w:headerReference r:id="rId3" w:type="default"/>
          <w:footerReference r:id="rId4" w:type="default"/>
          <w:pgSz w:w="11906" w:h="16838"/>
          <w:pgMar w:top="1440" w:right="1080" w:bottom="1440" w:left="1080" w:header="850" w:footer="850" w:gutter="0"/>
          <w:pgNumType w:fmt="decimal" w:start="1"/>
          <w:cols w:space="425" w:num="1"/>
          <w:docGrid w:type="lines" w:linePitch="312" w:charSpace="0"/>
        </w:sectPr>
      </w:pPr>
      <w:r>
        <w:rPr>
          <w:rFonts w:hint="eastAsia" w:ascii="宋体" w:hAnsi="宋体" w:eastAsia="宋体" w:cs="Times New Roman"/>
          <w:b/>
          <w:bCs/>
          <w:sz w:val="30"/>
          <w:szCs w:val="30"/>
          <w:lang w:val="en-US" w:eastAsia="zh-CN"/>
        </w:rPr>
        <w:t>2025年05月</w:t>
      </w:r>
    </w:p>
    <w:p w14:paraId="2EB8C020">
      <w:pPr>
        <w:pStyle w:val="9"/>
        <w:tabs>
          <w:tab w:val="right" w:leader="dot" w:pos="9072"/>
        </w:tabs>
        <w:jc w:val="center"/>
        <w:rPr>
          <w:rFonts w:ascii="宋体" w:hAnsi="宋体"/>
          <w:b/>
          <w:color w:val="000000"/>
          <w:sz w:val="36"/>
          <w:szCs w:val="36"/>
        </w:rPr>
      </w:pPr>
      <w:r>
        <w:rPr>
          <w:rFonts w:hint="eastAsia" w:ascii="宋体" w:hAnsi="宋体"/>
          <w:b/>
          <w:color w:val="000000"/>
          <w:sz w:val="36"/>
          <w:szCs w:val="36"/>
        </w:rPr>
        <w:t>目  录</w:t>
      </w:r>
    </w:p>
    <w:p w14:paraId="016C3CD3">
      <w:pPr>
        <w:pStyle w:val="9"/>
        <w:tabs>
          <w:tab w:val="right" w:leader="dot" w:pos="8306"/>
        </w:tabs>
      </w:pPr>
      <w:r>
        <w:rPr>
          <w:rFonts w:hint="eastAsia" w:ascii="宋体" w:hAnsi="宋体"/>
          <w:b/>
          <w:color w:val="000000"/>
          <w:sz w:val="24"/>
          <w:szCs w:val="24"/>
        </w:rPr>
        <w:fldChar w:fldCharType="begin"/>
      </w:r>
      <w:r>
        <w:rPr>
          <w:rFonts w:hint="eastAsia" w:ascii="宋体" w:hAnsi="宋体"/>
          <w:b/>
          <w:color w:val="000000"/>
          <w:sz w:val="24"/>
          <w:szCs w:val="24"/>
        </w:rPr>
        <w:instrText xml:space="preserve">TOC \o "1-3" \h \u </w:instrText>
      </w:r>
      <w:r>
        <w:rPr>
          <w:rFonts w:hint="eastAsia" w:ascii="宋体" w:hAnsi="宋体"/>
          <w:b/>
          <w:color w:val="000000"/>
          <w:sz w:val="24"/>
          <w:szCs w:val="24"/>
        </w:rPr>
        <w:fldChar w:fldCharType="separate"/>
      </w:r>
      <w:r>
        <w:fldChar w:fldCharType="begin"/>
      </w:r>
      <w:r>
        <w:instrText xml:space="preserve"> HYPERLINK \l "_Toc13968" </w:instrText>
      </w:r>
      <w:r>
        <w:fldChar w:fldCharType="separate"/>
      </w:r>
      <w:r>
        <w:rPr>
          <w:rFonts w:hint="eastAsia" w:ascii="宋体" w:hAnsi="宋体"/>
          <w:b/>
          <w:szCs w:val="24"/>
        </w:rPr>
        <w:t>一、编制依据</w:t>
      </w:r>
      <w:r>
        <w:fldChar w:fldCharType="end"/>
      </w:r>
    </w:p>
    <w:p w14:paraId="05243D05">
      <w:pPr>
        <w:pStyle w:val="9"/>
        <w:tabs>
          <w:tab w:val="right" w:leader="dot" w:pos="8306"/>
        </w:tabs>
      </w:pPr>
      <w:r>
        <w:fldChar w:fldCharType="begin"/>
      </w:r>
      <w:r>
        <w:instrText xml:space="preserve"> HYPERLINK \l "_Toc3183" </w:instrText>
      </w:r>
      <w:r>
        <w:fldChar w:fldCharType="separate"/>
      </w:r>
      <w:r>
        <w:rPr>
          <w:rFonts w:hint="eastAsia" w:ascii="宋体" w:hAnsi="宋体"/>
          <w:b/>
          <w:szCs w:val="24"/>
        </w:rPr>
        <w:t>二、工程概况</w:t>
      </w:r>
      <w:r>
        <w:fldChar w:fldCharType="end"/>
      </w:r>
    </w:p>
    <w:p w14:paraId="2CE7FB38">
      <w:pPr>
        <w:pStyle w:val="9"/>
        <w:tabs>
          <w:tab w:val="right" w:leader="dot" w:pos="8306"/>
        </w:tabs>
      </w:pPr>
      <w:r>
        <w:fldChar w:fldCharType="begin"/>
      </w:r>
      <w:r>
        <w:instrText xml:space="preserve"> HYPERLINK \l "_Toc20844" </w:instrText>
      </w:r>
      <w:r>
        <w:fldChar w:fldCharType="separate"/>
      </w:r>
      <w:r>
        <w:rPr>
          <w:rFonts w:hint="eastAsia" w:ascii="宋体" w:hAnsi="宋体"/>
          <w:b/>
          <w:szCs w:val="24"/>
        </w:rPr>
        <w:t>三、 监理工作范围</w:t>
      </w:r>
      <w:r>
        <w:fldChar w:fldCharType="end"/>
      </w:r>
    </w:p>
    <w:p w14:paraId="221CA12B">
      <w:pPr>
        <w:pStyle w:val="9"/>
        <w:tabs>
          <w:tab w:val="right" w:leader="dot" w:pos="8306"/>
        </w:tabs>
      </w:pPr>
      <w:r>
        <w:fldChar w:fldCharType="begin"/>
      </w:r>
      <w:r>
        <w:instrText xml:space="preserve"> HYPERLINK \l "_Toc14489" </w:instrText>
      </w:r>
      <w:r>
        <w:fldChar w:fldCharType="separate"/>
      </w:r>
      <w:r>
        <w:rPr>
          <w:rFonts w:hint="eastAsia" w:ascii="宋体" w:hAnsi="宋体"/>
          <w:b/>
          <w:szCs w:val="24"/>
        </w:rPr>
        <w:t>四、监理工作流程</w:t>
      </w:r>
      <w:r>
        <w:fldChar w:fldCharType="end"/>
      </w:r>
    </w:p>
    <w:p w14:paraId="241C9A20">
      <w:pPr>
        <w:pStyle w:val="9"/>
        <w:tabs>
          <w:tab w:val="right" w:leader="dot" w:pos="8306"/>
        </w:tabs>
      </w:pPr>
      <w:r>
        <w:fldChar w:fldCharType="begin"/>
      </w:r>
      <w:r>
        <w:instrText xml:space="preserve"> HYPERLINK \l "_Toc730" </w:instrText>
      </w:r>
      <w:r>
        <w:fldChar w:fldCharType="separate"/>
      </w:r>
      <w:r>
        <w:rPr>
          <w:rFonts w:hint="eastAsia" w:ascii="宋体" w:hAnsi="宋体"/>
          <w:b/>
          <w:szCs w:val="24"/>
        </w:rPr>
        <w:t>五、控制目标</w:t>
      </w:r>
      <w:r>
        <w:fldChar w:fldCharType="end"/>
      </w:r>
    </w:p>
    <w:p w14:paraId="6D8D0C7E">
      <w:pPr>
        <w:pStyle w:val="10"/>
        <w:tabs>
          <w:tab w:val="right" w:leader="dot" w:pos="8306"/>
        </w:tabs>
      </w:pPr>
      <w:r>
        <w:fldChar w:fldCharType="begin"/>
      </w:r>
      <w:r>
        <w:instrText xml:space="preserve"> HYPERLINK \l "_Toc32303" </w:instrText>
      </w:r>
      <w:r>
        <w:fldChar w:fldCharType="separate"/>
      </w:r>
      <w:r>
        <w:rPr>
          <w:rFonts w:hint="eastAsia" w:ascii="宋体" w:hAnsi="宋体"/>
          <w:b/>
          <w:szCs w:val="24"/>
        </w:rPr>
        <w:t>1、控制目标</w:t>
      </w:r>
      <w:r>
        <w:fldChar w:fldCharType="end"/>
      </w:r>
    </w:p>
    <w:p w14:paraId="1E021690">
      <w:pPr>
        <w:pStyle w:val="10"/>
        <w:tabs>
          <w:tab w:val="right" w:leader="dot" w:pos="8306"/>
        </w:tabs>
      </w:pPr>
      <w:r>
        <w:fldChar w:fldCharType="begin"/>
      </w:r>
      <w:r>
        <w:instrText xml:space="preserve"> HYPERLINK \l "_Toc12693" </w:instrText>
      </w:r>
      <w:r>
        <w:fldChar w:fldCharType="separate"/>
      </w:r>
      <w:r>
        <w:rPr>
          <w:rFonts w:hint="eastAsia" w:ascii="宋体" w:hAnsi="宋体"/>
          <w:b/>
          <w:szCs w:val="24"/>
        </w:rPr>
        <w:t>2、控制要点</w:t>
      </w:r>
      <w:r>
        <w:fldChar w:fldCharType="end"/>
      </w:r>
    </w:p>
    <w:p w14:paraId="5785CF95">
      <w:pPr>
        <w:pStyle w:val="9"/>
        <w:tabs>
          <w:tab w:val="right" w:leader="dot" w:pos="8306"/>
        </w:tabs>
      </w:pPr>
      <w:r>
        <w:fldChar w:fldCharType="begin"/>
      </w:r>
      <w:r>
        <w:instrText xml:space="preserve"> HYPERLINK \l "_Toc19493" </w:instrText>
      </w:r>
      <w:r>
        <w:fldChar w:fldCharType="separate"/>
      </w:r>
      <w:r>
        <w:rPr>
          <w:rFonts w:hint="eastAsia" w:ascii="宋体" w:hAnsi="宋体"/>
          <w:b/>
          <w:color w:val="000000"/>
          <w:szCs w:val="24"/>
        </w:rPr>
        <w:t>六、监理工作方法和措施：</w:t>
      </w:r>
      <w:r>
        <w:fldChar w:fldCharType="end"/>
      </w:r>
    </w:p>
    <w:p w14:paraId="6EC295FF">
      <w:pPr>
        <w:pStyle w:val="10"/>
        <w:tabs>
          <w:tab w:val="right" w:leader="dot" w:pos="8306"/>
        </w:tabs>
      </w:pPr>
      <w:r>
        <w:fldChar w:fldCharType="begin"/>
      </w:r>
      <w:r>
        <w:instrText xml:space="preserve"> HYPERLINK \l "_Toc12126" </w:instrText>
      </w:r>
      <w:r>
        <w:fldChar w:fldCharType="separate"/>
      </w:r>
      <w:r>
        <w:rPr>
          <w:rFonts w:hint="eastAsia" w:ascii="宋体" w:hAnsi="宋体"/>
          <w:b/>
          <w:szCs w:val="24"/>
        </w:rPr>
        <w:t>1、总则</w:t>
      </w:r>
      <w:r>
        <w:fldChar w:fldCharType="end"/>
      </w:r>
    </w:p>
    <w:p w14:paraId="5EB74BA5">
      <w:pPr>
        <w:pStyle w:val="10"/>
        <w:tabs>
          <w:tab w:val="right" w:leader="dot" w:pos="8306"/>
        </w:tabs>
      </w:pPr>
      <w:r>
        <w:fldChar w:fldCharType="begin"/>
      </w:r>
      <w:r>
        <w:instrText xml:space="preserve"> HYPERLINK \l "_Toc14696" </w:instrText>
      </w:r>
      <w:r>
        <w:fldChar w:fldCharType="separate"/>
      </w:r>
      <w:r>
        <w:rPr>
          <w:rFonts w:hint="eastAsia" w:ascii="宋体" w:hAnsi="宋体"/>
          <w:b/>
          <w:szCs w:val="24"/>
        </w:rPr>
        <w:t>2、安全管理主要内容</w:t>
      </w:r>
      <w:r>
        <w:fldChar w:fldCharType="end"/>
      </w:r>
    </w:p>
    <w:p w14:paraId="0B2A60B0">
      <w:pPr>
        <w:pStyle w:val="10"/>
        <w:tabs>
          <w:tab w:val="right" w:leader="dot" w:pos="8306"/>
        </w:tabs>
      </w:pPr>
      <w:r>
        <w:fldChar w:fldCharType="begin"/>
      </w:r>
      <w:r>
        <w:instrText xml:space="preserve"> HYPERLINK \l "_Toc23254" </w:instrText>
      </w:r>
      <w:r>
        <w:fldChar w:fldCharType="separate"/>
      </w:r>
      <w:r>
        <w:rPr>
          <w:rFonts w:hint="eastAsia" w:ascii="宋体" w:hAnsi="宋体"/>
          <w:b/>
          <w:szCs w:val="24"/>
        </w:rPr>
        <w:t>3、安全的事前控制</w:t>
      </w:r>
      <w:r>
        <w:fldChar w:fldCharType="end"/>
      </w:r>
    </w:p>
    <w:p w14:paraId="6BEC1499">
      <w:pPr>
        <w:pStyle w:val="10"/>
        <w:tabs>
          <w:tab w:val="right" w:leader="dot" w:pos="8306"/>
        </w:tabs>
      </w:pPr>
      <w:r>
        <w:fldChar w:fldCharType="begin"/>
      </w:r>
      <w:r>
        <w:instrText xml:space="preserve"> HYPERLINK \l "_Toc26585" </w:instrText>
      </w:r>
      <w:r>
        <w:fldChar w:fldCharType="separate"/>
      </w:r>
      <w:r>
        <w:rPr>
          <w:rFonts w:hint="eastAsia" w:ascii="宋体" w:hAnsi="宋体"/>
          <w:b/>
          <w:szCs w:val="24"/>
        </w:rPr>
        <w:t>4、安全的事中控制</w:t>
      </w:r>
      <w:r>
        <w:fldChar w:fldCharType="end"/>
      </w:r>
    </w:p>
    <w:p w14:paraId="2794619D">
      <w:pPr>
        <w:pStyle w:val="10"/>
        <w:tabs>
          <w:tab w:val="right" w:leader="dot" w:pos="8306"/>
        </w:tabs>
      </w:pPr>
      <w:r>
        <w:fldChar w:fldCharType="begin"/>
      </w:r>
      <w:r>
        <w:instrText xml:space="preserve"> HYPERLINK \l "_Toc7446" </w:instrText>
      </w:r>
      <w:r>
        <w:fldChar w:fldCharType="separate"/>
      </w:r>
      <w:r>
        <w:rPr>
          <w:rFonts w:hint="eastAsia" w:ascii="宋体" w:hAnsi="宋体"/>
          <w:b/>
          <w:szCs w:val="24"/>
        </w:rPr>
        <w:t>5、安全的事后控制</w:t>
      </w:r>
      <w:r>
        <w:fldChar w:fldCharType="end"/>
      </w:r>
    </w:p>
    <w:p w14:paraId="58EDB7CC">
      <w:pPr>
        <w:pStyle w:val="10"/>
        <w:tabs>
          <w:tab w:val="right" w:leader="dot" w:pos="8306"/>
        </w:tabs>
      </w:pPr>
      <w:r>
        <w:fldChar w:fldCharType="begin"/>
      </w:r>
      <w:r>
        <w:instrText xml:space="preserve"> HYPERLINK \l "_Toc6144" </w:instrText>
      </w:r>
      <w:r>
        <w:fldChar w:fldCharType="separate"/>
      </w:r>
      <w:r>
        <w:rPr>
          <w:rFonts w:hint="eastAsia" w:ascii="宋体" w:hAnsi="宋体"/>
          <w:b/>
          <w:szCs w:val="24"/>
        </w:rPr>
        <w:t>6、文明施工</w:t>
      </w:r>
      <w:r>
        <w:fldChar w:fldCharType="end"/>
      </w:r>
    </w:p>
    <w:p w14:paraId="3CFA2FC1">
      <w:pPr>
        <w:pStyle w:val="10"/>
        <w:tabs>
          <w:tab w:val="right" w:leader="dot" w:pos="8306"/>
        </w:tabs>
      </w:pPr>
      <w:r>
        <w:fldChar w:fldCharType="begin"/>
      </w:r>
      <w:r>
        <w:instrText xml:space="preserve"> HYPERLINK \l "_Toc2321" </w:instrText>
      </w:r>
      <w:r>
        <w:fldChar w:fldCharType="separate"/>
      </w:r>
      <w:r>
        <w:rPr>
          <w:rFonts w:hint="eastAsia" w:ascii="宋体" w:hAnsi="宋体"/>
          <w:b/>
          <w:szCs w:val="24"/>
        </w:rPr>
        <w:t>7、环境保护</w:t>
      </w:r>
      <w:r>
        <w:fldChar w:fldCharType="end"/>
      </w:r>
    </w:p>
    <w:p w14:paraId="29A4F8F9">
      <w:pPr>
        <w:pStyle w:val="9"/>
        <w:tabs>
          <w:tab w:val="right" w:leader="dot" w:pos="8306"/>
        </w:tabs>
      </w:pPr>
      <w:r>
        <w:fldChar w:fldCharType="begin"/>
      </w:r>
      <w:r>
        <w:instrText xml:space="preserve"> HYPERLINK \l "_Toc15205" </w:instrText>
      </w:r>
      <w:r>
        <w:fldChar w:fldCharType="separate"/>
      </w:r>
      <w:r>
        <w:rPr>
          <w:rFonts w:hint="eastAsia" w:ascii="宋体" w:hAnsi="宋体"/>
          <w:b/>
          <w:color w:val="000000"/>
          <w:szCs w:val="24"/>
        </w:rPr>
        <w:t>七、管理体系及职责</w:t>
      </w:r>
      <w:r>
        <w:fldChar w:fldCharType="end"/>
      </w:r>
    </w:p>
    <w:p w14:paraId="6A391B1B">
      <w:pPr>
        <w:pStyle w:val="10"/>
        <w:tabs>
          <w:tab w:val="right" w:leader="dot" w:pos="8306"/>
        </w:tabs>
      </w:pPr>
      <w:r>
        <w:fldChar w:fldCharType="begin"/>
      </w:r>
      <w:r>
        <w:instrText xml:space="preserve"> HYPERLINK \l "_Toc21255" </w:instrText>
      </w:r>
      <w:r>
        <w:fldChar w:fldCharType="separate"/>
      </w:r>
      <w:r>
        <w:rPr>
          <w:rFonts w:hint="eastAsia" w:ascii="宋体" w:hAnsi="宋体"/>
          <w:b/>
          <w:color w:val="000000"/>
          <w:szCs w:val="24"/>
        </w:rPr>
        <w:t>1、管理体系</w:t>
      </w:r>
      <w:r>
        <w:fldChar w:fldCharType="end"/>
      </w:r>
    </w:p>
    <w:p w14:paraId="112F9F2B">
      <w:pPr>
        <w:pStyle w:val="10"/>
        <w:tabs>
          <w:tab w:val="right" w:leader="dot" w:pos="8306"/>
        </w:tabs>
      </w:pPr>
      <w:r>
        <w:fldChar w:fldCharType="begin"/>
      </w:r>
      <w:r>
        <w:instrText xml:space="preserve"> HYPERLINK \l "_Toc695" </w:instrText>
      </w:r>
      <w:r>
        <w:fldChar w:fldCharType="separate"/>
      </w:r>
      <w:r>
        <w:rPr>
          <w:rFonts w:hint="eastAsia" w:ascii="宋体" w:hAnsi="宋体"/>
          <w:b/>
          <w:color w:val="000000"/>
          <w:szCs w:val="24"/>
        </w:rPr>
        <w:t>2、岗位安全职责</w:t>
      </w:r>
      <w:r>
        <w:fldChar w:fldCharType="end"/>
      </w:r>
    </w:p>
    <w:p w14:paraId="78F39331">
      <w:pPr>
        <w:spacing w:line="360" w:lineRule="auto"/>
        <w:outlineLvl w:val="1"/>
        <w:rPr>
          <w:rFonts w:ascii="宋体" w:hAnsi="宋体"/>
          <w:b/>
          <w:color w:val="000000"/>
          <w:sz w:val="24"/>
          <w:szCs w:val="24"/>
        </w:rPr>
      </w:pPr>
      <w:r>
        <w:rPr>
          <w:rFonts w:hint="eastAsia" w:ascii="宋体" w:hAnsi="宋体"/>
          <w:b/>
          <w:color w:val="000000"/>
          <w:szCs w:val="24"/>
        </w:rPr>
        <w:fldChar w:fldCharType="end"/>
      </w:r>
    </w:p>
    <w:p w14:paraId="0372D658">
      <w:pPr>
        <w:spacing w:after="240" w:line="720" w:lineRule="auto"/>
        <w:ind w:firstLine="2168" w:firstLineChars="600"/>
        <w:rPr>
          <w:rFonts w:ascii="宋体" w:hAnsi="宋体" w:cs="Times New Roman"/>
          <w:b/>
          <w:sz w:val="36"/>
          <w:szCs w:val="36"/>
          <w:u w:val="single"/>
        </w:rPr>
        <w:sectPr>
          <w:headerReference r:id="rId5" w:type="default"/>
          <w:footerReference r:id="rId6" w:type="default"/>
          <w:pgSz w:w="11906" w:h="16838"/>
          <w:pgMar w:top="1440" w:right="1800" w:bottom="1440" w:left="1800" w:header="850" w:footer="850" w:gutter="0"/>
          <w:pgNumType w:fmt="decimal"/>
          <w:cols w:space="425" w:num="1"/>
          <w:docGrid w:type="lines" w:linePitch="312" w:charSpace="0"/>
        </w:sectPr>
      </w:pPr>
    </w:p>
    <w:p w14:paraId="3F5B1D1F">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0" w:name="_Toc13968"/>
      <w:bookmarkStart w:id="1" w:name="_Toc13386"/>
      <w:r>
        <w:rPr>
          <w:rFonts w:hint="eastAsia" w:ascii="宋体" w:hAnsi="宋体"/>
          <w:b/>
          <w:sz w:val="24"/>
          <w:szCs w:val="24"/>
        </w:rPr>
        <w:t>一、编制依据</w:t>
      </w:r>
      <w:bookmarkEnd w:id="0"/>
      <w:bookmarkEnd w:id="1"/>
    </w:p>
    <w:p w14:paraId="3C926551">
      <w:pPr>
        <w:pStyle w:val="4"/>
        <w:widowControl w:val="0"/>
        <w:tabs>
          <w:tab w:val="left" w:pos="1482"/>
        </w:tabs>
        <w:spacing w:line="360" w:lineRule="auto"/>
        <w:ind w:firstLine="0"/>
        <w:rPr>
          <w:rFonts w:ascii="宋体" w:hAnsi="宋体"/>
          <w:sz w:val="24"/>
          <w:szCs w:val="24"/>
        </w:rPr>
      </w:pPr>
      <w:r>
        <w:rPr>
          <w:rFonts w:hint="eastAsia" w:ascii="宋体" w:hAnsi="宋体"/>
          <w:sz w:val="24"/>
          <w:szCs w:val="24"/>
        </w:rPr>
        <w:t>1、国家技术监督局、中华人民共和国电力行业标准DL/T5434-20</w:t>
      </w:r>
      <w:r>
        <w:rPr>
          <w:rFonts w:hint="eastAsia" w:ascii="宋体" w:hAnsi="宋体"/>
          <w:sz w:val="24"/>
          <w:szCs w:val="24"/>
          <w:lang w:val="en-US" w:eastAsia="zh-CN"/>
        </w:rPr>
        <w:t>21</w:t>
      </w:r>
      <w:r>
        <w:rPr>
          <w:rFonts w:hint="eastAsia" w:ascii="宋体" w:hAnsi="宋体"/>
          <w:sz w:val="24"/>
          <w:szCs w:val="24"/>
        </w:rPr>
        <w:t>《电力建设工程监理规范》</w:t>
      </w:r>
    </w:p>
    <w:p w14:paraId="0C0C9576">
      <w:pPr>
        <w:pStyle w:val="4"/>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14:paraId="5710D4E3">
      <w:pPr>
        <w:pStyle w:val="4"/>
        <w:widowControl w:val="0"/>
        <w:spacing w:line="360" w:lineRule="auto"/>
        <w:ind w:firstLine="0"/>
        <w:rPr>
          <w:rFonts w:ascii="宋体" w:hAnsi="宋体"/>
          <w:sz w:val="24"/>
          <w:szCs w:val="24"/>
        </w:rPr>
      </w:pPr>
      <w:r>
        <w:rPr>
          <w:rFonts w:hint="eastAsia" w:ascii="宋体" w:hAnsi="宋体"/>
          <w:sz w:val="24"/>
          <w:szCs w:val="24"/>
        </w:rPr>
        <w:t>3、2000-05-01国家电力公司发布实施《安全生产工作规定》</w:t>
      </w:r>
    </w:p>
    <w:p w14:paraId="56D992F5">
      <w:pPr>
        <w:pStyle w:val="4"/>
        <w:widowControl w:val="0"/>
        <w:spacing w:line="360" w:lineRule="auto"/>
        <w:ind w:firstLine="0"/>
        <w:rPr>
          <w:rFonts w:ascii="宋体" w:hAnsi="宋体"/>
          <w:sz w:val="24"/>
          <w:szCs w:val="24"/>
        </w:rPr>
      </w:pPr>
      <w:r>
        <w:rPr>
          <w:rFonts w:hint="eastAsia" w:ascii="宋体" w:hAnsi="宋体"/>
          <w:sz w:val="24"/>
          <w:szCs w:val="24"/>
        </w:rPr>
        <w:t>4、2001-01-01国家电力公司发布实施《电力生产事故调查规程》</w:t>
      </w:r>
    </w:p>
    <w:p w14:paraId="4F91D89C">
      <w:pPr>
        <w:pStyle w:val="4"/>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w:t>
      </w:r>
      <w:r>
        <w:rPr>
          <w:rFonts w:hint="eastAsia" w:ascii="宋体" w:hAnsi="宋体"/>
          <w:sz w:val="24"/>
          <w:szCs w:val="24"/>
          <w:lang w:val="en-US" w:eastAsia="zh-CN"/>
        </w:rPr>
        <w:t>4</w:t>
      </w:r>
      <w:r>
        <w:rPr>
          <w:rFonts w:hint="eastAsia" w:ascii="宋体" w:hAnsi="宋体"/>
          <w:sz w:val="24"/>
          <w:szCs w:val="24"/>
        </w:rPr>
        <w:t>《电力建设安全工作规程第2部分(电力线路线电力行业标准)》</w:t>
      </w:r>
    </w:p>
    <w:p w14:paraId="0DD4F4AF">
      <w:pPr>
        <w:spacing w:line="360" w:lineRule="auto"/>
        <w:rPr>
          <w:rFonts w:ascii="宋体" w:hAnsi="宋体"/>
          <w:sz w:val="24"/>
          <w:szCs w:val="24"/>
        </w:rPr>
      </w:pPr>
      <w:r>
        <w:rPr>
          <w:rFonts w:hint="eastAsia" w:ascii="宋体" w:hAnsi="宋体"/>
          <w:sz w:val="24"/>
          <w:szCs w:val="24"/>
        </w:rPr>
        <w:t>6、《职业健康安全管理体系规范》 GB/T28001-20</w:t>
      </w:r>
      <w:r>
        <w:rPr>
          <w:rFonts w:hint="eastAsia" w:ascii="宋体" w:hAnsi="宋体"/>
          <w:sz w:val="24"/>
          <w:szCs w:val="24"/>
          <w:lang w:val="en-US" w:eastAsia="zh-CN"/>
        </w:rPr>
        <w:t>1</w:t>
      </w:r>
      <w:r>
        <w:rPr>
          <w:rFonts w:hint="eastAsia" w:ascii="宋体" w:hAnsi="宋体"/>
          <w:sz w:val="24"/>
          <w:szCs w:val="24"/>
        </w:rPr>
        <w:t>1</w:t>
      </w:r>
    </w:p>
    <w:p w14:paraId="77BE11CC">
      <w:pPr>
        <w:spacing w:line="360" w:lineRule="auto"/>
        <w:rPr>
          <w:rFonts w:ascii="宋体" w:hAnsi="宋体"/>
          <w:sz w:val="24"/>
          <w:szCs w:val="24"/>
        </w:rPr>
      </w:pPr>
      <w:r>
        <w:rPr>
          <w:rFonts w:hint="eastAsia" w:ascii="宋体" w:hAnsi="宋体"/>
          <w:sz w:val="24"/>
          <w:szCs w:val="24"/>
        </w:rPr>
        <w:t>7、《中华人民共和国建筑法》 1997年11月1日中华人民共和国主席令第91号公布， 自1998年3月1日起施行。</w:t>
      </w:r>
    </w:p>
    <w:p w14:paraId="048E1DC5">
      <w:pPr>
        <w:spacing w:line="360" w:lineRule="auto"/>
        <w:rPr>
          <w:rFonts w:ascii="宋体" w:hAnsi="宋体"/>
          <w:sz w:val="24"/>
          <w:szCs w:val="24"/>
        </w:rPr>
      </w:pPr>
      <w:r>
        <w:rPr>
          <w:rFonts w:hint="eastAsia" w:ascii="宋体" w:hAnsi="宋体"/>
          <w:sz w:val="24"/>
          <w:szCs w:val="24"/>
        </w:rPr>
        <w:t>8、《中华人民共和国安全生产法》  中华人民共和国第九届全国人民代表大会常务委员会第二十八次会议于2002年6月29日通过，现予公布，自2002年11月1日起施行。</w:t>
      </w:r>
    </w:p>
    <w:p w14:paraId="20A438E6">
      <w:pPr>
        <w:spacing w:line="360" w:lineRule="auto"/>
        <w:rPr>
          <w:rFonts w:ascii="宋体" w:hAnsi="宋体"/>
          <w:sz w:val="24"/>
          <w:szCs w:val="24"/>
        </w:rPr>
      </w:pPr>
      <w:r>
        <w:rPr>
          <w:rFonts w:hint="eastAsia" w:ascii="宋体" w:hAnsi="宋体"/>
          <w:sz w:val="24"/>
          <w:szCs w:val="24"/>
        </w:rPr>
        <w:t>9、《建设工程安全生产管理条例》393号令  2003年11月12日国务院第28次常务会议通过，现予公布，自2004年2月1日起施行。</w:t>
      </w:r>
    </w:p>
    <w:p w14:paraId="1E585D66">
      <w:pPr>
        <w:spacing w:line="360" w:lineRule="auto"/>
        <w:rPr>
          <w:rFonts w:ascii="宋体" w:hAnsi="宋体"/>
          <w:sz w:val="24"/>
          <w:szCs w:val="24"/>
        </w:rPr>
      </w:pPr>
      <w:r>
        <w:rPr>
          <w:rFonts w:hint="eastAsia" w:ascii="宋体" w:hAnsi="宋体"/>
          <w:sz w:val="24"/>
          <w:szCs w:val="24"/>
        </w:rPr>
        <w:t>10、国家现行的工程建设的相关法律、法规、条例、行业规定及标准。</w:t>
      </w:r>
    </w:p>
    <w:p w14:paraId="50978BAB">
      <w:pPr>
        <w:spacing w:line="360" w:lineRule="auto"/>
        <w:rPr>
          <w:rFonts w:ascii="宋体" w:hAnsi="宋体"/>
          <w:sz w:val="24"/>
          <w:szCs w:val="24"/>
        </w:rPr>
      </w:pPr>
      <w:r>
        <w:rPr>
          <w:rFonts w:hint="eastAsia" w:ascii="宋体" w:hAnsi="宋体"/>
          <w:sz w:val="24"/>
          <w:szCs w:val="24"/>
        </w:rPr>
        <w:t>11、强制性标准：</w:t>
      </w:r>
    </w:p>
    <w:p w14:paraId="5B189AA5">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14:paraId="12E6C7B5">
      <w:pPr>
        <w:spacing w:line="360" w:lineRule="auto"/>
        <w:rPr>
          <w:rFonts w:ascii="宋体" w:hAnsi="宋体"/>
          <w:sz w:val="24"/>
          <w:szCs w:val="24"/>
        </w:rPr>
      </w:pPr>
      <w:r>
        <w:rPr>
          <w:rFonts w:hint="eastAsia" w:ascii="宋体" w:hAnsi="宋体"/>
          <w:sz w:val="24"/>
          <w:szCs w:val="24"/>
        </w:rPr>
        <w:t>12、监理合同、监理规划</w:t>
      </w:r>
    </w:p>
    <w:p w14:paraId="324C8D17">
      <w:pPr>
        <w:spacing w:line="360" w:lineRule="auto"/>
        <w:rPr>
          <w:rFonts w:ascii="宋体" w:hAnsi="宋体"/>
          <w:sz w:val="24"/>
          <w:szCs w:val="24"/>
        </w:rPr>
      </w:pPr>
      <w:r>
        <w:rPr>
          <w:rFonts w:hint="eastAsia" w:ascii="宋体" w:hAnsi="宋体"/>
          <w:sz w:val="24"/>
          <w:szCs w:val="24"/>
        </w:rPr>
        <w:t>13、项目法人提供的本工程技术文件、资料。</w:t>
      </w:r>
    </w:p>
    <w:p w14:paraId="07A864B2">
      <w:pPr>
        <w:spacing w:line="360" w:lineRule="auto"/>
        <w:rPr>
          <w:rFonts w:ascii="宋体" w:hAnsi="宋体"/>
          <w:sz w:val="24"/>
          <w:szCs w:val="24"/>
        </w:rPr>
      </w:pPr>
      <w:r>
        <w:rPr>
          <w:rFonts w:hint="eastAsia" w:ascii="宋体" w:hAnsi="宋体"/>
          <w:sz w:val="24"/>
          <w:szCs w:val="24"/>
        </w:rPr>
        <w:t>14、工程施工组织设计。</w:t>
      </w:r>
    </w:p>
    <w:p w14:paraId="37948DB5">
      <w:pPr>
        <w:adjustRightInd w:val="0"/>
        <w:snapToGrid w:val="0"/>
        <w:spacing w:line="360" w:lineRule="auto"/>
        <w:jc w:val="left"/>
        <w:rPr>
          <w:rFonts w:hint="eastAsia" w:ascii="宋体" w:hAnsi="宋体"/>
          <w:sz w:val="24"/>
          <w:szCs w:val="24"/>
        </w:rPr>
      </w:pPr>
      <w:r>
        <w:rPr>
          <w:rFonts w:hint="eastAsia" w:ascii="宋体" w:hAnsi="宋体"/>
          <w:sz w:val="24"/>
          <w:szCs w:val="24"/>
        </w:rPr>
        <w:t>以上法律法规和文件均使用国家和部门颁布的最新版本。</w:t>
      </w:r>
      <w:bookmarkStart w:id="2" w:name="_Toc20534"/>
      <w:bookmarkStart w:id="3" w:name="_Toc3183"/>
    </w:p>
    <w:p w14:paraId="346D7B9F">
      <w:pPr>
        <w:adjustRightInd w:val="0"/>
        <w:snapToGrid w:val="0"/>
        <w:spacing w:line="360" w:lineRule="auto"/>
        <w:jc w:val="left"/>
        <w:rPr>
          <w:rFonts w:ascii="宋体" w:hAnsi="宋体"/>
          <w:b/>
          <w:sz w:val="24"/>
          <w:szCs w:val="24"/>
        </w:rPr>
      </w:pPr>
      <w:r>
        <w:rPr>
          <w:rFonts w:hint="eastAsia" w:ascii="宋体" w:hAnsi="宋体"/>
          <w:b/>
          <w:sz w:val="24"/>
          <w:szCs w:val="24"/>
        </w:rPr>
        <w:t>二、工程概况</w:t>
      </w:r>
      <w:bookmarkEnd w:id="2"/>
      <w:bookmarkEnd w:id="3"/>
    </w:p>
    <w:p w14:paraId="007E8B7B">
      <w:pPr>
        <w:spacing w:line="360" w:lineRule="auto"/>
        <w:ind w:firstLine="480" w:firstLineChars="200"/>
        <w:jc w:val="both"/>
        <w:rPr>
          <w:rFonts w:hint="eastAsia" w:ascii="Times New Roman" w:hAnsi="Times New Roman" w:eastAsia="宋体" w:cs="Times New Roman"/>
          <w:b w:val="0"/>
          <w:bCs/>
          <w:sz w:val="24"/>
          <w:szCs w:val="24"/>
          <w:lang w:val="en-US" w:eastAsia="zh-CN"/>
        </w:rPr>
      </w:pPr>
      <w:r>
        <w:rPr>
          <w:rFonts w:hint="eastAsia" w:ascii="Calibri" w:hAnsi="Calibri" w:eastAsia="宋体" w:cs="Times New Roman"/>
          <w:b w:val="0"/>
          <w:bCs w:val="0"/>
          <w:kern w:val="0"/>
          <w:sz w:val="24"/>
          <w:szCs w:val="21"/>
          <w:lang w:val="zh-CN" w:eastAsia="zh-CN" w:bidi="ar-SA"/>
        </w:rPr>
        <w:t>工程名称：</w:t>
      </w:r>
      <w:r>
        <w:rPr>
          <w:rFonts w:hint="eastAsia" w:ascii="Times New Roman" w:hAnsi="Times New Roman" w:eastAsia="宋体" w:cs="Times New Roman"/>
          <w:b w:val="0"/>
          <w:bCs/>
          <w:sz w:val="24"/>
          <w:szCs w:val="24"/>
          <w:lang w:val="en-US" w:eastAsia="zh-CN"/>
        </w:rPr>
        <w:t>双发新能源友发管道科技分布式光伏项目</w:t>
      </w:r>
    </w:p>
    <w:p w14:paraId="79617066">
      <w:pPr>
        <w:spacing w:line="360" w:lineRule="auto"/>
        <w:ind w:firstLine="480" w:firstLineChars="200"/>
        <w:jc w:val="both"/>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建设单位：天津双发新能源有限公司</w:t>
      </w:r>
    </w:p>
    <w:p w14:paraId="1125F07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监理单位：常州正衡电力工程监理有限公司</w:t>
      </w:r>
    </w:p>
    <w:p w14:paraId="15D29FF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设计单位：</w:t>
      </w:r>
      <w:r>
        <w:rPr>
          <w:rFonts w:hint="eastAsia" w:ascii="宋体" w:hAnsi="宋体" w:eastAsia="宋体" w:cs="宋体"/>
          <w:color w:val="auto"/>
          <w:sz w:val="24"/>
          <w:szCs w:val="24"/>
          <w:lang w:val="en-US" w:eastAsia="zh-CN"/>
        </w:rPr>
        <w:t>天津仁和电力工程设计有限公司</w:t>
      </w:r>
    </w:p>
    <w:p w14:paraId="02DED090">
      <w:pPr>
        <w:widowControl/>
        <w:tabs>
          <w:tab w:val="left" w:pos="425"/>
        </w:tabs>
        <w:spacing w:line="360" w:lineRule="auto"/>
        <w:ind w:firstLine="480" w:firstLineChars="200"/>
        <w:jc w:val="left"/>
        <w:rPr>
          <w:rFonts w:hint="eastAsia" w:ascii="宋体" w:hAnsi="宋体"/>
          <w:sz w:val="24"/>
          <w:szCs w:val="24"/>
          <w:lang w:val="zh-CN"/>
        </w:rPr>
      </w:pPr>
      <w:r>
        <w:rPr>
          <w:rFonts w:hint="eastAsia" w:ascii="Calibri" w:hAnsi="Calibri" w:eastAsia="宋体" w:cs="Times New Roman"/>
          <w:b w:val="0"/>
          <w:bCs w:val="0"/>
          <w:kern w:val="0"/>
          <w:sz w:val="24"/>
          <w:szCs w:val="21"/>
          <w:lang w:val="zh-CN" w:eastAsia="zh-CN" w:bidi="ar-SA"/>
        </w:rPr>
        <w:t>总包单位：</w:t>
      </w:r>
      <w:r>
        <w:rPr>
          <w:rFonts w:hint="eastAsia" w:ascii="宋体" w:hAnsi="宋体" w:eastAsia="宋体" w:cs="宋体"/>
          <w:color w:val="auto"/>
          <w:sz w:val="24"/>
          <w:szCs w:val="24"/>
          <w:lang w:val="en-US" w:eastAsia="zh-CN"/>
        </w:rPr>
        <w:t>双杰新能有限公司</w:t>
      </w:r>
    </w:p>
    <w:p w14:paraId="782E76B8">
      <w:pPr>
        <w:pStyle w:val="2"/>
        <w:widowControl/>
        <w:adjustRightInd/>
        <w:spacing w:before="72" w:beforeLines="30" w:after="72" w:afterLines="30" w:line="360" w:lineRule="auto"/>
        <w:textAlignment w:val="auto"/>
        <w:rPr>
          <w:rFonts w:hint="eastAsia" w:ascii="宋体" w:hAnsi="宋体" w:eastAsia="宋体" w:cs="宋体"/>
          <w:b/>
          <w:bCs w:val="0"/>
          <w:color w:val="auto"/>
          <w:sz w:val="24"/>
          <w:szCs w:val="24"/>
          <w:lang w:val="en-US" w:eastAsia="zh-CN" w:bidi="en-US"/>
        </w:rPr>
      </w:pPr>
      <w:bookmarkStart w:id="4" w:name="_Toc6008"/>
      <w:bookmarkStart w:id="5" w:name="_Toc20844"/>
      <w:r>
        <w:rPr>
          <w:rFonts w:hint="eastAsia" w:ascii="宋体" w:hAnsi="宋体" w:eastAsia="宋体" w:cs="宋体"/>
          <w:b/>
          <w:bCs w:val="0"/>
          <w:color w:val="auto"/>
          <w:sz w:val="24"/>
          <w:szCs w:val="24"/>
          <w:lang w:val="en-US" w:eastAsia="zh-CN" w:bidi="en-US"/>
        </w:rPr>
        <w:t>项目概况：</w:t>
      </w:r>
    </w:p>
    <w:p w14:paraId="202924E9">
      <w:pPr>
        <w:pStyle w:val="2"/>
        <w:widowControl/>
        <w:adjustRightInd/>
        <w:spacing w:before="72" w:beforeLines="30" w:after="72" w:afterLines="30" w:line="360" w:lineRule="auto"/>
        <w:ind w:firstLine="480" w:firstLineChars="200"/>
        <w:textAlignment w:val="auto"/>
        <w:rPr>
          <w:rFonts w:hint="default" w:ascii="宋体" w:hAnsi="宋体" w:eastAsia="宋体" w:cs="宋体"/>
          <w:b w:val="0"/>
          <w:bCs/>
          <w:color w:val="auto"/>
          <w:sz w:val="24"/>
          <w:szCs w:val="24"/>
          <w:lang w:val="en-US" w:eastAsia="zh-CN" w:bidi="en-US"/>
        </w:rPr>
      </w:pPr>
      <w:r>
        <w:rPr>
          <w:rFonts w:hint="eastAsia" w:ascii="宋体" w:hAnsi="宋体" w:eastAsiaTheme="minorEastAsia" w:cstheme="minorBidi"/>
          <w:b w:val="0"/>
          <w:bCs w:val="0"/>
          <w:kern w:val="2"/>
          <w:sz w:val="24"/>
          <w:szCs w:val="24"/>
          <w:lang w:val="zh-CN" w:eastAsia="zh-CN" w:bidi="ar-SA"/>
        </w:rPr>
        <w:t>双发新能源友发管道科技分布式光伏项目</w:t>
      </w:r>
      <w:r>
        <w:rPr>
          <w:rFonts w:hint="eastAsia" w:ascii="宋体" w:hAnsi="宋体" w:eastAsiaTheme="minorEastAsia" w:cstheme="minorBidi"/>
          <w:b w:val="0"/>
          <w:bCs w:val="0"/>
          <w:kern w:val="2"/>
          <w:sz w:val="24"/>
          <w:szCs w:val="24"/>
          <w:lang w:val="en-US" w:eastAsia="zh-CN" w:bidi="ar-SA"/>
        </w:rPr>
        <w:t>采用585W组件共计2554块，选用15台100KW、1台50KW和1台30KW组串式逆变器，本项目经6回0.4KV线路接入用户变电站及箱站</w:t>
      </w:r>
      <w:r>
        <w:rPr>
          <w:rFonts w:hint="eastAsia" w:ascii="宋体" w:hAnsi="宋体" w:eastAsia="宋体" w:cs="宋体"/>
          <w:b w:val="0"/>
          <w:bCs/>
          <w:color w:val="auto"/>
          <w:sz w:val="24"/>
          <w:szCs w:val="24"/>
          <w:lang w:val="en-US" w:eastAsia="zh-CN" w:bidi="en-US"/>
        </w:rPr>
        <w:t>。</w:t>
      </w:r>
    </w:p>
    <w:p w14:paraId="3D25D008">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三、 监理工作范围:</w:t>
      </w:r>
      <w:bookmarkEnd w:id="4"/>
      <w:bookmarkEnd w:id="5"/>
      <w:r>
        <w:rPr>
          <w:rFonts w:hint="eastAsia" w:ascii="宋体" w:hAnsi="宋体"/>
          <w:b/>
          <w:sz w:val="24"/>
          <w:szCs w:val="24"/>
        </w:rPr>
        <w:t xml:space="preserve"> </w:t>
      </w:r>
    </w:p>
    <w:p w14:paraId="7588E77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14:paraId="7134015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14:paraId="792EF78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14:paraId="314A1C1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14:paraId="4AD2E437">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14:paraId="135ABDA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14:paraId="611572B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14:paraId="18644B4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14:paraId="6CE0E46D">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sz w:val="24"/>
          <w:szCs w:val="24"/>
        </w:rPr>
        <w:t>（9）委托人要求完成的其他合同内工作。</w:t>
      </w:r>
    </w:p>
    <w:p w14:paraId="63DD5679">
      <w:pPr>
        <w:spacing w:line="360" w:lineRule="auto"/>
        <w:outlineLvl w:val="0"/>
        <w:rPr>
          <w:rFonts w:ascii="宋体" w:hAnsi="宋体"/>
          <w:b/>
          <w:sz w:val="24"/>
          <w:szCs w:val="24"/>
        </w:rPr>
      </w:pPr>
      <w:bookmarkStart w:id="6" w:name="_Toc22928"/>
      <w:bookmarkStart w:id="7" w:name="_Toc14489"/>
      <w:r>
        <w:rPr>
          <w:rFonts w:hint="eastAsia" w:ascii="宋体" w:hAnsi="宋体"/>
          <w:b/>
          <w:sz w:val="24"/>
          <w:szCs w:val="24"/>
        </w:rPr>
        <w:t>四、监理工作流程：</w:t>
      </w:r>
      <w:bookmarkEnd w:id="6"/>
      <w:bookmarkEnd w:id="7"/>
    </w:p>
    <w:p w14:paraId="1133BFED">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458DBF68">
      <w:pPr>
        <w:adjustRightInd w:val="0"/>
        <w:snapToGrid w:val="0"/>
        <w:rPr>
          <w:rFonts w:ascii="宋体" w:hAnsi="宋体"/>
          <w:b/>
          <w:sz w:val="24"/>
          <w:szCs w:val="24"/>
        </w:rPr>
      </w:pPr>
    </w:p>
    <w:p w14:paraId="15ADECBC">
      <w:pPr>
        <w:adjustRightInd w:val="0"/>
        <w:snapToGrid w:val="0"/>
        <w:spacing w:line="360" w:lineRule="auto"/>
        <w:outlineLvl w:val="0"/>
        <w:rPr>
          <w:rFonts w:ascii="宋体" w:hAnsi="宋体"/>
          <w:b/>
          <w:sz w:val="24"/>
          <w:szCs w:val="24"/>
        </w:rPr>
      </w:pPr>
      <w:bookmarkStart w:id="8" w:name="_Toc730"/>
      <w:bookmarkStart w:id="9" w:name="_Toc20697"/>
      <w:r>
        <w:rPr>
          <w:rFonts w:hint="eastAsia" w:ascii="宋体" w:hAnsi="宋体"/>
          <w:b/>
          <w:sz w:val="24"/>
          <w:szCs w:val="24"/>
        </w:rPr>
        <w:t>五、控制目标：</w:t>
      </w:r>
      <w:bookmarkEnd w:id="8"/>
      <w:bookmarkEnd w:id="9"/>
    </w:p>
    <w:p w14:paraId="631FD8E5">
      <w:pPr>
        <w:adjustRightInd w:val="0"/>
        <w:snapToGrid w:val="0"/>
        <w:spacing w:line="360" w:lineRule="auto"/>
        <w:outlineLvl w:val="1"/>
        <w:rPr>
          <w:rFonts w:ascii="宋体" w:hAnsi="宋体"/>
          <w:b/>
          <w:sz w:val="24"/>
          <w:szCs w:val="24"/>
        </w:rPr>
      </w:pPr>
      <w:bookmarkStart w:id="10" w:name="_Toc25274"/>
      <w:bookmarkStart w:id="11" w:name="_Toc32303"/>
      <w:r>
        <w:rPr>
          <w:rFonts w:hint="eastAsia" w:ascii="宋体" w:hAnsi="宋体"/>
          <w:b/>
          <w:sz w:val="24"/>
          <w:szCs w:val="24"/>
        </w:rPr>
        <w:t>1、控制目标：</w:t>
      </w:r>
      <w:bookmarkEnd w:id="10"/>
      <w:bookmarkEnd w:id="11"/>
    </w:p>
    <w:p w14:paraId="48F8EC41">
      <w:pPr>
        <w:spacing w:line="360" w:lineRule="auto"/>
        <w:ind w:firstLine="360" w:firstLineChars="15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不发生轻伤及以上人身事故；</w:t>
      </w:r>
    </w:p>
    <w:p w14:paraId="7109B302">
      <w:pPr>
        <w:spacing w:line="360" w:lineRule="auto"/>
        <w:ind w:firstLine="360" w:firstLineChars="15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 xml:space="preserve">2 </w:t>
      </w:r>
      <w:r>
        <w:rPr>
          <w:rFonts w:hint="eastAsia" w:ascii="宋体" w:hAnsi="宋体"/>
          <w:sz w:val="24"/>
          <w:szCs w:val="24"/>
          <w:lang w:eastAsia="zh-CN"/>
        </w:rPr>
        <w:t>）</w:t>
      </w:r>
      <w:r>
        <w:rPr>
          <w:rFonts w:hint="eastAsia" w:ascii="宋体" w:hAnsi="宋体"/>
          <w:sz w:val="24"/>
          <w:szCs w:val="24"/>
        </w:rPr>
        <w:t>不发生一般及以上火灾事故；</w:t>
      </w:r>
    </w:p>
    <w:p w14:paraId="4138BD90">
      <w:pPr>
        <w:spacing w:line="360" w:lineRule="auto"/>
        <w:ind w:firstLine="360" w:firstLineChars="15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 不发生一般及以上外包工程施工机械事故;</w:t>
      </w:r>
    </w:p>
    <w:p w14:paraId="340E349B">
      <w:pPr>
        <w:spacing w:line="360" w:lineRule="auto"/>
        <w:ind w:firstLine="360" w:firstLineChars="15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不发生本单位负同等及以上责任的一般交通事故；</w:t>
      </w:r>
    </w:p>
    <w:p w14:paraId="5449352E">
      <w:pPr>
        <w:spacing w:line="360" w:lineRule="auto"/>
        <w:ind w:firstLine="360" w:firstLineChars="15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不发生职工群体健康事件；</w:t>
      </w:r>
    </w:p>
    <w:p w14:paraId="7B1E8594">
      <w:pPr>
        <w:spacing w:line="360" w:lineRule="auto"/>
        <w:ind w:firstLine="360" w:firstLineChars="15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不发生较大垮塌事故；</w:t>
      </w:r>
    </w:p>
    <w:p w14:paraId="36DD0A7B">
      <w:pPr>
        <w:spacing w:line="360" w:lineRule="auto"/>
        <w:ind w:firstLine="360" w:firstLineChars="150"/>
        <w:rPr>
          <w:rFonts w:hint="eastAsia" w:ascii="宋体" w:hAnsi="宋体"/>
          <w:sz w:val="24"/>
          <w:szCs w:val="24"/>
          <w:lang w:val="en-US" w:eastAsia="zh-CN"/>
        </w:rPr>
      </w:pPr>
      <w:r>
        <w:rPr>
          <w:rFonts w:hint="eastAsia" w:ascii="宋体" w:hAnsi="宋体"/>
          <w:sz w:val="24"/>
          <w:szCs w:val="24"/>
          <w:lang w:val="en-US" w:eastAsia="zh-CN"/>
        </w:rPr>
        <w:t>（7 ）不发生一般破坏生态、环境污染事件；</w:t>
      </w:r>
    </w:p>
    <w:p w14:paraId="1F51CFDF">
      <w:pPr>
        <w:spacing w:line="360" w:lineRule="auto"/>
        <w:ind w:firstLine="360" w:firstLineChars="150"/>
        <w:rPr>
          <w:rFonts w:hint="default"/>
          <w:sz w:val="24"/>
          <w:szCs w:val="24"/>
          <w:lang w:val="en-US" w:eastAsia="zh-CN"/>
        </w:rPr>
      </w:pPr>
      <w:r>
        <w:rPr>
          <w:rFonts w:hint="eastAsia" w:ascii="宋体" w:hAnsi="宋体"/>
          <w:sz w:val="24"/>
          <w:szCs w:val="24"/>
          <w:lang w:val="en-US" w:eastAsia="zh-CN"/>
        </w:rPr>
        <w:t>（8 ）不发生不稳定事件。</w:t>
      </w:r>
    </w:p>
    <w:p w14:paraId="4AB0701A">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14:paraId="03E00093">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14:paraId="25D58CE8">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2" w:name="_Toc12693"/>
      <w:bookmarkStart w:id="13" w:name="_Toc29844"/>
      <w:r>
        <w:rPr>
          <w:rFonts w:hint="eastAsia" w:ascii="宋体" w:hAnsi="宋体"/>
          <w:b/>
          <w:sz w:val="24"/>
          <w:szCs w:val="24"/>
        </w:rPr>
        <w:t>2、控制要点：</w:t>
      </w:r>
      <w:bookmarkEnd w:id="12"/>
      <w:bookmarkEnd w:id="13"/>
    </w:p>
    <w:p w14:paraId="46F26BA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1）、安全技术措施监理工作的主要内容</w:t>
      </w:r>
    </w:p>
    <w:p w14:paraId="7EE54453">
      <w:pPr>
        <w:spacing w:line="360" w:lineRule="auto"/>
        <w:rPr>
          <w:rFonts w:ascii="宋体" w:hAnsi="宋体"/>
          <w:sz w:val="24"/>
          <w:szCs w:val="24"/>
        </w:rPr>
      </w:pPr>
      <w:r>
        <w:rPr>
          <w:rFonts w:hint="eastAsia" w:ascii="宋体" w:hAnsi="宋体"/>
          <w:sz w:val="24"/>
          <w:szCs w:val="24"/>
        </w:rPr>
        <w:t>2）、本工程制定的进入施工现场安全规定。</w:t>
      </w:r>
    </w:p>
    <w:p w14:paraId="60866819">
      <w:pPr>
        <w:spacing w:line="360" w:lineRule="auto"/>
        <w:rPr>
          <w:rFonts w:ascii="宋体" w:hAnsi="宋体"/>
          <w:sz w:val="24"/>
          <w:szCs w:val="24"/>
        </w:rPr>
      </w:pPr>
      <w:r>
        <w:rPr>
          <w:rFonts w:hint="eastAsia" w:ascii="宋体" w:hAnsi="宋体"/>
          <w:sz w:val="24"/>
          <w:szCs w:val="24"/>
        </w:rPr>
        <w:t>3）、脚手架搭设方案和安全防护措施。</w:t>
      </w:r>
    </w:p>
    <w:p w14:paraId="5852D658">
      <w:pPr>
        <w:spacing w:line="360" w:lineRule="auto"/>
        <w:rPr>
          <w:rFonts w:ascii="宋体" w:hAnsi="宋体"/>
          <w:sz w:val="24"/>
          <w:szCs w:val="24"/>
        </w:rPr>
      </w:pPr>
      <w:r>
        <w:rPr>
          <w:rFonts w:hint="eastAsia" w:ascii="宋体" w:hAnsi="宋体"/>
          <w:sz w:val="24"/>
          <w:szCs w:val="24"/>
        </w:rPr>
        <w:t>4)、高处作业的上下通道及防护措施。</w:t>
      </w:r>
    </w:p>
    <w:p w14:paraId="50341F33">
      <w:pPr>
        <w:spacing w:line="360" w:lineRule="auto"/>
        <w:rPr>
          <w:rFonts w:ascii="宋体" w:hAnsi="宋体"/>
          <w:sz w:val="24"/>
          <w:szCs w:val="24"/>
        </w:rPr>
      </w:pPr>
      <w:r>
        <w:rPr>
          <w:rFonts w:hint="eastAsia" w:ascii="宋体" w:hAnsi="宋体"/>
          <w:sz w:val="24"/>
          <w:szCs w:val="24"/>
        </w:rPr>
        <w:t>5)、安全网（平网、立网）架设要求范围（保护区域）架设层次、段落。</w:t>
      </w:r>
    </w:p>
    <w:p w14:paraId="21E463B6">
      <w:pPr>
        <w:spacing w:line="360" w:lineRule="auto"/>
        <w:rPr>
          <w:rFonts w:ascii="宋体" w:hAnsi="宋体"/>
          <w:sz w:val="24"/>
          <w:szCs w:val="24"/>
        </w:rPr>
      </w:pPr>
      <w:r>
        <w:rPr>
          <w:rFonts w:hint="eastAsia" w:ascii="宋体" w:hAnsi="宋体"/>
          <w:sz w:val="24"/>
          <w:szCs w:val="24"/>
        </w:rPr>
        <w:t>6)、对设备二次倒运的道路及车辆安全装置等的要求和措施。</w:t>
      </w:r>
    </w:p>
    <w:p w14:paraId="4F4DAA67">
      <w:pPr>
        <w:spacing w:line="360" w:lineRule="auto"/>
        <w:rPr>
          <w:rFonts w:ascii="宋体" w:hAnsi="宋体"/>
          <w:sz w:val="24"/>
          <w:szCs w:val="24"/>
        </w:rPr>
      </w:pPr>
      <w:r>
        <w:rPr>
          <w:rFonts w:hint="eastAsia" w:ascii="宋体" w:hAnsi="宋体"/>
          <w:sz w:val="24"/>
          <w:szCs w:val="24"/>
        </w:rPr>
        <w:t>7)、施工洞口及临时的防护方法和立体交叉施工作业区的隔离措施。</w:t>
      </w:r>
    </w:p>
    <w:p w14:paraId="76694162">
      <w:pPr>
        <w:spacing w:line="360" w:lineRule="auto"/>
        <w:rPr>
          <w:rFonts w:ascii="宋体" w:hAnsi="宋体"/>
          <w:sz w:val="24"/>
          <w:szCs w:val="24"/>
        </w:rPr>
      </w:pPr>
      <w:r>
        <w:rPr>
          <w:rFonts w:hint="eastAsia" w:ascii="宋体" w:hAnsi="宋体"/>
          <w:sz w:val="24"/>
          <w:szCs w:val="24"/>
        </w:rPr>
        <w:t>8）、场内通道及行人道路的布置。</w:t>
      </w:r>
    </w:p>
    <w:p w14:paraId="307D6483">
      <w:pPr>
        <w:spacing w:line="360" w:lineRule="auto"/>
        <w:rPr>
          <w:rFonts w:ascii="宋体" w:hAnsi="宋体"/>
          <w:sz w:val="24"/>
          <w:szCs w:val="24"/>
        </w:rPr>
      </w:pPr>
      <w:r>
        <w:rPr>
          <w:rFonts w:hint="eastAsia" w:ascii="宋体" w:hAnsi="宋体"/>
          <w:sz w:val="24"/>
          <w:szCs w:val="24"/>
        </w:rPr>
        <w:t>9）、临时施工用电组织设计。</w:t>
      </w:r>
    </w:p>
    <w:p w14:paraId="2E6A944E">
      <w:pPr>
        <w:spacing w:line="360" w:lineRule="auto"/>
        <w:rPr>
          <w:rFonts w:ascii="宋体" w:hAnsi="宋体"/>
          <w:sz w:val="24"/>
          <w:szCs w:val="24"/>
        </w:rPr>
      </w:pPr>
      <w:r>
        <w:rPr>
          <w:rFonts w:hint="eastAsia" w:ascii="宋体" w:hAnsi="宋体"/>
          <w:sz w:val="24"/>
          <w:szCs w:val="24"/>
        </w:rPr>
        <w:t>10）、对各类起重机械及中小型机具使用的安全，重点对设备防风、防雷措施及安全装置使用情况进行检查。</w:t>
      </w:r>
    </w:p>
    <w:p w14:paraId="6CD115A0">
      <w:pPr>
        <w:spacing w:line="360" w:lineRule="auto"/>
        <w:rPr>
          <w:rFonts w:ascii="宋体" w:hAnsi="宋体"/>
          <w:sz w:val="24"/>
          <w:szCs w:val="24"/>
        </w:rPr>
      </w:pPr>
      <w:r>
        <w:rPr>
          <w:rFonts w:hint="eastAsia" w:ascii="宋体" w:hAnsi="宋体"/>
          <w:sz w:val="24"/>
          <w:szCs w:val="24"/>
        </w:rPr>
        <w:t>11）、对各类模板的安装与拆除作业安全措施。</w:t>
      </w:r>
    </w:p>
    <w:p w14:paraId="6149CBA3">
      <w:pPr>
        <w:spacing w:line="360" w:lineRule="auto"/>
        <w:rPr>
          <w:rFonts w:ascii="宋体" w:hAnsi="宋体"/>
          <w:sz w:val="24"/>
          <w:szCs w:val="24"/>
        </w:rPr>
      </w:pPr>
      <w:r>
        <w:rPr>
          <w:rFonts w:hint="eastAsia" w:ascii="宋体" w:hAnsi="宋体"/>
          <w:sz w:val="24"/>
          <w:szCs w:val="24"/>
        </w:rPr>
        <w:t>12)、防火、防毒、防爆、防雷等安全措施。</w:t>
      </w:r>
    </w:p>
    <w:p w14:paraId="54FDACBD">
      <w:pPr>
        <w:autoSpaceDE w:val="0"/>
        <w:autoSpaceDN w:val="0"/>
        <w:adjustRightInd w:val="0"/>
        <w:jc w:val="left"/>
        <w:rPr>
          <w:rFonts w:ascii="宋体" w:hAnsi="宋体"/>
          <w:sz w:val="24"/>
          <w:szCs w:val="24"/>
        </w:rPr>
      </w:pPr>
      <w:r>
        <w:rPr>
          <w:rFonts w:hint="eastAsia" w:ascii="宋体" w:hAnsi="宋体"/>
          <w:sz w:val="24"/>
          <w:szCs w:val="24"/>
        </w:rPr>
        <w:t>13)、对设备倒运、大垮度结构、高支模体系、各种特殊脚手架作业的拆除工程等。</w:t>
      </w:r>
    </w:p>
    <w:p w14:paraId="2E6A0238">
      <w:pPr>
        <w:autoSpaceDE w:val="0"/>
        <w:autoSpaceDN w:val="0"/>
        <w:adjustRightInd w:val="0"/>
        <w:jc w:val="left"/>
        <w:rPr>
          <w:rFonts w:ascii="宋体" w:cs="宋体"/>
          <w:kern w:val="0"/>
          <w:sz w:val="24"/>
          <w:szCs w:val="24"/>
        </w:rPr>
      </w:pPr>
      <w:r>
        <w:rPr>
          <w:rFonts w:hint="eastAsia" w:ascii="宋体" w:hAnsi="宋体"/>
          <w:sz w:val="24"/>
          <w:szCs w:val="24"/>
        </w:rPr>
        <w:t>14）受限空间作业安全技术措施：</w:t>
      </w:r>
      <w:r>
        <w:rPr>
          <w:rFonts w:hint="eastAsia" w:ascii="宋体" w:cs="宋体"/>
          <w:kern w:val="0"/>
          <w:sz w:val="24"/>
          <w:szCs w:val="24"/>
        </w:rPr>
        <w:t>指在基坑、下水道、管沟、等存在进出限制的空间内进行的作业。</w:t>
      </w:r>
    </w:p>
    <w:p w14:paraId="4C3E5635">
      <w:pPr>
        <w:spacing w:line="360" w:lineRule="auto"/>
        <w:rPr>
          <w:rFonts w:ascii="宋体" w:hAnsi="宋体"/>
          <w:b/>
          <w:color w:val="000000"/>
          <w:sz w:val="24"/>
          <w:szCs w:val="24"/>
        </w:rPr>
      </w:pPr>
      <w:r>
        <w:rPr>
          <w:rFonts w:hint="eastAsia" w:ascii="宋体" w:hAnsi="宋体"/>
          <w:sz w:val="24"/>
          <w:szCs w:val="24"/>
        </w:rPr>
        <w:t>15)、季节性施工安全技术措施。（雨季施工、夏季施工、冬季施工）</w:t>
      </w:r>
    </w:p>
    <w:p w14:paraId="6D21278C">
      <w:pPr>
        <w:spacing w:line="360" w:lineRule="auto"/>
        <w:outlineLvl w:val="0"/>
        <w:rPr>
          <w:rFonts w:ascii="宋体" w:hAnsi="宋体"/>
          <w:b/>
          <w:color w:val="000000"/>
          <w:sz w:val="24"/>
          <w:szCs w:val="24"/>
        </w:rPr>
      </w:pPr>
      <w:bookmarkStart w:id="14" w:name="_Toc7298"/>
      <w:bookmarkStart w:id="15" w:name="_Toc19493"/>
      <w:r>
        <w:rPr>
          <w:rFonts w:hint="eastAsia" w:ascii="宋体" w:hAnsi="宋体"/>
          <w:b/>
          <w:color w:val="000000"/>
          <w:sz w:val="24"/>
          <w:szCs w:val="24"/>
        </w:rPr>
        <w:t>六、监理工作方法和措施：</w:t>
      </w:r>
      <w:bookmarkEnd w:id="14"/>
      <w:bookmarkEnd w:id="15"/>
    </w:p>
    <w:p w14:paraId="7274B6E8">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6" w:name="_Toc12126"/>
      <w:bookmarkStart w:id="17" w:name="_Toc12406"/>
      <w:r>
        <w:rPr>
          <w:rFonts w:hint="eastAsia" w:ascii="宋体" w:hAnsi="宋体"/>
          <w:b/>
          <w:sz w:val="24"/>
          <w:szCs w:val="24"/>
        </w:rPr>
        <w:t>1、总则：</w:t>
      </w:r>
      <w:bookmarkEnd w:id="16"/>
      <w:bookmarkEnd w:id="17"/>
    </w:p>
    <w:p w14:paraId="62B68C3B">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14:paraId="19580BD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14:paraId="31A79FDA">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14:paraId="510425DF">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14:paraId="12CF08AF">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14:paraId="0459815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14:paraId="0A8EBFA7">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14:paraId="6EA138A4">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14:paraId="0A12C0D4">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14:paraId="4B26F9D7">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14:paraId="150542F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14:paraId="0F392C3A">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14:paraId="143DD769">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14:paraId="2E6A4CD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14:paraId="4A871F5E">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360A0F5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14:paraId="552DE776">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14:paraId="6E3D54D1">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14:paraId="1D0CD7BF">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14:paraId="6F23B6D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14:paraId="0F0180D7">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14:paraId="3A56420C">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14:paraId="107D8799">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14:paraId="17F2963B">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14:paraId="15B61F81">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8" w:name="_Toc9425"/>
      <w:bookmarkStart w:id="19" w:name="_Toc14696"/>
      <w:r>
        <w:rPr>
          <w:rFonts w:hint="eastAsia" w:ascii="宋体" w:hAnsi="宋体"/>
          <w:b/>
          <w:sz w:val="24"/>
          <w:szCs w:val="24"/>
        </w:rPr>
        <w:t>2、安全管理主要内容</w:t>
      </w:r>
      <w:bookmarkEnd w:id="18"/>
      <w:bookmarkEnd w:id="19"/>
    </w:p>
    <w:p w14:paraId="06442031">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14:paraId="6614DFD8">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14:paraId="0DD887C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14:paraId="47777A7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14:paraId="2098378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14:paraId="11068C2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14:paraId="5DAD71D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14:paraId="45DA8EF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14:paraId="0625818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14:paraId="46B1C01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14:paraId="00161D99">
      <w:pPr>
        <w:numPr>
          <w:ilvl w:val="0"/>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.施工进度安排应先地下后地上，保持施工道路通畅。</w:t>
      </w:r>
    </w:p>
    <w:p w14:paraId="6481D5BB">
      <w:pPr>
        <w:numPr>
          <w:ilvl w:val="0"/>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14:paraId="0B2EA4E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14:paraId="06342F6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14:paraId="28E159B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14:paraId="6879ED6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14:paraId="7E1C0C0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14:paraId="3C92158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14:paraId="007B715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14:paraId="285F2CE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14:paraId="050C06C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14:paraId="45C2AAF8">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0" w:name="_Toc31949"/>
      <w:bookmarkStart w:id="21" w:name="_Toc23254"/>
      <w:r>
        <w:rPr>
          <w:rFonts w:hint="eastAsia" w:ascii="宋体" w:hAnsi="宋体"/>
          <w:b/>
          <w:sz w:val="24"/>
          <w:szCs w:val="24"/>
        </w:rPr>
        <w:t>3、安全的事前控制</w:t>
      </w:r>
      <w:bookmarkEnd w:id="20"/>
      <w:bookmarkEnd w:id="21"/>
    </w:p>
    <w:p w14:paraId="33C6EDF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14:paraId="7C00700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14:paraId="56AE9327">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14:paraId="3B63C953">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14:paraId="06AAABD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14:paraId="1368E590">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14:paraId="00BD4893">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14:paraId="5C77438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14:paraId="6C5AD98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14:paraId="3E11EBF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14:paraId="3B5A6A0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14:paraId="42414F0E">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14:paraId="575CB3B0">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14:paraId="27F2E30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14:paraId="08B8BC18">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14:paraId="67554A22">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14:paraId="7F898F2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14:paraId="23C4F10F">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14:paraId="679B3E7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14:paraId="5CC92F57">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14:paraId="31214EBB">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脚手架搭设必须安全规范、间距标准、牢固可靠，脚踏板铺满、绑牢，有防护栏杆，必须设防护立网水平网保护。高度超过2m的平台（走道、过桥或临时平台、临时作业面）必须有可靠的防护栏杆，必须设置踢脚板防止物料滚落。所有孔洞应加盖牢固盖板，较大的孔洞周围应设安全防护栏铺设安全网，并设有明显的防护标志。</w:t>
      </w:r>
    </w:p>
    <w:p w14:paraId="05FC8EB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w:t>
      </w:r>
    </w:p>
    <w:p w14:paraId="7AD4B084">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所有电动工器具应绝缘良好，有良好的接地或漏电保护器，在潮湿的地方必须使用安全电压，并有专人监护。</w:t>
      </w:r>
    </w:p>
    <w:p w14:paraId="2087EAC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14:paraId="46D22F9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14:paraId="1F3E33F7">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14:paraId="7CDA3407">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2" w:name="_Toc26585"/>
      <w:bookmarkStart w:id="23" w:name="_Toc17564"/>
      <w:r>
        <w:rPr>
          <w:rFonts w:hint="eastAsia" w:ascii="宋体" w:hAnsi="宋体"/>
          <w:b/>
          <w:sz w:val="24"/>
          <w:szCs w:val="24"/>
        </w:rPr>
        <w:t>4、安全的事中控制</w:t>
      </w:r>
      <w:bookmarkEnd w:id="22"/>
      <w:bookmarkEnd w:id="23"/>
    </w:p>
    <w:p w14:paraId="2403008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14:paraId="65938ED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14:paraId="4FBD5E46">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14:paraId="235CFE09">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14:paraId="222FBF42">
      <w:pPr>
        <w:pStyle w:val="23"/>
        <w:numPr>
          <w:ilvl w:val="2"/>
          <w:numId w:val="3"/>
        </w:numPr>
        <w:tabs>
          <w:tab w:val="left" w:pos="945"/>
          <w:tab w:val="left" w:pos="3960"/>
          <w:tab w:val="left" w:pos="5400"/>
          <w:tab w:val="left" w:pos="6840"/>
        </w:tabs>
        <w:adjustRightInd w:val="0"/>
        <w:snapToGrid w:val="0"/>
        <w:rPr>
          <w:color w:val="auto"/>
          <w:szCs w:val="24"/>
        </w:rPr>
      </w:pPr>
      <w:r>
        <w:rPr>
          <w:rFonts w:hint="eastAsia"/>
          <w:color w:val="auto"/>
          <w:szCs w:val="24"/>
        </w:rPr>
        <w:t>从事光伏区反光镜特殊作业人员，应配戴防护墨镜和手套。</w:t>
      </w:r>
    </w:p>
    <w:p w14:paraId="5336D3AE">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14:paraId="6C048323">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14:paraId="1933C7A5">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14:paraId="073C8FE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14:paraId="0DED36F7">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14:paraId="4A1FB7C7">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14:paraId="45C1ADB1">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14:paraId="529BBAE3">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14:paraId="236C9421">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脚手架搭设必须实行书面委托，注明高度、强度和用途，搭好后双方交接验收，签字挂牌使用。</w:t>
      </w:r>
    </w:p>
    <w:p w14:paraId="0EC8CE4A">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14:paraId="1B7D70F6">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14:paraId="5784526A">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14:paraId="5DD4AF35">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14:paraId="6998F8ED">
      <w:pPr>
        <w:pStyle w:val="23"/>
        <w:numPr>
          <w:ilvl w:val="2"/>
          <w:numId w:val="4"/>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14:paraId="4D6CAAE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14:paraId="54C8417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14:paraId="33EE12A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14:paraId="5DBD7BB4">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14:paraId="2A89D225">
      <w:pPr>
        <w:pStyle w:val="23"/>
        <w:numPr>
          <w:ilvl w:val="2"/>
          <w:numId w:val="5"/>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14:paraId="3CEA04CE">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14:paraId="76341C6A">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4" w:name="_Toc7446"/>
      <w:bookmarkStart w:id="25" w:name="_Toc28951"/>
      <w:r>
        <w:rPr>
          <w:rFonts w:hint="eastAsia" w:ascii="宋体" w:hAnsi="宋体"/>
          <w:b/>
          <w:sz w:val="24"/>
          <w:szCs w:val="24"/>
        </w:rPr>
        <w:t>5、安全的事后控制</w:t>
      </w:r>
      <w:bookmarkEnd w:id="24"/>
      <w:bookmarkEnd w:id="25"/>
    </w:p>
    <w:p w14:paraId="01EFDE23">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14:paraId="3E4B085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14:paraId="40AE704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14:paraId="317EA34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14:paraId="65CED06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14:paraId="56266F3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14:paraId="64F7D1B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14:paraId="4B31515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14:paraId="2D13324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14:paraId="0D9C883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14:paraId="45F20DE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14:paraId="00871854">
      <w:pPr>
        <w:pStyle w:val="5"/>
        <w:widowControl w:val="0"/>
        <w:outlineLvl w:val="1"/>
        <w:rPr>
          <w:rFonts w:ascii="宋体" w:hAnsi="宋体"/>
          <w:b/>
          <w:sz w:val="24"/>
          <w:szCs w:val="24"/>
        </w:rPr>
      </w:pPr>
      <w:bookmarkStart w:id="26" w:name="_Toc6144"/>
      <w:bookmarkStart w:id="27" w:name="_Toc18018"/>
      <w:r>
        <w:rPr>
          <w:rFonts w:hint="eastAsia" w:ascii="宋体" w:hAnsi="宋体"/>
          <w:b/>
          <w:sz w:val="24"/>
          <w:szCs w:val="24"/>
        </w:rPr>
        <w:t>6、文明施工</w:t>
      </w:r>
      <w:bookmarkEnd w:id="26"/>
      <w:bookmarkEnd w:id="27"/>
    </w:p>
    <w:p w14:paraId="4B3547C8">
      <w:pPr>
        <w:pStyle w:val="5"/>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14:paraId="0EE95A38">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14:paraId="51BE13A9">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14:paraId="7155C18F">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14:paraId="52962A14">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14:paraId="51ED7E91">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14:paraId="2EEAA852">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14:paraId="1BA808B2">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14:paraId="552464E7">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14:paraId="1C20D1F3">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14:paraId="403FD9C2">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14:paraId="68786303">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14:paraId="17A9D107">
      <w:pPr>
        <w:pStyle w:val="23"/>
        <w:numPr>
          <w:ilvl w:val="3"/>
          <w:numId w:val="6"/>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14:paraId="74632A16">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14:paraId="471FFF8F">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14:paraId="49A86F09">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施工人员在现场不准嘻戏、打闹、追逐、开玩笑，不准带小孩进入现场。</w:t>
      </w:r>
    </w:p>
    <w:p w14:paraId="3B2AEA36">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14:paraId="4D7049DE">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不准在已施工好的墙壁、设备或其它构件上随意刻划、张贴、写字、涂抹、污染等，做好成品保护工作。</w:t>
      </w:r>
    </w:p>
    <w:p w14:paraId="46F5ED36">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施工中未经批准不得在楼板、墙壁或其它构件上打洞、钻孔、开缺口。</w:t>
      </w:r>
    </w:p>
    <w:p w14:paraId="2D3035F2">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高空作业时，不得随意抛掷物件，脚手架拆除时应从上到下采用传递方式，放到指定位置堆放整齐。</w:t>
      </w:r>
    </w:p>
    <w:p w14:paraId="33C2D92D">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施工现场的脚手架、承重平台、施工通道、临时作业支架应加以爱护，未经补充方案，不得任意拆除毁坏或削弱强度。</w:t>
      </w:r>
    </w:p>
    <w:p w14:paraId="6FA18B08">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14:paraId="252807A4">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(10)下班前要打扫清理作业场所，做到“工完料尽场地清”。</w:t>
      </w:r>
    </w:p>
    <w:p w14:paraId="2F7C43FD">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(11)爱护现场安全设施和消防设施，未经批准不得随意移动、挪用或破坏。</w:t>
      </w:r>
    </w:p>
    <w:p w14:paraId="712432C8">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(12)零米层水泥地坪完成以后，脚上不得带泥登上高处。</w:t>
      </w:r>
    </w:p>
    <w:p w14:paraId="5459538F">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(13)电焊作业时余下的焊条头不得随意丢弃，要集中存放回收。焊工使用的焊机、氧气瓶和乙炔瓶放置要规范，符合安全要求，焊把线不得超过30米，把焊线和乙炔皮管不得缠在一起。</w:t>
      </w:r>
    </w:p>
    <w:p w14:paraId="3E2A8766">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(14)施工照明用电不得私拉乱接、各行其事，要统一合理布置，使用和管理要落实到班组或个人。</w:t>
      </w:r>
    </w:p>
    <w:p w14:paraId="5B1F4D40">
      <w:pPr>
        <w:pStyle w:val="23"/>
        <w:numPr>
          <w:ilvl w:val="0"/>
          <w:numId w:val="0"/>
        </w:numPr>
        <w:tabs>
          <w:tab w:val="left" w:pos="945"/>
          <w:tab w:val="left" w:pos="3960"/>
          <w:tab w:val="left" w:pos="5400"/>
          <w:tab w:val="left" w:pos="6840"/>
        </w:tabs>
        <w:adjustRightInd w:val="0"/>
        <w:snapToGrid w:val="0"/>
        <w:rPr>
          <w:color w:val="auto"/>
          <w:szCs w:val="24"/>
        </w:rPr>
      </w:pPr>
      <w:r>
        <w:rPr>
          <w:rFonts w:hint="eastAsia"/>
          <w:color w:val="auto"/>
          <w:szCs w:val="24"/>
        </w:rPr>
        <w:t>(15)在高处打扫卫生时，不得造成尘沙飞扬、垃圾乱堆乱放，要按规定把垃圾送往垃圾通道或指定的地方。</w:t>
      </w:r>
    </w:p>
    <w:p w14:paraId="786E412A">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(16)现场施工用水要控制漏淌、漫延，要合理用水，不得造成场地路面积水。</w:t>
      </w:r>
    </w:p>
    <w:p w14:paraId="3D162BFD">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(17)现场堆放的各种物资、设备、材料应按要求放好垫好，堆放整齐，标识清楚。</w:t>
      </w:r>
    </w:p>
    <w:p w14:paraId="07F32750">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8" w:name="_Toc17150"/>
      <w:bookmarkStart w:id="29" w:name="_Toc2321"/>
      <w:r>
        <w:rPr>
          <w:rFonts w:hint="eastAsia" w:ascii="宋体" w:hAnsi="宋体"/>
          <w:b/>
          <w:sz w:val="24"/>
          <w:szCs w:val="24"/>
        </w:rPr>
        <w:t>7、环境保护</w:t>
      </w:r>
      <w:bookmarkEnd w:id="28"/>
      <w:bookmarkEnd w:id="29"/>
    </w:p>
    <w:p w14:paraId="6FCCE40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14:paraId="7D316120">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14:paraId="2B95D677">
      <w:pPr>
        <w:pStyle w:val="23"/>
        <w:numPr>
          <w:ilvl w:val="3"/>
          <w:numId w:val="8"/>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14:paraId="1A5C3E4F">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14:paraId="14783F0D">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14:paraId="542EB00C">
      <w:pPr>
        <w:numPr>
          <w:ilvl w:val="3"/>
          <w:numId w:val="8"/>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14:paraId="52ED1B4F">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48EFF319">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0646A7DC">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60A45827">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792CEFAE">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537C1AB7">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1DD9ED24">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2E4C6594">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3E8798AA">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6D195E78">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015CC24C">
      <w:pPr>
        <w:widowControl w:val="0"/>
        <w:numPr>
          <w:numId w:val="0"/>
        </w:numPr>
        <w:tabs>
          <w:tab w:val="left" w:pos="2160"/>
          <w:tab w:val="left" w:pos="3960"/>
          <w:tab w:val="left" w:pos="5400"/>
          <w:tab w:val="left" w:pos="6840"/>
        </w:tabs>
        <w:adjustRightInd w:val="0"/>
        <w:snapToGrid w:val="0"/>
        <w:jc w:val="both"/>
        <w:rPr>
          <w:rFonts w:hint="eastAsia" w:ascii="宋体" w:hAnsi="宋体"/>
          <w:sz w:val="24"/>
          <w:szCs w:val="24"/>
        </w:rPr>
      </w:pPr>
      <w:bookmarkStart w:id="41" w:name="_GoBack"/>
      <w:bookmarkEnd w:id="41"/>
    </w:p>
    <w:p w14:paraId="4BFE6F2D">
      <w:pPr>
        <w:spacing w:line="360" w:lineRule="auto"/>
        <w:outlineLvl w:val="0"/>
        <w:rPr>
          <w:rFonts w:ascii="宋体" w:hAnsi="宋体"/>
          <w:b/>
          <w:color w:val="000000"/>
          <w:sz w:val="24"/>
          <w:szCs w:val="24"/>
        </w:rPr>
      </w:pPr>
      <w:bookmarkStart w:id="30" w:name="_Toc29088"/>
      <w:bookmarkStart w:id="31" w:name="_Toc15205"/>
      <w:r>
        <w:rPr>
          <w:rFonts w:hint="eastAsia" w:ascii="宋体" w:hAnsi="宋体"/>
          <w:b/>
          <w:color w:val="000000"/>
          <w:sz w:val="24"/>
          <w:szCs w:val="24"/>
        </w:rPr>
        <w:t>七、管理体系及职责：</w:t>
      </w:r>
      <w:bookmarkEnd w:id="30"/>
      <w:bookmarkEnd w:id="31"/>
    </w:p>
    <w:p w14:paraId="7D898B89">
      <w:pPr>
        <w:spacing w:line="360" w:lineRule="auto"/>
        <w:outlineLvl w:val="1"/>
        <w:rPr>
          <w:rFonts w:ascii="宋体" w:hAnsi="宋体"/>
          <w:b/>
          <w:color w:val="000000"/>
          <w:sz w:val="24"/>
          <w:szCs w:val="24"/>
        </w:rPr>
      </w:pPr>
      <w:bookmarkStart w:id="32" w:name="_Toc21255"/>
      <w:bookmarkStart w:id="33" w:name="_Toc27270"/>
      <w:r>
        <w:rPr>
          <w:rFonts w:hint="eastAsia" w:ascii="宋体" w:hAnsi="宋体"/>
          <w:b/>
          <w:color w:val="000000"/>
          <w:sz w:val="24"/>
          <w:szCs w:val="24"/>
        </w:rPr>
        <w:t xml:space="preserve">1、管理体系：         </w:t>
      </w:r>
    </w:p>
    <w:p w14:paraId="1A63E4E8">
      <w:pPr>
        <w:spacing w:line="360" w:lineRule="auto"/>
        <w:outlineLvl w:val="1"/>
        <w:rPr>
          <w:rFonts w:ascii="宋体" w:hAnsi="宋体"/>
          <w:b/>
          <w:color w:val="000000"/>
          <w:sz w:val="24"/>
          <w:szCs w:val="24"/>
        </w:rPr>
      </w:pPr>
      <w:r>
        <w:rPr>
          <w:rFonts w:hint="eastAsia" w:cs="宋体"/>
          <w:bCs/>
          <w:color w:val="000000"/>
          <w:kern w:val="0"/>
          <w:sz w:val="24"/>
          <w:szCs w:val="24"/>
        </w:rPr>
        <w:t>监理部安全组织机构网络图</w:t>
      </w:r>
      <w:bookmarkEnd w:id="32"/>
      <w:bookmarkEnd w:id="33"/>
    </w:p>
    <w:p w14:paraId="098DF542">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60288" behindDoc="0" locked="0" layoutInCell="1" allowOverlap="1">
                <wp:simplePos x="0" y="0"/>
                <wp:positionH relativeFrom="column">
                  <wp:posOffset>160655</wp:posOffset>
                </wp:positionH>
                <wp:positionV relativeFrom="paragraph">
                  <wp:posOffset>64770</wp:posOffset>
                </wp:positionV>
                <wp:extent cx="4914900" cy="2377440"/>
                <wp:effectExtent l="4445" t="4445" r="8255" b="5715"/>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14:paraId="144CF8BC">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ln>
                        </wps:spPr>
                        <wps:txbx>
                          <w:txbxContent>
                            <w:p w14:paraId="21A33F4E">
                              <w:pPr>
                                <w:jc w:val="center"/>
                                <w:rPr>
                                  <w:rFonts w:ascii="宋体" w:hAnsi="宋体"/>
                                </w:rPr>
                              </w:pPr>
                              <w:r>
                                <w:rPr>
                                  <w:rFonts w:hint="eastAsia" w:ascii="宋体" w:hAnsi="宋体"/>
                                  <w:sz w:val="24"/>
                                </w:rPr>
                                <w:t>副总监理师</w:t>
                              </w: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14:paraId="510EECD7">
                              <w:pPr>
                                <w:jc w:val="center"/>
                                <w:rPr>
                                  <w:rFonts w:ascii="宋体" w:hAnsi="宋体"/>
                                </w:rPr>
                              </w:pPr>
                              <w:r>
                                <w:rPr>
                                  <w:rFonts w:hint="eastAsia" w:ascii="宋体" w:hAnsi="宋体"/>
                                  <w:sz w:val="24"/>
                                </w:rPr>
                                <w:t>安装调试监理组</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14:paraId="7BE818C9">
                              <w:pPr>
                                <w:jc w:val="center"/>
                                <w:rPr>
                                  <w:rFonts w:ascii="宋体" w:hAnsi="宋体"/>
                                </w:rPr>
                              </w:pPr>
                              <w:r>
                                <w:rPr>
                                  <w:rFonts w:hint="eastAsia" w:ascii="宋体" w:hAnsi="宋体"/>
                                  <w:sz w:val="24"/>
                                </w:rPr>
                                <w:t>土建监理组</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2659" cy="468"/>
                          </a:xfrm>
                          <a:prstGeom prst="rect">
                            <a:avLst/>
                          </a:prstGeom>
                          <a:solidFill>
                            <a:srgbClr val="FFFFFF"/>
                          </a:solidFill>
                          <a:ln w="9525">
                            <a:solidFill>
                              <a:srgbClr val="000000"/>
                            </a:solidFill>
                            <a:miter lim="800000"/>
                          </a:ln>
                        </wps:spPr>
                        <wps:txbx>
                          <w:txbxContent>
                            <w:p w14:paraId="19FDF30B">
                              <w:pPr>
                                <w:jc w:val="center"/>
                                <w:rPr>
                                  <w:rFonts w:ascii="宋体" w:hAnsi="宋体"/>
                                  <w:sz w:val="24"/>
                                  <w:szCs w:val="24"/>
                                </w:rPr>
                              </w:pPr>
                              <w:r>
                                <w:rPr>
                                  <w:rFonts w:hint="eastAsia" w:ascii="宋体" w:hAnsi="宋体"/>
                                  <w:sz w:val="24"/>
                                  <w:szCs w:val="24"/>
                                </w:rPr>
                                <w:t>办公室（综合组）</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14:paraId="3C6083FC">
                              <w:pPr>
                                <w:jc w:val="center"/>
                                <w:rPr>
                                  <w:rFonts w:ascii="宋体" w:hAnsi="宋体"/>
                                </w:rPr>
                              </w:pPr>
                              <w:r>
                                <w:rPr>
                                  <w:rFonts w:hint="eastAsia" w:ascii="宋体" w:hAnsi="宋体"/>
                                  <w:sz w:val="24"/>
                                </w:rPr>
                                <w:t xml:space="preserve">安全监理组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2.65pt;margin-top:5.1pt;height:187.2pt;width:387pt;z-index:251660288;mso-width-relative:page;mso-height-relative:page;" coordsize="7380,3276" o:gfxdata="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CRM1z82gAAAAkBAAAPAAAAAAAAAAEAIAAAACIAAABkcnMvZG93bnJldi54bWxQ&#10;SwECFAAUAAAACACHTuJAsz3LDGgEAAA2IQAADgAAAAAAAAABACAAAAApAQAAZHJzL2Uyb0RvYy54&#10;bWxQSwUGAAAAAAYABgBZAQAAAwg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44CF8BC">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468;width:162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1A33F4E">
                        <w:pPr>
                          <w:jc w:val="center"/>
                          <w:rPr>
                            <w:rFonts w:ascii="宋体" w:hAnsi="宋体"/>
                          </w:rPr>
                        </w:pPr>
                        <w:r>
                          <w:rPr>
                            <w:rFonts w:hint="eastAsia" w:ascii="宋体" w:hAnsi="宋体"/>
                            <w:sz w:val="24"/>
                          </w:rPr>
                          <w:t>副总监理师</w:t>
                        </w: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10EECD7">
                        <w:pPr>
                          <w:jc w:val="center"/>
                          <w:rPr>
                            <w:rFonts w:ascii="宋体" w:hAnsi="宋体"/>
                          </w:rPr>
                        </w:pPr>
                        <w:r>
                          <w:rPr>
                            <w:rFonts w:hint="eastAsia" w:ascii="宋体" w:hAnsi="宋体"/>
                            <w:sz w:val="24"/>
                          </w:rPr>
                          <w:t>安装调试监理组</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BE818C9">
                        <w:pPr>
                          <w:jc w:val="center"/>
                          <w:rPr>
                            <w:rFonts w:ascii="宋体" w:hAnsi="宋体"/>
                          </w:rPr>
                        </w:pPr>
                        <w:r>
                          <w:rPr>
                            <w:rFonts w:hint="eastAsia" w:ascii="宋体" w:hAnsi="宋体"/>
                            <w:sz w:val="24"/>
                          </w:rPr>
                          <w:t>土建监理组</w:t>
                        </w:r>
                      </w:p>
                    </w:txbxContent>
                  </v:textbox>
                </v:shape>
                <v:shape id="Text Box 24" o:spid="_x0000_s1026" o:spt="202" type="#_x0000_t202" style="position:absolute;left:3960;top:1248;height:468;width:2659;"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9FDF30B">
                        <w:pPr>
                          <w:jc w:val="center"/>
                          <w:rPr>
                            <w:rFonts w:ascii="宋体" w:hAnsi="宋体"/>
                            <w:sz w:val="24"/>
                            <w:szCs w:val="24"/>
                          </w:rPr>
                        </w:pPr>
                        <w:r>
                          <w:rPr>
                            <w:rFonts w:hint="eastAsia" w:ascii="宋体" w:hAnsi="宋体"/>
                            <w:sz w:val="24"/>
                            <w:szCs w:val="24"/>
                          </w:rPr>
                          <w:t>办公室（综合组）</w:t>
                        </w: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3C6083FC">
                        <w:pPr>
                          <w:jc w:val="center"/>
                          <w:rPr>
                            <w:rFonts w:ascii="宋体" w:hAnsi="宋体"/>
                          </w:rPr>
                        </w:pPr>
                        <w:r>
                          <w:rPr>
                            <w:rFonts w:hint="eastAsia" w:ascii="宋体" w:hAnsi="宋体"/>
                            <w:sz w:val="24"/>
                          </w:rPr>
                          <w:t xml:space="preserve">安全监理组    </w:t>
                        </w:r>
                      </w:p>
                    </w:txbxContent>
                  </v:textbox>
                </v:shape>
                <v:line id="Line 26" o:spid="_x0000_s1026" o:spt="20" style="position:absolute;left:2340;top:1248;height:1092;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0B6D432B">
      <w:pPr>
        <w:spacing w:line="360" w:lineRule="auto"/>
        <w:rPr>
          <w:rFonts w:ascii="宋体" w:hAnsi="宋体"/>
          <w:color w:val="000000"/>
          <w:sz w:val="24"/>
          <w:szCs w:val="24"/>
        </w:rPr>
      </w:pPr>
    </w:p>
    <w:p w14:paraId="5AAB7E53">
      <w:pPr>
        <w:spacing w:line="360" w:lineRule="auto"/>
        <w:rPr>
          <w:rFonts w:ascii="宋体" w:hAnsi="宋体"/>
          <w:color w:val="000000"/>
          <w:sz w:val="24"/>
          <w:szCs w:val="24"/>
        </w:rPr>
      </w:pPr>
    </w:p>
    <w:p w14:paraId="2D7B3244">
      <w:pPr>
        <w:spacing w:line="360" w:lineRule="auto"/>
        <w:rPr>
          <w:rFonts w:ascii="宋体" w:hAnsi="宋体"/>
          <w:color w:val="000000"/>
          <w:sz w:val="24"/>
          <w:szCs w:val="24"/>
        </w:rPr>
      </w:pPr>
    </w:p>
    <w:p w14:paraId="42FF89C6">
      <w:pPr>
        <w:spacing w:line="360" w:lineRule="auto"/>
        <w:rPr>
          <w:rFonts w:ascii="宋体" w:hAnsi="宋体"/>
          <w:color w:val="000000"/>
          <w:sz w:val="24"/>
          <w:szCs w:val="24"/>
        </w:rPr>
      </w:pPr>
    </w:p>
    <w:p w14:paraId="4D229752">
      <w:pPr>
        <w:spacing w:line="360" w:lineRule="auto"/>
        <w:outlineLvl w:val="1"/>
        <w:rPr>
          <w:rFonts w:hint="eastAsia" w:ascii="宋体" w:hAnsi="宋体"/>
          <w:b/>
          <w:color w:val="000000"/>
          <w:sz w:val="24"/>
          <w:szCs w:val="24"/>
        </w:rPr>
      </w:pPr>
      <w:bookmarkStart w:id="34" w:name="_Toc23267"/>
      <w:bookmarkStart w:id="35" w:name="_Toc695"/>
    </w:p>
    <w:p w14:paraId="0A0B5B97">
      <w:pPr>
        <w:spacing w:line="360" w:lineRule="auto"/>
        <w:outlineLvl w:val="1"/>
        <w:rPr>
          <w:rFonts w:hint="eastAsia" w:ascii="宋体" w:hAnsi="宋体"/>
          <w:b/>
          <w:color w:val="000000"/>
          <w:sz w:val="24"/>
          <w:szCs w:val="24"/>
        </w:rPr>
      </w:pPr>
    </w:p>
    <w:p w14:paraId="4255E0AC">
      <w:pPr>
        <w:spacing w:line="360" w:lineRule="auto"/>
        <w:outlineLvl w:val="1"/>
        <w:rPr>
          <w:rFonts w:hint="eastAsia" w:ascii="宋体" w:hAnsi="宋体"/>
          <w:b/>
          <w:color w:val="000000"/>
          <w:sz w:val="24"/>
          <w:szCs w:val="24"/>
        </w:rPr>
      </w:pPr>
    </w:p>
    <w:p w14:paraId="2CD4F2E8">
      <w:pPr>
        <w:spacing w:line="360" w:lineRule="auto"/>
        <w:outlineLvl w:val="1"/>
        <w:rPr>
          <w:rFonts w:hint="eastAsia" w:ascii="宋体" w:hAnsi="宋体"/>
          <w:b/>
          <w:color w:val="000000"/>
          <w:sz w:val="24"/>
          <w:szCs w:val="24"/>
        </w:rPr>
      </w:pPr>
    </w:p>
    <w:p w14:paraId="49D15BA2">
      <w:pPr>
        <w:spacing w:line="360" w:lineRule="auto"/>
        <w:outlineLvl w:val="1"/>
        <w:rPr>
          <w:rFonts w:ascii="宋体" w:hAnsi="宋体"/>
          <w:b/>
          <w:color w:val="000000"/>
          <w:sz w:val="24"/>
          <w:szCs w:val="24"/>
        </w:rPr>
      </w:pPr>
      <w:r>
        <w:rPr>
          <w:rFonts w:hint="eastAsia" w:ascii="宋体" w:hAnsi="宋体"/>
          <w:b/>
          <w:color w:val="000000"/>
          <w:sz w:val="24"/>
          <w:szCs w:val="24"/>
        </w:rPr>
        <w:t>2、岗位安</w:t>
      </w:r>
      <w:bookmarkEnd w:id="34"/>
      <w:bookmarkStart w:id="36" w:name="_Toc28588"/>
      <w:bookmarkStart w:id="37" w:name="_Toc31827"/>
      <w:r>
        <w:rPr>
          <w:rFonts w:hint="eastAsia" w:ascii="宋体" w:hAnsi="宋体"/>
          <w:b/>
          <w:color w:val="000000"/>
          <w:sz w:val="24"/>
          <w:szCs w:val="24"/>
        </w:rPr>
        <w:t>全职责：</w:t>
      </w:r>
      <w:bookmarkEnd w:id="35"/>
      <w:bookmarkEnd w:id="36"/>
      <w:bookmarkEnd w:id="37"/>
    </w:p>
    <w:p w14:paraId="7924D560">
      <w:pPr>
        <w:spacing w:line="360" w:lineRule="auto"/>
        <w:ind w:firstLine="241" w:firstLineChars="100"/>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14:paraId="1BF69461">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14:paraId="67CFDE7D">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14:paraId="0E440E2E">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14:paraId="04684DD7">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14:paraId="1864B2D0">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14:paraId="30779236">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14:paraId="36C4C606">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14:paraId="7A22683F">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14:paraId="093C1C14">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14:paraId="27679C23">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14:paraId="1A3F40FD">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14:paraId="49CA3278">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14:paraId="3A87982A">
      <w:pPr>
        <w:spacing w:line="360" w:lineRule="auto"/>
        <w:ind w:firstLine="480" w:firstLineChars="200"/>
        <w:rPr>
          <w:rFonts w:ascii="宋体" w:hAnsi="宋体"/>
          <w:sz w:val="24"/>
          <w:szCs w:val="24"/>
        </w:rPr>
      </w:pPr>
      <w:r>
        <w:rPr>
          <w:rStyle w:val="21"/>
          <w:rFonts w:ascii="宋体" w:hAnsi="宋体"/>
          <w:sz w:val="24"/>
          <w:szCs w:val="24"/>
        </w:rPr>
        <w:t>1</w:t>
      </w:r>
      <w:r>
        <w:rPr>
          <w:rStyle w:val="21"/>
          <w:rFonts w:hint="eastAsia" w:ascii="宋体" w:hAnsi="宋体"/>
          <w:sz w:val="24"/>
          <w:szCs w:val="24"/>
        </w:rPr>
        <w:t>）</w:t>
      </w:r>
      <w:r>
        <w:rPr>
          <w:rStyle w:val="21"/>
          <w:rFonts w:ascii="宋体" w:hAnsi="宋体"/>
          <w:sz w:val="24"/>
          <w:szCs w:val="24"/>
        </w:rPr>
        <w:t>.制定安全监理文件，审查施工专业承包单位和劳务分包单位的安全资质；</w:t>
      </w:r>
    </w:p>
    <w:p w14:paraId="5BCE3F81">
      <w:pPr>
        <w:spacing w:line="360" w:lineRule="auto"/>
        <w:ind w:firstLine="480" w:firstLineChars="200"/>
        <w:rPr>
          <w:rFonts w:ascii="宋体" w:hAnsi="宋体"/>
          <w:sz w:val="24"/>
          <w:szCs w:val="24"/>
        </w:rPr>
      </w:pPr>
      <w:r>
        <w:rPr>
          <w:rStyle w:val="21"/>
          <w:rFonts w:ascii="宋体" w:hAnsi="宋体"/>
          <w:sz w:val="24"/>
          <w:szCs w:val="24"/>
        </w:rPr>
        <w:t>2</w:t>
      </w:r>
      <w:r>
        <w:rPr>
          <w:rStyle w:val="21"/>
          <w:rFonts w:hint="eastAsia" w:ascii="宋体" w:hAnsi="宋体"/>
          <w:sz w:val="24"/>
          <w:szCs w:val="24"/>
        </w:rPr>
        <w:t>）</w:t>
      </w:r>
      <w:r>
        <w:rPr>
          <w:rStyle w:val="21"/>
          <w:rFonts w:ascii="宋体" w:hAnsi="宋体"/>
          <w:sz w:val="24"/>
          <w:szCs w:val="24"/>
        </w:rPr>
        <w:t>.审查施工单位特种作业人员的和管理人员的资格证书；</w:t>
      </w:r>
    </w:p>
    <w:p w14:paraId="01A18B97">
      <w:pPr>
        <w:spacing w:line="360" w:lineRule="auto"/>
        <w:ind w:firstLine="480" w:firstLineChars="200"/>
        <w:rPr>
          <w:rFonts w:ascii="宋体" w:hAnsi="宋体"/>
          <w:sz w:val="24"/>
          <w:szCs w:val="24"/>
        </w:rPr>
      </w:pPr>
      <w:r>
        <w:rPr>
          <w:rStyle w:val="21"/>
          <w:rFonts w:ascii="宋体" w:hAnsi="宋体"/>
          <w:sz w:val="24"/>
          <w:szCs w:val="24"/>
        </w:rPr>
        <w:t>3</w:t>
      </w:r>
      <w:r>
        <w:rPr>
          <w:rStyle w:val="21"/>
          <w:rFonts w:hint="eastAsia" w:ascii="宋体" w:hAnsi="宋体"/>
          <w:sz w:val="24"/>
          <w:szCs w:val="24"/>
        </w:rPr>
        <w:t>）</w:t>
      </w:r>
      <w:r>
        <w:rPr>
          <w:rStyle w:val="21"/>
          <w:rFonts w:ascii="宋体" w:hAnsi="宋体"/>
          <w:sz w:val="24"/>
          <w:szCs w:val="24"/>
        </w:rPr>
        <w:t>.监督施工单位建立健全施工现场的安全保证体系；</w:t>
      </w:r>
    </w:p>
    <w:p w14:paraId="38E256E6">
      <w:pPr>
        <w:spacing w:line="360" w:lineRule="auto"/>
        <w:ind w:firstLine="480" w:firstLineChars="200"/>
        <w:rPr>
          <w:rFonts w:ascii="宋体" w:hAnsi="宋体"/>
          <w:sz w:val="24"/>
          <w:szCs w:val="24"/>
        </w:rPr>
      </w:pPr>
      <w:r>
        <w:rPr>
          <w:rStyle w:val="21"/>
          <w:rFonts w:ascii="宋体" w:hAnsi="宋体"/>
          <w:sz w:val="24"/>
          <w:szCs w:val="24"/>
        </w:rPr>
        <w:t>4</w:t>
      </w:r>
      <w:r>
        <w:rPr>
          <w:rStyle w:val="21"/>
          <w:rFonts w:hint="eastAsia" w:ascii="宋体" w:hAnsi="宋体"/>
          <w:sz w:val="24"/>
          <w:szCs w:val="24"/>
        </w:rPr>
        <w:t>）</w:t>
      </w:r>
      <w:r>
        <w:rPr>
          <w:rStyle w:val="21"/>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14:paraId="165FD486">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14:paraId="5BCB466A">
      <w:pPr>
        <w:spacing w:line="360" w:lineRule="auto"/>
        <w:ind w:firstLine="480" w:firstLineChars="200"/>
        <w:rPr>
          <w:rFonts w:ascii="宋体" w:hAnsi="宋体"/>
          <w:sz w:val="24"/>
          <w:szCs w:val="24"/>
        </w:rPr>
      </w:pPr>
      <w:r>
        <w:rPr>
          <w:rStyle w:val="21"/>
          <w:rFonts w:ascii="宋体" w:hAnsi="宋体"/>
          <w:sz w:val="24"/>
          <w:szCs w:val="24"/>
        </w:rPr>
        <w:t>1</w:t>
      </w:r>
      <w:r>
        <w:rPr>
          <w:rStyle w:val="21"/>
          <w:rFonts w:hint="eastAsia" w:ascii="宋体" w:hAnsi="宋体"/>
          <w:sz w:val="24"/>
          <w:szCs w:val="24"/>
        </w:rPr>
        <w:t>）</w:t>
      </w:r>
      <w:r>
        <w:rPr>
          <w:rStyle w:val="21"/>
          <w:rFonts w:ascii="宋体" w:hAnsi="宋体"/>
          <w:sz w:val="24"/>
          <w:szCs w:val="24"/>
        </w:rPr>
        <w:t>.监督施工单位按工程建设强制性标准、施工组织设计、专项安全方案组织施工，制止违章指挥和违章作业；</w:t>
      </w:r>
    </w:p>
    <w:p w14:paraId="5196DAEE">
      <w:pPr>
        <w:adjustRightInd w:val="0"/>
        <w:snapToGrid w:val="0"/>
        <w:spacing w:after="120" w:line="360" w:lineRule="auto"/>
        <w:ind w:firstLine="480" w:firstLineChars="200"/>
        <w:outlineLvl w:val="1"/>
        <w:rPr>
          <w:rFonts w:hint="eastAsia" w:ascii="宋体" w:hAnsi="宋体"/>
          <w:sz w:val="24"/>
          <w:szCs w:val="24"/>
        </w:rPr>
      </w:pPr>
      <w:r>
        <w:rPr>
          <w:rStyle w:val="21"/>
          <w:rFonts w:ascii="宋体" w:hAnsi="宋体"/>
          <w:sz w:val="24"/>
          <w:szCs w:val="24"/>
        </w:rPr>
        <w:t>2</w:t>
      </w:r>
      <w:r>
        <w:rPr>
          <w:rStyle w:val="21"/>
          <w:rFonts w:hint="eastAsia" w:ascii="宋体" w:hAnsi="宋体"/>
          <w:sz w:val="24"/>
          <w:szCs w:val="24"/>
        </w:rPr>
        <w:t>）</w:t>
      </w:r>
      <w:r>
        <w:rPr>
          <w:rStyle w:val="21"/>
          <w:rFonts w:ascii="宋体" w:hAnsi="宋体"/>
          <w:sz w:val="24"/>
          <w:szCs w:val="24"/>
        </w:rPr>
        <w:t>.</w:t>
      </w:r>
      <w:r>
        <w:rPr>
          <w:rStyle w:val="21"/>
          <w:rFonts w:hint="eastAsia" w:ascii="宋体" w:hAnsi="宋体"/>
          <w:sz w:val="24"/>
          <w:szCs w:val="24"/>
        </w:rPr>
        <w:t>督促区域安全监理</w:t>
      </w:r>
      <w:r>
        <w:rPr>
          <w:rStyle w:val="21"/>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w:t>
      </w:r>
      <w:r>
        <w:rPr>
          <w:rFonts w:hint="eastAsia" w:ascii="宋体" w:hAnsi="宋体"/>
          <w:sz w:val="24"/>
          <w:szCs w:val="24"/>
        </w:rPr>
        <w:t>行政主管部门；</w:t>
      </w:r>
    </w:p>
    <w:p w14:paraId="42BF0691">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3）.督促施工单位进行安全自检，并参加安全检查；</w:t>
      </w:r>
    </w:p>
    <w:p w14:paraId="3685D106">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4）.督促分管大型机械安全监理复验施工单位的</w:t>
      </w:r>
      <w:r>
        <w:rPr>
          <w:rStyle w:val="21"/>
          <w:rFonts w:ascii="宋体" w:hAnsi="宋体"/>
          <w:sz w:val="24"/>
          <w:szCs w:val="24"/>
        </w:rPr>
        <w:t>施工机械、安全设施的验收手续，</w:t>
      </w:r>
      <w:r>
        <w:rPr>
          <w:rFonts w:hint="eastAsia" w:ascii="宋体" w:hAnsi="宋体"/>
          <w:sz w:val="24"/>
          <w:szCs w:val="24"/>
        </w:rPr>
        <w:t>并签署意见，未经安全复验的，不得投入使用。</w:t>
      </w:r>
    </w:p>
    <w:p w14:paraId="4BB62A03">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5）.审查施工单位申报的施工组织设计及施工方案中的安全技术措施。</w:t>
      </w:r>
    </w:p>
    <w:p w14:paraId="44340BE5">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 xml:space="preserve">6）.针对工程特点制定具有指导性的安全监理细则，并在施工中严格执行。 </w:t>
      </w:r>
    </w:p>
    <w:p w14:paraId="156462C0">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 xml:space="preserve">7）.督促施工单位落实安全生产的组织保证体系，建立健全安全生产责任制。 </w:t>
      </w:r>
    </w:p>
    <w:p w14:paraId="6055C66B">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8）.督促施工单位对工人进行安全生产教育及分部分项工程的安全技术交底</w:t>
      </w:r>
    </w:p>
    <w:p w14:paraId="5314FECD">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9）.检查并督促施工单位，按照电力建设安全技术标准和规范要求，落实分部、分项工程或各工序、关键部位的安全防护措施。</w:t>
      </w:r>
    </w:p>
    <w:p w14:paraId="3E29441B">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 xml:space="preserve">10）.发现违章冒险作业的要责令其停止施工，发现安全隐患的要责令停工整改。 </w:t>
      </w:r>
    </w:p>
    <w:p w14:paraId="775EED3D">
      <w:pPr>
        <w:adjustRightInd w:val="0"/>
        <w:snapToGrid w:val="0"/>
        <w:spacing w:after="120" w:line="360" w:lineRule="auto"/>
        <w:ind w:firstLine="480" w:firstLineChars="200"/>
        <w:outlineLvl w:val="1"/>
        <w:rPr>
          <w:rFonts w:ascii="宋体" w:hAnsi="宋体"/>
          <w:sz w:val="24"/>
          <w:szCs w:val="24"/>
        </w:rPr>
      </w:pPr>
      <w:bookmarkStart w:id="38" w:name="_Toc18578"/>
      <w:bookmarkStart w:id="39" w:name="_Toc30043"/>
      <w:bookmarkStart w:id="40" w:name="_Toc30818"/>
      <w:r>
        <w:rPr>
          <w:rFonts w:hint="eastAsia" w:ascii="宋体" w:hAnsi="宋体"/>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38"/>
      <w:bookmarkEnd w:id="39"/>
      <w:bookmarkEnd w:id="40"/>
    </w:p>
    <w:p w14:paraId="31414307">
      <w:pPr>
        <w:spacing w:line="360" w:lineRule="auto"/>
        <w:ind w:firstLine="480" w:firstLineChars="200"/>
        <w:rPr>
          <w:rFonts w:ascii="宋体" w:hAnsi="宋体"/>
          <w:sz w:val="24"/>
          <w:szCs w:val="24"/>
        </w:rPr>
      </w:pPr>
      <w:r>
        <w:rPr>
          <w:rStyle w:val="21"/>
          <w:rFonts w:hint="eastAsia" w:ascii="宋体" w:hAnsi="宋体"/>
          <w:sz w:val="24"/>
          <w:szCs w:val="24"/>
        </w:rPr>
        <w:t>12）</w:t>
      </w:r>
      <w:r>
        <w:rPr>
          <w:rStyle w:val="21"/>
          <w:rFonts w:hint="eastAsia" w:ascii="宋体" w:hAnsi="宋体"/>
          <w:sz w:val="24"/>
          <w:szCs w:val="24"/>
          <w:lang w:val="en-US" w:eastAsia="zh-CN"/>
        </w:rPr>
        <w:t>.</w:t>
      </w:r>
      <w:r>
        <w:rPr>
          <w:rStyle w:val="21"/>
          <w:rFonts w:hint="eastAsia" w:ascii="宋体" w:hAnsi="宋体"/>
          <w:sz w:val="24"/>
          <w:szCs w:val="24"/>
        </w:rPr>
        <w:t>负责</w:t>
      </w:r>
      <w:r>
        <w:rPr>
          <w:rFonts w:hint="eastAsia" w:ascii="宋体" w:hAnsi="宋体"/>
          <w:sz w:val="24"/>
          <w:szCs w:val="24"/>
        </w:rPr>
        <w:t>安全监理对日常检查及整改监督情况进行每周汇总，报监理部，作为周安健环状态评价依据。</w:t>
      </w:r>
    </w:p>
    <w:p w14:paraId="66C684A2">
      <w:pPr>
        <w:spacing w:line="360" w:lineRule="auto"/>
        <w:ind w:firstLine="480" w:firstLineChars="200"/>
        <w:rPr>
          <w:rFonts w:ascii="宋体" w:hAnsi="宋体"/>
          <w:sz w:val="24"/>
          <w:szCs w:val="24"/>
        </w:rPr>
      </w:pPr>
      <w:r>
        <w:rPr>
          <w:rFonts w:hint="eastAsia" w:ascii="宋体" w:hAnsi="宋体"/>
          <w:sz w:val="24"/>
          <w:szCs w:val="24"/>
        </w:rPr>
        <w:t>13）.负责安全监理对日常检查、周检查及整改监督情况每月进行汇总，报监理部，作为月安健环状态评价依据。（内容包括监理每周计划及每周协调问题完成情况的统计。）</w:t>
      </w:r>
    </w:p>
    <w:p w14:paraId="314EDBA6">
      <w:pPr>
        <w:pStyle w:val="6"/>
        <w:spacing w:line="360" w:lineRule="auto"/>
        <w:ind w:firstLine="472" w:firstLineChars="196"/>
        <w:rPr>
          <w:rFonts w:ascii="宋体" w:hAnsi="宋体"/>
          <w:b/>
          <w:szCs w:val="24"/>
        </w:rPr>
      </w:pPr>
      <w:r>
        <w:rPr>
          <w:rFonts w:hint="eastAsia" w:ascii="宋体" w:hAnsi="宋体"/>
          <w:b/>
          <w:szCs w:val="24"/>
        </w:rPr>
        <w:t>C、专业安全工程师安全岗位职责：</w:t>
      </w:r>
    </w:p>
    <w:p w14:paraId="3D3DF552">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14:paraId="218A2151">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14:paraId="14D4528D">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14:paraId="4411BCBC">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14:paraId="3EC38BC6">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14:paraId="0B849658">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14:paraId="64AE8FEC">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14:paraId="433890AB">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14:paraId="0C9A3BAC">
      <w:pPr>
        <w:tabs>
          <w:tab w:val="left" w:pos="900"/>
          <w:tab w:val="left" w:pos="1175"/>
        </w:tabs>
        <w:adjustRightInd w:val="0"/>
        <w:snapToGrid w:val="0"/>
        <w:spacing w:line="360" w:lineRule="auto"/>
        <w:rPr>
          <w:rFonts w:ascii="宋体" w:hAnsi="宋体"/>
          <w:sz w:val="24"/>
          <w:szCs w:val="24"/>
        </w:rPr>
      </w:pPr>
    </w:p>
    <w:p w14:paraId="4371CB6C">
      <w:pPr>
        <w:jc w:val="center"/>
      </w:pPr>
      <w:r>
        <w:rPr>
          <w:rFonts w:hint="eastAsia"/>
        </w:rPr>
        <w:t>(</w:t>
      </w:r>
      <w:r>
        <w:t>------</w:t>
      </w:r>
      <w:r>
        <w:rPr>
          <w:rFonts w:hint="eastAsia"/>
        </w:rPr>
        <w:t>以下无正文</w:t>
      </w:r>
      <w:r>
        <w:t>-------</w:t>
      </w:r>
      <w:r>
        <w:rPr>
          <w:rFonts w:hint="eastAsia"/>
        </w:rPr>
        <w:t>)</w:t>
      </w:r>
    </w:p>
    <w:sectPr>
      <w:footerReference r:id="rId9" w:type="first"/>
      <w:footerReference r:id="rId7" w:type="default"/>
      <w:footerReference r:id="rId8" w:type="even"/>
      <w:pgSz w:w="11906" w:h="16838"/>
      <w:pgMar w:top="1417" w:right="850" w:bottom="1134" w:left="198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6516">
    <w:pPr>
      <w:pStyle w:val="7"/>
      <w:tabs>
        <w:tab w:val="right" w:pos="8426"/>
      </w:tabs>
      <w:ind w:firstLine="48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3B75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63B757">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p w14:paraId="67D94BF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96F3">
    <w:pPr>
      <w:pStyle w:val="7"/>
      <w:ind w:firstLine="48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765CF">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3765CF">
                    <w:pPr>
                      <w:pStyle w:val="7"/>
                    </w:pPr>
                    <w:r>
                      <w:fldChar w:fldCharType="begin"/>
                    </w:r>
                    <w:r>
                      <w:instrText xml:space="preserve"> PAGE  \* MERGEFORMAT </w:instrText>
                    </w:r>
                    <w:r>
                      <w:fldChar w:fldCharType="separate"/>
                    </w:r>
                    <w:r>
                      <w:t>2</w:t>
                    </w:r>
                    <w:r>
                      <w:fldChar w:fldCharType="end"/>
                    </w:r>
                  </w:p>
                </w:txbxContent>
              </v:textbox>
            </v:shape>
          </w:pict>
        </mc:Fallback>
      </mc:AlternateContent>
    </w:r>
  </w:p>
  <w:p w14:paraId="1BCAFD1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A81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904E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F1904E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6B9A">
    <w:pPr>
      <w:pStyle w:val="7"/>
      <w:framePr w:wrap="around" w:vAnchor="text" w:hAnchor="margin" w:xAlign="center" w:y="1"/>
      <w:rPr>
        <w:rStyle w:val="13"/>
      </w:rPr>
    </w:pPr>
    <w:r>
      <w:fldChar w:fldCharType="begin"/>
    </w:r>
    <w:r>
      <w:rPr>
        <w:rStyle w:val="13"/>
      </w:rPr>
      <w:instrText xml:space="preserve">PAGE  </w:instrText>
    </w:r>
    <w:r>
      <w:fldChar w:fldCharType="end"/>
    </w:r>
  </w:p>
  <w:p w14:paraId="5B06655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BDED">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BEF85">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34BEF85">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AC89">
    <w:pPr>
      <w:pStyle w:val="25"/>
      <w:ind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F6BA">
    <w:pPr>
      <w:pStyle w:val="25"/>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6">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3"/>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2741BF"/>
    <w:rsid w:val="002C350B"/>
    <w:rsid w:val="002C7719"/>
    <w:rsid w:val="003A7DDD"/>
    <w:rsid w:val="003D6C6B"/>
    <w:rsid w:val="00464D24"/>
    <w:rsid w:val="0048196B"/>
    <w:rsid w:val="005B27CA"/>
    <w:rsid w:val="005F1F2D"/>
    <w:rsid w:val="00633A4A"/>
    <w:rsid w:val="00682A9C"/>
    <w:rsid w:val="00707279"/>
    <w:rsid w:val="00891F17"/>
    <w:rsid w:val="00901578"/>
    <w:rsid w:val="00A12353"/>
    <w:rsid w:val="00AE5196"/>
    <w:rsid w:val="00C05F23"/>
    <w:rsid w:val="00CA36FA"/>
    <w:rsid w:val="00CC4EB0"/>
    <w:rsid w:val="00DC7621"/>
    <w:rsid w:val="00E0587F"/>
    <w:rsid w:val="00E459BB"/>
    <w:rsid w:val="00F64398"/>
    <w:rsid w:val="00FF0943"/>
    <w:rsid w:val="00FF7D18"/>
    <w:rsid w:val="052E31E3"/>
    <w:rsid w:val="0580267B"/>
    <w:rsid w:val="0841325E"/>
    <w:rsid w:val="0EF33674"/>
    <w:rsid w:val="17A066CB"/>
    <w:rsid w:val="183643C4"/>
    <w:rsid w:val="1A143E04"/>
    <w:rsid w:val="1D942A46"/>
    <w:rsid w:val="20E53CDB"/>
    <w:rsid w:val="26DC3055"/>
    <w:rsid w:val="276114EA"/>
    <w:rsid w:val="31B341FB"/>
    <w:rsid w:val="35AF445E"/>
    <w:rsid w:val="3B7367A5"/>
    <w:rsid w:val="435F7E46"/>
    <w:rsid w:val="48AA7105"/>
    <w:rsid w:val="496A3CD4"/>
    <w:rsid w:val="52262E7E"/>
    <w:rsid w:val="57946853"/>
    <w:rsid w:val="5A6820A3"/>
    <w:rsid w:val="5C5617AC"/>
    <w:rsid w:val="5C9231B4"/>
    <w:rsid w:val="5DF02229"/>
    <w:rsid w:val="64034695"/>
    <w:rsid w:val="65FB15BC"/>
    <w:rsid w:val="67A46F77"/>
    <w:rsid w:val="6D163917"/>
    <w:rsid w:val="6FF92D19"/>
    <w:rsid w:val="72035AD5"/>
    <w:rsid w:val="725B76BF"/>
    <w:rsid w:val="75C43305"/>
    <w:rsid w:val="76C71647"/>
    <w:rsid w:val="7A88301C"/>
    <w:rsid w:val="7C262AEC"/>
    <w:rsid w:val="7E033560"/>
    <w:rsid w:val="7F9F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3">
    <w:name w:val="T0"/>
    <w:basedOn w:val="1"/>
    <w:autoRedefine/>
    <w:qFormat/>
    <w:uiPriority w:val="0"/>
    <w:pPr>
      <w:adjustRightInd/>
      <w:spacing w:line="360" w:lineRule="auto"/>
      <w:ind w:firstLine="480" w:firstLineChars="200"/>
      <w:jc w:val="both"/>
      <w:textAlignment w:val="auto"/>
    </w:pPr>
    <w:rPr>
      <w:rFonts w:ascii="Times New Roman" w:hAnsi="Times New Roman"/>
      <w:color w:val="auto"/>
      <w:kern w:val="24"/>
      <w:sz w:val="24"/>
      <w:szCs w:val="24"/>
    </w:rPr>
  </w:style>
  <w:style w:type="paragraph" w:styleId="4">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5">
    <w:name w:val="Body Text"/>
    <w:basedOn w:val="1"/>
    <w:link w:val="20"/>
    <w:autoRedefine/>
    <w:qFormat/>
    <w:uiPriority w:val="0"/>
    <w:pPr>
      <w:widowControl/>
      <w:spacing w:line="360" w:lineRule="auto"/>
    </w:pPr>
    <w:rPr>
      <w:sz w:val="28"/>
    </w:rPr>
  </w:style>
  <w:style w:type="paragraph" w:styleId="6">
    <w:name w:val="Date"/>
    <w:basedOn w:val="1"/>
    <w:next w:val="1"/>
    <w:link w:val="24"/>
    <w:autoRedefine/>
    <w:qFormat/>
    <w:uiPriority w:val="0"/>
    <w:rPr>
      <w:rFonts w:ascii="Times New Roman" w:hAnsi="Times New Roman" w:eastAsia="宋体" w:cs="Times New Roman"/>
      <w:sz w:val="24"/>
      <w:szCs w:val="20"/>
    </w:rPr>
  </w:style>
  <w:style w:type="paragraph" w:styleId="7">
    <w:name w:val="footer"/>
    <w:basedOn w:val="1"/>
    <w:link w:val="19"/>
    <w:autoRedefine/>
    <w:unhideWhenUsed/>
    <w:qFormat/>
    <w:uiPriority w:val="0"/>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character" w:styleId="13">
    <w:name w:val="page number"/>
    <w:basedOn w:val="12"/>
    <w:autoRedefine/>
    <w:qFormat/>
    <w:uiPriority w:val="0"/>
  </w:style>
  <w:style w:type="paragraph" w:customStyle="1" w:styleId="14">
    <w:name w:val="BodyText1I"/>
    <w:basedOn w:val="15"/>
    <w:next w:val="16"/>
    <w:autoRedefine/>
    <w:qFormat/>
    <w:uiPriority w:val="0"/>
    <w:pPr>
      <w:ind w:firstLine="420" w:firstLineChars="100"/>
    </w:pPr>
    <w:rPr>
      <w:rFonts w:ascii="Calibri" w:hAnsi="Calibri"/>
    </w:rPr>
  </w:style>
  <w:style w:type="paragraph" w:customStyle="1" w:styleId="15">
    <w:name w:val="BodyText"/>
    <w:basedOn w:val="1"/>
    <w:autoRedefine/>
    <w:qFormat/>
    <w:uiPriority w:val="0"/>
    <w:pPr>
      <w:jc w:val="both"/>
      <w:textAlignment w:val="baseline"/>
    </w:pPr>
    <w:rPr>
      <w:rFonts w:ascii="仿宋" w:hAnsi="仿宋" w:eastAsia="宋体" w:cs="Times New Roman"/>
      <w:kern w:val="2"/>
      <w:sz w:val="32"/>
    </w:rPr>
  </w:style>
  <w:style w:type="paragraph" w:customStyle="1" w:styleId="16">
    <w:name w:val="BodyText1I2"/>
    <w:basedOn w:val="17"/>
    <w:autoRedefine/>
    <w:qFormat/>
    <w:uiPriority w:val="0"/>
    <w:pPr>
      <w:ind w:firstLine="420" w:firstLineChars="200"/>
    </w:pPr>
  </w:style>
  <w:style w:type="paragraph" w:customStyle="1" w:styleId="17">
    <w:name w:val="BodyTextIndent"/>
    <w:basedOn w:val="1"/>
    <w:autoRedefine/>
    <w:qFormat/>
    <w:uiPriority w:val="0"/>
    <w:pPr>
      <w:spacing w:after="120"/>
      <w:ind w:left="420" w:leftChars="200"/>
      <w:jc w:val="both"/>
      <w:textAlignment w:val="baseline"/>
    </w:pPr>
    <w:rPr>
      <w:rFonts w:ascii="Calibri" w:hAnsi="Calibri" w:eastAsia="宋体" w:cs="Times New Roman"/>
    </w:rPr>
  </w:style>
  <w:style w:type="character" w:customStyle="1" w:styleId="18">
    <w:name w:val="页眉 字符"/>
    <w:basedOn w:val="12"/>
    <w:link w:val="8"/>
    <w:autoRedefine/>
    <w:qFormat/>
    <w:uiPriority w:val="99"/>
    <w:rPr>
      <w:sz w:val="18"/>
      <w:szCs w:val="18"/>
    </w:rPr>
  </w:style>
  <w:style w:type="character" w:customStyle="1" w:styleId="19">
    <w:name w:val="页脚 字符"/>
    <w:basedOn w:val="12"/>
    <w:link w:val="7"/>
    <w:autoRedefine/>
    <w:qFormat/>
    <w:uiPriority w:val="99"/>
    <w:rPr>
      <w:sz w:val="18"/>
      <w:szCs w:val="18"/>
    </w:rPr>
  </w:style>
  <w:style w:type="character" w:customStyle="1" w:styleId="20">
    <w:name w:val="正文文本 字符1"/>
    <w:basedOn w:val="12"/>
    <w:link w:val="5"/>
    <w:autoRedefine/>
    <w:qFormat/>
    <w:uiPriority w:val="0"/>
    <w:rPr>
      <w:sz w:val="28"/>
    </w:rPr>
  </w:style>
  <w:style w:type="character" w:customStyle="1" w:styleId="21">
    <w:name w:val="tpc_content1"/>
    <w:basedOn w:val="12"/>
    <w:autoRedefine/>
    <w:qFormat/>
    <w:uiPriority w:val="0"/>
    <w:rPr>
      <w:sz w:val="20"/>
      <w:szCs w:val="20"/>
    </w:rPr>
  </w:style>
  <w:style w:type="character" w:customStyle="1" w:styleId="22">
    <w:name w:val="正文文本 字符"/>
    <w:basedOn w:val="12"/>
    <w:autoRedefine/>
    <w:semiHidden/>
    <w:qFormat/>
    <w:uiPriority w:val="99"/>
  </w:style>
  <w:style w:type="paragraph" w:customStyle="1" w:styleId="23">
    <w:name w:val="投标须知6"/>
    <w:basedOn w:val="1"/>
    <w:autoRedefine/>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4">
    <w:name w:val="日期 字符"/>
    <w:basedOn w:val="12"/>
    <w:link w:val="6"/>
    <w:autoRedefine/>
    <w:qFormat/>
    <w:uiPriority w:val="0"/>
    <w:rPr>
      <w:rFonts w:ascii="Times New Roman" w:hAnsi="Times New Roman" w:eastAsia="宋体" w:cs="Times New Roman"/>
      <w:sz w:val="24"/>
      <w:szCs w:val="20"/>
    </w:rPr>
  </w:style>
  <w:style w:type="paragraph" w:customStyle="1" w:styleId="25">
    <w:name w:val="样式4"/>
    <w:basedOn w:val="1"/>
    <w:autoRedefine/>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13733</Words>
  <Characters>14121</Characters>
  <Lines>105</Lines>
  <Paragraphs>29</Paragraphs>
  <TotalTime>1</TotalTime>
  <ScaleCrop>false</ScaleCrop>
  <LinksUpToDate>false</LinksUpToDate>
  <CharactersWithSpaces>14399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安静且优雅</cp:lastModifiedBy>
  <cp:lastPrinted>2024-04-07T02:25:00Z</cp:lastPrinted>
  <dcterms:modified xsi:type="dcterms:W3CDTF">2025-06-03T08:19:20Z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5FAEF9F00898474D8C5689A44726373B_12</vt:lpwstr>
  </property>
  <property fmtid="{D5CDD505-2E9C-101B-9397-08002B2CF9AE}" pid="4" name="KSOTemplateDocerSaveRecord">
    <vt:lpwstr>eyJoZGlkIjoiZDM5NmRmN2NlNDQ4YjgzMDBkNmI1OTJmNTcwOGU1NTEiLCJ1c2VySWQiOiIyNjM0MjQ1MDYifQ==</vt:lpwstr>
  </property>
</Properties>
</file>