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p>
    <w:p>
      <w:pPr>
        <w:spacing w:line="360" w:lineRule="auto"/>
        <w:jc w:val="center"/>
        <w:rPr>
          <w:rFonts w:hint="eastAsia"/>
          <w:sz w:val="48"/>
          <w:szCs w:val="48"/>
          <w:lang w:val="en-US" w:eastAsia="zh-CN"/>
        </w:rPr>
      </w:pPr>
      <w:r>
        <w:rPr>
          <w:rFonts w:hint="eastAsia"/>
          <w:sz w:val="48"/>
          <w:szCs w:val="48"/>
          <w:lang w:val="en-US" w:eastAsia="zh-CN"/>
        </w:rPr>
        <w:t>大连大玖机械有限公司320kwp分布式光伏发电项目</w:t>
      </w: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27844"/>
      <w:bookmarkStart w:id="1" w:name="_Toc6323"/>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23704"/>
      <w:bookmarkStart w:id="3" w:name="_Toc1072"/>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bookmarkStart w:id="21" w:name="_GoBack"/>
      <w:bookmarkEnd w:id="21"/>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谭皓天</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18695069743</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10895"/>
      <w:bookmarkStart w:id="8" w:name="_Toc28123"/>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0046"/>
      <w:bookmarkStart w:id="13" w:name="_Toc15741"/>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20167"/>
      <w:bookmarkStart w:id="15" w:name="_Toc721"/>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10E1208"/>
    <w:rsid w:val="13D45C06"/>
    <w:rsid w:val="14AA1939"/>
    <w:rsid w:val="17D5109B"/>
    <w:rsid w:val="1F3E167F"/>
    <w:rsid w:val="1FC67273"/>
    <w:rsid w:val="26981B61"/>
    <w:rsid w:val="277D36D0"/>
    <w:rsid w:val="2CE01DC0"/>
    <w:rsid w:val="355340FE"/>
    <w:rsid w:val="35E72FCD"/>
    <w:rsid w:val="3AD14960"/>
    <w:rsid w:val="3EFB1CB3"/>
    <w:rsid w:val="448B7009"/>
    <w:rsid w:val="44F33A64"/>
    <w:rsid w:val="4ED55E95"/>
    <w:rsid w:val="517E5C46"/>
    <w:rsid w:val="54BD45AE"/>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4648</Words>
  <Characters>4791</Characters>
  <Lines>50</Lines>
  <Paragraphs>14</Paragraphs>
  <TotalTime>1</TotalTime>
  <ScaleCrop>false</ScaleCrop>
  <LinksUpToDate>false</LinksUpToDate>
  <CharactersWithSpaces>5207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2022-08-25T01:52:35Z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D512526FE2BD45449C78C6F08CE2E182</vt:lpwstr>
  </property>
</Properties>
</file>